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3" w:tblpY="1913"/>
        <w:tblOverlap w:val="never"/>
        <w:tblW w:w="1497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65"/>
        <w:gridCol w:w="2766"/>
        <w:gridCol w:w="2135"/>
        <w:gridCol w:w="2801"/>
        <w:gridCol w:w="2520"/>
        <w:gridCol w:w="2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晋安区卫生健康局行政处罚案件（2021年12月10日）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行政处罚内容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行政处罚决定下达日期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星悦医疗美容门诊部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未按规定填写病历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《医疗纠纷预防和处理条例》第四十七条第二项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榕晋卫医罚﹝2021﹞024号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罚款人民币壹万元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2021年12月8日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罗烟萍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非医师行医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《中华人民共和国执业医师法》第三十九条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榕晋卫医罚﹝2021﹞025号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1.没收违法所得贰佰壹拾叁元；2.罚款人民币伍仟元。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2021年12月10日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晋安安尔佳口腔门诊部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未取得放射诊疗许可开展放射诊疗工作</w:t>
            </w:r>
            <w:bookmarkStart w:id="0" w:name="_GoBack"/>
            <w:bookmarkEnd w:id="0"/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《放射诊疗管理规定》第三十八条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榕晋卫放简罚2021-003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警告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2021年12月10日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E09DB"/>
    <w:rsid w:val="061A4953"/>
    <w:rsid w:val="17C861FE"/>
    <w:rsid w:val="2B1E09DB"/>
    <w:rsid w:val="2C79468E"/>
    <w:rsid w:val="3C9B495B"/>
    <w:rsid w:val="3F6730EA"/>
    <w:rsid w:val="404226E2"/>
    <w:rsid w:val="504A555E"/>
    <w:rsid w:val="554E5467"/>
    <w:rsid w:val="64060C70"/>
    <w:rsid w:val="7F13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2021-11-14T06:50:00Z</dcterms:created>
  <dc:creator>寒岩晰</dc:creator>
  <cp:lastModifiedBy>淡淡风</cp:lastModifiedBy>
  <dcterms:modified xsi:type="dcterms:W3CDTF">2022-01-14T06:30:19Z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281FCBA5C2F74CCB9950069D68CB338C</vt:lpwstr>
  </property>
</Properties>
</file>