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b/>
          <w:color w:val="000000"/>
          <w:spacing w:val="-70"/>
          <w:w w:val="80"/>
          <w:kern w:val="0"/>
          <w:sz w:val="36"/>
          <w:szCs w:val="36"/>
        </w:rPr>
      </w:pPr>
    </w:p>
    <w:p>
      <w:pPr>
        <w:rPr>
          <w:rFonts w:ascii="宋体"/>
          <w:b/>
          <w:color w:val="000000"/>
          <w:spacing w:val="-70"/>
          <w:w w:val="80"/>
          <w:kern w:val="0"/>
          <w:sz w:val="36"/>
          <w:szCs w:val="36"/>
        </w:rPr>
      </w:pPr>
    </w:p>
    <w:p>
      <w:pPr>
        <w:rPr>
          <w:rFonts w:ascii="宋体"/>
          <w:b/>
          <w:color w:val="000000"/>
          <w:spacing w:val="-70"/>
          <w:w w:val="80"/>
          <w:kern w:val="0"/>
          <w:sz w:val="36"/>
          <w:szCs w:val="36"/>
        </w:rPr>
      </w:pPr>
    </w:p>
    <w:p>
      <w:pPr>
        <w:ind w:right="-512" w:rightChars="-244"/>
        <w:jc w:val="center"/>
        <w:rPr>
          <w:rFonts w:ascii="楷体_GB2312" w:hAnsi="仿宋" w:eastAsia="楷体_GB2312"/>
          <w:bCs/>
          <w:color w:val="000000"/>
          <w:spacing w:val="10"/>
          <w:kern w:val="0"/>
          <w:sz w:val="32"/>
          <w:szCs w:val="32"/>
        </w:rPr>
      </w:pPr>
      <w:r>
        <w:rPr>
          <w:rFonts w:hint="eastAsia" w:ascii="楷体_GB2312" w:hAnsi="仿宋" w:eastAsia="楷体_GB2312"/>
          <w:bCs/>
          <w:color w:val="000000"/>
          <w:spacing w:val="10"/>
          <w:kern w:val="0"/>
          <w:sz w:val="32"/>
          <w:szCs w:val="32"/>
        </w:rPr>
        <w:t>榕晋</w:t>
      </w:r>
      <w:r>
        <w:rPr>
          <w:rFonts w:hint="eastAsia" w:ascii="楷体_GB2312" w:hAnsi="仿宋" w:eastAsia="楷体_GB2312"/>
          <w:bCs/>
          <w:color w:val="000000"/>
          <w:spacing w:val="10"/>
          <w:kern w:val="0"/>
          <w:sz w:val="32"/>
          <w:szCs w:val="32"/>
          <w:lang w:eastAsia="zh-CN"/>
        </w:rPr>
        <w:t>委法</w:t>
      </w:r>
      <w:r>
        <w:rPr>
          <w:rFonts w:hint="eastAsia" w:ascii="楷体_GB2312" w:hAnsi="仿宋" w:eastAsia="楷体_GB2312"/>
          <w:bCs/>
          <w:color w:val="000000"/>
          <w:spacing w:val="10"/>
          <w:kern w:val="0"/>
          <w:sz w:val="32"/>
          <w:szCs w:val="32"/>
        </w:rPr>
        <w:t>办〔</w:t>
      </w:r>
      <w:r>
        <w:rPr>
          <w:rFonts w:ascii="楷体_GB2312" w:hAnsi="仿宋" w:eastAsia="楷体_GB2312"/>
          <w:bCs/>
          <w:color w:val="000000"/>
          <w:spacing w:val="10"/>
          <w:kern w:val="0"/>
          <w:sz w:val="32"/>
          <w:szCs w:val="32"/>
        </w:rPr>
        <w:t>20</w:t>
      </w:r>
      <w:r>
        <w:rPr>
          <w:rFonts w:hint="eastAsia" w:ascii="楷体_GB2312" w:hAnsi="仿宋" w:eastAsia="楷体_GB2312"/>
          <w:bCs/>
          <w:color w:val="000000"/>
          <w:spacing w:val="10"/>
          <w:kern w:val="0"/>
          <w:sz w:val="32"/>
          <w:szCs w:val="32"/>
          <w:lang w:val="en-US" w:eastAsia="zh-CN"/>
        </w:rPr>
        <w:t>22</w:t>
      </w:r>
      <w:r>
        <w:rPr>
          <w:rFonts w:hint="eastAsia" w:ascii="楷体_GB2312" w:hAnsi="仿宋" w:eastAsia="楷体_GB2312"/>
          <w:bCs/>
          <w:color w:val="000000"/>
          <w:spacing w:val="10"/>
          <w:kern w:val="0"/>
          <w:sz w:val="32"/>
          <w:szCs w:val="32"/>
        </w:rPr>
        <w:t>〕</w:t>
      </w:r>
      <w:r>
        <w:rPr>
          <w:rFonts w:hint="eastAsia" w:ascii="楷体_GB2312" w:hAnsi="仿宋" w:eastAsia="楷体_GB2312"/>
          <w:bCs/>
          <w:color w:val="000000"/>
          <w:spacing w:val="10"/>
          <w:kern w:val="0"/>
          <w:sz w:val="32"/>
          <w:szCs w:val="32"/>
          <w:lang w:val="en-US" w:eastAsia="zh-CN"/>
        </w:rPr>
        <w:t>7</w:t>
      </w:r>
      <w:r>
        <w:rPr>
          <w:rFonts w:hint="eastAsia" w:ascii="楷体_GB2312" w:hAnsi="仿宋" w:eastAsia="楷体_GB2312"/>
          <w:bCs/>
          <w:color w:val="000000"/>
          <w:spacing w:val="10"/>
          <w:kern w:val="0"/>
          <w:sz w:val="32"/>
          <w:szCs w:val="32"/>
        </w:rPr>
        <w:t>号</w:t>
      </w:r>
    </w:p>
    <w:p>
      <w:pPr>
        <w:jc w:val="center"/>
        <w:rPr>
          <w:rFonts w:ascii="黑体" w:eastAsia="黑体"/>
          <w:sz w:val="36"/>
          <w:szCs w:val="36"/>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22"/>
          <w:lang w:val="en-US" w:eastAsia="zh-CN"/>
        </w:rPr>
      </w:pPr>
      <w:bookmarkStart w:id="0" w:name="_GoBack"/>
      <w:r>
        <w:rPr>
          <w:rFonts w:hint="eastAsia" w:ascii="宋体" w:hAnsi="宋体" w:eastAsia="宋体" w:cs="宋体"/>
          <w:sz w:val="44"/>
          <w:szCs w:val="22"/>
          <w:lang w:eastAsia="zh-CN"/>
        </w:rPr>
        <w:t>关</w:t>
      </w:r>
      <w:r>
        <w:rPr>
          <w:rFonts w:hint="eastAsia" w:ascii="宋体" w:hAnsi="宋体" w:eastAsia="宋体" w:cs="宋体"/>
          <w:sz w:val="44"/>
          <w:szCs w:val="22"/>
          <w:lang w:val="en-US" w:eastAsia="zh-CN"/>
        </w:rPr>
        <w:t>于开展红色法治文化资源普查登记工作</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eastAsia="方正小标宋简体"/>
          <w:spacing w:val="0"/>
          <w:sz w:val="44"/>
          <w:szCs w:val="44"/>
        </w:rPr>
      </w:pPr>
      <w:r>
        <w:rPr>
          <w:rFonts w:hint="eastAsia" w:ascii="宋体" w:hAnsi="宋体" w:eastAsia="宋体" w:cs="宋体"/>
          <w:sz w:val="44"/>
          <w:szCs w:val="22"/>
          <w:lang w:val="en-US" w:eastAsia="zh-CN"/>
        </w:rPr>
        <w:t>的</w:t>
      </w:r>
      <w:r>
        <w:rPr>
          <w:rFonts w:hint="eastAsia" w:ascii="宋体" w:hAnsi="宋体" w:eastAsia="宋体" w:cs="宋体"/>
          <w:sz w:val="44"/>
          <w:szCs w:val="22"/>
          <w:lang w:eastAsia="zh-CN"/>
        </w:rPr>
        <w:t>通知</w:t>
      </w:r>
    </w:p>
    <w:bookmarkEnd w:id="0"/>
    <w:p>
      <w:pPr>
        <w:keepNext w:val="0"/>
        <w:keepLines w:val="0"/>
        <w:pageBreakBefore w:val="0"/>
        <w:widowControl w:val="0"/>
        <w:kinsoku/>
        <w:overflowPunct/>
        <w:topLinePunct w:val="0"/>
        <w:autoSpaceDE/>
        <w:autoSpaceDN/>
        <w:bidi w:val="0"/>
        <w:adjustRightInd/>
        <w:snapToGrid/>
        <w:spacing w:line="56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各乡镇（街道）、区直各有关单位：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根据</w:t>
      </w:r>
      <w:r>
        <w:rPr>
          <w:rFonts w:hint="eastAsia" w:ascii="仿宋_GB2312" w:eastAsia="仿宋_GB2312"/>
          <w:sz w:val="32"/>
          <w:szCs w:val="32"/>
          <w:lang w:val="en-US" w:eastAsia="zh-CN"/>
        </w:rPr>
        <w:t>上级</w:t>
      </w:r>
      <w:r>
        <w:rPr>
          <w:rFonts w:hint="eastAsia" w:ascii="仿宋_GB2312" w:eastAsia="仿宋_GB2312"/>
          <w:sz w:val="32"/>
          <w:szCs w:val="32"/>
          <w:lang w:eastAsia="zh-CN"/>
        </w:rPr>
        <w:t>要求，</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建设一批红色法治文化法治宣传教育基地，</w:t>
      </w:r>
      <w:r>
        <w:rPr>
          <w:rFonts w:hint="eastAsia" w:ascii="仿宋_GB2312" w:eastAsia="仿宋_GB2312"/>
          <w:sz w:val="32"/>
          <w:szCs w:val="32"/>
          <w:lang w:eastAsia="zh-CN"/>
        </w:rPr>
        <w:t>决定对我</w:t>
      </w:r>
      <w:r>
        <w:rPr>
          <w:rFonts w:hint="eastAsia" w:ascii="仿宋_GB2312" w:eastAsia="仿宋_GB2312"/>
          <w:sz w:val="32"/>
          <w:szCs w:val="32"/>
          <w:lang w:val="en-US" w:eastAsia="zh-CN"/>
        </w:rPr>
        <w:t>区</w:t>
      </w:r>
      <w:r>
        <w:rPr>
          <w:rFonts w:hint="eastAsia" w:ascii="仿宋_GB2312" w:eastAsia="仿宋_GB2312"/>
          <w:sz w:val="32"/>
          <w:szCs w:val="32"/>
          <w:lang w:eastAsia="zh-CN"/>
        </w:rPr>
        <w:t>红色法治文化资源进行全面普查登记。</w:t>
      </w:r>
      <w:r>
        <w:rPr>
          <w:rFonts w:hint="eastAsia" w:ascii="仿宋_GB2312" w:eastAsia="仿宋_GB2312"/>
          <w:sz w:val="32"/>
          <w:szCs w:val="32"/>
          <w:lang w:val="en-US" w:eastAsia="zh-CN"/>
        </w:rPr>
        <w:t>现将《中共福建省委全面依法治省委员会守法普法协调小组关于做好红色法治文化资源普查登记工作的通知》转</w:t>
      </w:r>
      <w:r>
        <w:rPr>
          <w:rFonts w:hint="eastAsia" w:ascii="仿宋_GB2312" w:eastAsia="仿宋_GB2312"/>
          <w:sz w:val="32"/>
          <w:szCs w:val="32"/>
        </w:rPr>
        <w:t>发给你们</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eastAsia="仿宋_GB2312"/>
          <w:sz w:val="32"/>
          <w:szCs w:val="32"/>
        </w:rPr>
        <w:t>请</w:t>
      </w:r>
      <w:r>
        <w:rPr>
          <w:rFonts w:hint="eastAsia" w:ascii="仿宋_GB2312" w:eastAsia="仿宋_GB2312"/>
          <w:sz w:val="32"/>
          <w:szCs w:val="32"/>
          <w:lang w:eastAsia="zh-CN"/>
        </w:rPr>
        <w:t>结合实际，认真做好红色法治文化资源普查登记，并于20</w:t>
      </w:r>
      <w:r>
        <w:rPr>
          <w:rFonts w:hint="eastAsia" w:ascii="仿宋_GB2312" w:eastAsia="仿宋_GB2312"/>
          <w:sz w:val="32"/>
          <w:szCs w:val="32"/>
          <w:lang w:val="en-US" w:eastAsia="zh-CN"/>
        </w:rPr>
        <w:t>22</w:t>
      </w:r>
      <w:r>
        <w:rPr>
          <w:rFonts w:hint="eastAsia" w:ascii="仿宋_GB2312" w:eastAsia="仿宋_GB2312"/>
          <w:sz w:val="32"/>
          <w:szCs w:val="32"/>
          <w:lang w:eastAsia="zh-CN"/>
        </w:rPr>
        <w:t>年</w:t>
      </w:r>
      <w:r>
        <w:rPr>
          <w:rFonts w:hint="eastAsia" w:ascii="仿宋_GB2312" w:eastAsia="仿宋_GB2312"/>
          <w:sz w:val="32"/>
          <w:szCs w:val="32"/>
          <w:lang w:val="en-US" w:eastAsia="zh-CN"/>
        </w:rPr>
        <w:t>6</w:t>
      </w:r>
      <w:r>
        <w:rPr>
          <w:rFonts w:hint="eastAsia" w:ascii="仿宋_GB2312" w:eastAsia="仿宋_GB2312"/>
          <w:sz w:val="32"/>
          <w:szCs w:val="32"/>
          <w:lang w:eastAsia="zh-CN"/>
        </w:rPr>
        <w:t>月</w:t>
      </w:r>
      <w:r>
        <w:rPr>
          <w:rFonts w:hint="eastAsia" w:ascii="仿宋_GB2312" w:eastAsia="仿宋_GB2312"/>
          <w:sz w:val="32"/>
          <w:szCs w:val="32"/>
          <w:lang w:val="en-US" w:eastAsia="zh-CN"/>
        </w:rPr>
        <w:t>2</w:t>
      </w:r>
      <w:r>
        <w:rPr>
          <w:rFonts w:hint="eastAsia" w:ascii="仿宋_GB2312" w:eastAsia="仿宋_GB2312"/>
          <w:sz w:val="32"/>
          <w:szCs w:val="32"/>
          <w:lang w:eastAsia="zh-CN"/>
        </w:rPr>
        <w:t>日前将红色法治文化资源普查数据及每个红色法治文化</w:t>
      </w:r>
      <w:r>
        <w:rPr>
          <w:rFonts w:hint="eastAsia" w:ascii="仿宋_GB2312" w:hAnsi="仿宋_GB2312" w:eastAsia="仿宋_GB2312" w:cs="仿宋_GB2312"/>
          <w:sz w:val="32"/>
          <w:szCs w:val="32"/>
          <w:lang w:eastAsia="zh-CN"/>
        </w:rPr>
        <w:t>资源图片</w:t>
      </w:r>
      <w:r>
        <w:rPr>
          <w:rFonts w:hint="eastAsia" w:ascii="仿宋_GB2312" w:hAnsi="仿宋_GB2312" w:eastAsia="仿宋_GB2312" w:cs="仿宋_GB2312"/>
          <w:sz w:val="32"/>
          <w:szCs w:val="32"/>
          <w:lang w:val="en-US" w:eastAsia="zh-CN"/>
        </w:rPr>
        <w:t>2张</w:t>
      </w:r>
      <w:r>
        <w:rPr>
          <w:rFonts w:hint="eastAsia" w:ascii="仿宋_GB2312" w:hAnsi="仿宋_GB2312" w:eastAsia="仿宋_GB2312" w:cs="仿宋_GB2312"/>
          <w:sz w:val="32"/>
          <w:szCs w:val="32"/>
          <w:lang w:eastAsia="zh-CN"/>
        </w:rPr>
        <w:t>（全景照</w:t>
      </w:r>
      <w:r>
        <w:rPr>
          <w:rFonts w:hint="eastAsia" w:ascii="仿宋_GB2312" w:hAnsi="仿宋_GB2312" w:eastAsia="仿宋_GB2312" w:cs="仿宋_GB2312"/>
          <w:sz w:val="32"/>
          <w:szCs w:val="32"/>
          <w:lang w:val="en-US" w:eastAsia="zh-CN"/>
        </w:rPr>
        <w:t>1张、体现红色法治文化1张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，电子版</w:t>
      </w:r>
      <w:r>
        <w:rPr>
          <w:rFonts w:hint="eastAsia" w:ascii="仿宋_GB2312" w:hAnsi="仿宋_GB2312" w:eastAsia="仿宋_GB2312" w:cs="仿宋_GB2312"/>
          <w:sz w:val="32"/>
          <w:szCs w:val="32"/>
          <w:lang w:eastAsia="zh-CN"/>
        </w:rPr>
        <w:t>报送</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司法局普治</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邮箱:</w:t>
      </w:r>
      <w:r>
        <w:rPr>
          <w:rFonts w:hint="eastAsia" w:ascii="仿宋_GB2312" w:hAnsi="仿宋_GB2312" w:eastAsia="仿宋_GB2312" w:cs="仿宋_GB2312"/>
          <w:sz w:val="32"/>
          <w:szCs w:val="32"/>
          <w:lang w:val="en-US" w:eastAsia="zh-CN"/>
        </w:rPr>
        <w:t>puhu710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rPr>
        <w:t>.com</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楷体_GB2312" w:eastAsia="仿宋_GB2312" w:cs="Times New Roman"/>
          <w:b w:val="0"/>
          <w:kern w:val="2"/>
          <w:sz w:val="32"/>
          <w:szCs w:val="32"/>
          <w:lang w:val="en-US" w:eastAsia="zh-CN" w:bidi="ar-SA"/>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蔡雪影，</w:t>
      </w:r>
      <w:r>
        <w:rPr>
          <w:rFonts w:hint="eastAsia" w:ascii="仿宋_GB2312" w:hAnsi="仿宋_GB2312" w:eastAsia="仿宋_GB2312" w:cs="仿宋_GB2312"/>
          <w:sz w:val="32"/>
          <w:szCs w:val="32"/>
        </w:rPr>
        <w:t>联系电话：8</w:t>
      </w:r>
      <w:r>
        <w:rPr>
          <w:rFonts w:hint="eastAsia" w:ascii="仿宋_GB2312" w:hAnsi="仿宋_GB2312" w:eastAsia="仿宋_GB2312" w:cs="仿宋_GB2312"/>
          <w:sz w:val="32"/>
          <w:szCs w:val="32"/>
          <w:lang w:val="en-US" w:eastAsia="zh-CN"/>
        </w:rPr>
        <w:t>7357355</w:t>
      </w:r>
      <w:r>
        <w:rPr>
          <w:rFonts w:hint="eastAsia" w:ascii="仿宋_GB2312" w:hAnsi="楷体_GB2312" w:eastAsia="仿宋_GB2312" w:cs="Times New Roman"/>
          <w:b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红色法治文化资源普查登记表</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w:t>
      </w:r>
      <w:r>
        <w:rPr>
          <w:rFonts w:hint="eastAsia" w:ascii="仿宋_GB2312" w:eastAsia="仿宋_GB2312"/>
          <w:spacing w:val="-11"/>
          <w:sz w:val="32"/>
          <w:szCs w:val="32"/>
          <w:lang w:val="en-US" w:eastAsia="zh-CN"/>
        </w:rPr>
        <w:t>《中共福建省委全面依法治省委员会守法普法协调小             组关于做好红色法治文化资源普查登记工作的通知》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bidi="ar-SA"/>
        </w:rPr>
        <w:t>中共福州市晋安区委全面依法治区委员会办公室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0" w:firstLineChars="1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2022年5月10日</w:t>
      </w:r>
    </w:p>
    <w:p>
      <w:pPr>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left"/>
        <w:rPr>
          <w:rFonts w:hint="eastAsia" w:ascii="仿宋" w:hAnsi="仿宋" w:eastAsia="仿宋" w:cs="仿宋"/>
          <w:sz w:val="32"/>
          <w:szCs w:val="32"/>
          <w:lang w:eastAsia="zh-CN"/>
        </w:rPr>
      </w:pPr>
    </w:p>
    <w:p>
      <w:pPr>
        <w:spacing w:beforeLines="0" w:afterLines="0" w:line="5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u w:val="single"/>
          <w:lang w:val="en-US" w:eastAsia="zh-CN"/>
        </w:rPr>
        <w:t xml:space="preserve">        </w:t>
      </w:r>
      <w:r>
        <w:rPr>
          <w:rFonts w:hint="eastAsia" w:ascii="方正小标宋简体" w:hAnsi="方正小标宋简体" w:eastAsia="方正小标宋简体" w:cs="方正小标宋简体"/>
          <w:sz w:val="44"/>
          <w:szCs w:val="44"/>
          <w:lang w:val="en-US" w:eastAsia="zh-CN"/>
        </w:rPr>
        <w:t>（地区或单位名称）</w:t>
      </w:r>
      <w:r>
        <w:rPr>
          <w:rFonts w:hint="eastAsia" w:ascii="方正小标宋简体" w:hAnsi="方正小标宋简体" w:eastAsia="方正小标宋简体" w:cs="方正小标宋简体"/>
          <w:sz w:val="44"/>
          <w:szCs w:val="44"/>
          <w:lang w:eastAsia="zh-CN"/>
        </w:rPr>
        <w:t>红色法治文化</w:t>
      </w:r>
    </w:p>
    <w:p>
      <w:pPr>
        <w:spacing w:beforeLines="0" w:afterLines="0" w:line="580" w:lineRule="exact"/>
        <w:jc w:val="center"/>
        <w:rPr>
          <w:rFonts w:hint="eastAsia" w:ascii="黑体" w:hAnsi="黑体" w:eastAsia="黑体" w:cs="黑体"/>
          <w:sz w:val="44"/>
          <w:szCs w:val="44"/>
          <w:lang w:eastAsia="zh-CN"/>
        </w:rPr>
      </w:pPr>
      <w:r>
        <w:rPr>
          <w:rFonts w:hint="eastAsia" w:ascii="方正小标宋简体" w:hAnsi="方正小标宋简体" w:eastAsia="方正小标宋简体" w:cs="方正小标宋简体"/>
          <w:sz w:val="44"/>
          <w:szCs w:val="44"/>
          <w:lang w:eastAsia="zh-CN"/>
        </w:rPr>
        <w:t>资源普查登记表</w:t>
      </w:r>
    </w:p>
    <w:p>
      <w:pPr>
        <w:jc w:val="left"/>
        <w:rPr>
          <w:rFonts w:hint="eastAsia" w:ascii="仿宋" w:hAnsi="仿宋" w:eastAsia="仿宋" w:cs="仿宋"/>
          <w:sz w:val="32"/>
          <w:szCs w:val="32"/>
          <w:lang w:eastAsia="zh-CN"/>
        </w:rPr>
      </w:pPr>
    </w:p>
    <w:p>
      <w:pPr>
        <w:wordWrap w:val="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410"/>
        <w:gridCol w:w="1695"/>
        <w:gridCol w:w="280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4" w:type="dxa"/>
            <w:noWrap w:val="0"/>
            <w:vAlign w:val="center"/>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lang w:eastAsia="zh-CN"/>
              </w:rPr>
              <w:t>序号</w:t>
            </w:r>
          </w:p>
        </w:tc>
        <w:tc>
          <w:tcPr>
            <w:tcW w:w="1410" w:type="dxa"/>
            <w:noWrap w:val="0"/>
            <w:vAlign w:val="center"/>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名称</w:t>
            </w:r>
          </w:p>
        </w:tc>
        <w:tc>
          <w:tcPr>
            <w:tcW w:w="1695" w:type="dxa"/>
            <w:noWrap w:val="0"/>
            <w:vAlign w:val="center"/>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地址</w:t>
            </w:r>
          </w:p>
        </w:tc>
        <w:tc>
          <w:tcPr>
            <w:tcW w:w="2805" w:type="dxa"/>
            <w:noWrap w:val="0"/>
            <w:vAlign w:val="center"/>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主要内容</w:t>
            </w:r>
          </w:p>
        </w:tc>
        <w:tc>
          <w:tcPr>
            <w:tcW w:w="1715" w:type="dxa"/>
            <w:noWrap w:val="0"/>
            <w:vAlign w:val="center"/>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场所类型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410" w:type="dxa"/>
            <w:noWrap w:val="0"/>
            <w:vAlign w:val="center"/>
          </w:tcPr>
          <w:p>
            <w:pPr>
              <w:jc w:val="center"/>
              <w:rPr>
                <w:rFonts w:hint="eastAsia" w:ascii="仿宋" w:hAnsi="仿宋" w:eastAsia="仿宋" w:cs="仿宋"/>
                <w:sz w:val="32"/>
                <w:szCs w:val="32"/>
                <w:vertAlign w:val="baseline"/>
                <w:lang w:eastAsia="zh-CN"/>
              </w:rPr>
            </w:pPr>
          </w:p>
        </w:tc>
        <w:tc>
          <w:tcPr>
            <w:tcW w:w="1695" w:type="dxa"/>
            <w:noWrap w:val="0"/>
            <w:vAlign w:val="center"/>
          </w:tcPr>
          <w:p>
            <w:pPr>
              <w:jc w:val="center"/>
              <w:rPr>
                <w:rFonts w:hint="eastAsia" w:ascii="仿宋" w:hAnsi="仿宋" w:eastAsia="仿宋" w:cs="仿宋"/>
                <w:sz w:val="32"/>
                <w:szCs w:val="32"/>
                <w:vertAlign w:val="baseline"/>
                <w:lang w:eastAsia="zh-CN"/>
              </w:rPr>
            </w:pPr>
          </w:p>
        </w:tc>
        <w:tc>
          <w:tcPr>
            <w:tcW w:w="2805" w:type="dxa"/>
            <w:noWrap w:val="0"/>
            <w:vAlign w:val="center"/>
          </w:tcPr>
          <w:p>
            <w:pPr>
              <w:jc w:val="center"/>
              <w:rPr>
                <w:rFonts w:hint="eastAsia" w:ascii="仿宋" w:hAnsi="仿宋" w:eastAsia="仿宋" w:cs="仿宋"/>
                <w:sz w:val="32"/>
                <w:szCs w:val="32"/>
                <w:vertAlign w:val="baseline"/>
                <w:lang w:eastAsia="zh-CN"/>
              </w:rPr>
            </w:pPr>
          </w:p>
        </w:tc>
        <w:tc>
          <w:tcPr>
            <w:tcW w:w="1715" w:type="dxa"/>
            <w:noWrap w:val="0"/>
            <w:vAlign w:val="center"/>
          </w:tcPr>
          <w:p>
            <w:pPr>
              <w:jc w:val="center"/>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1410" w:type="dxa"/>
            <w:noWrap w:val="0"/>
            <w:vAlign w:val="center"/>
          </w:tcPr>
          <w:p>
            <w:pPr>
              <w:jc w:val="center"/>
              <w:rPr>
                <w:rFonts w:hint="eastAsia" w:ascii="仿宋" w:hAnsi="仿宋" w:eastAsia="仿宋" w:cs="仿宋"/>
                <w:sz w:val="32"/>
                <w:szCs w:val="32"/>
                <w:vertAlign w:val="baseline"/>
                <w:lang w:eastAsia="zh-CN"/>
              </w:rPr>
            </w:pPr>
          </w:p>
        </w:tc>
        <w:tc>
          <w:tcPr>
            <w:tcW w:w="1695" w:type="dxa"/>
            <w:noWrap w:val="0"/>
            <w:vAlign w:val="center"/>
          </w:tcPr>
          <w:p>
            <w:pPr>
              <w:jc w:val="center"/>
              <w:rPr>
                <w:rFonts w:hint="eastAsia" w:ascii="仿宋" w:hAnsi="仿宋" w:eastAsia="仿宋" w:cs="仿宋"/>
                <w:sz w:val="32"/>
                <w:szCs w:val="32"/>
                <w:vertAlign w:val="baseline"/>
                <w:lang w:eastAsia="zh-CN"/>
              </w:rPr>
            </w:pPr>
          </w:p>
        </w:tc>
        <w:tc>
          <w:tcPr>
            <w:tcW w:w="2805" w:type="dxa"/>
            <w:noWrap w:val="0"/>
            <w:vAlign w:val="center"/>
          </w:tcPr>
          <w:p>
            <w:pPr>
              <w:jc w:val="center"/>
              <w:rPr>
                <w:rFonts w:hint="eastAsia" w:ascii="仿宋" w:hAnsi="仿宋" w:eastAsia="仿宋" w:cs="仿宋"/>
                <w:sz w:val="32"/>
                <w:szCs w:val="32"/>
                <w:vertAlign w:val="baseline"/>
                <w:lang w:eastAsia="zh-CN"/>
              </w:rPr>
            </w:pPr>
          </w:p>
        </w:tc>
        <w:tc>
          <w:tcPr>
            <w:tcW w:w="1715" w:type="dxa"/>
            <w:noWrap w:val="0"/>
            <w:vAlign w:val="center"/>
          </w:tcPr>
          <w:p>
            <w:pPr>
              <w:jc w:val="center"/>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center"/>
          </w:tcPr>
          <w:p>
            <w:pPr>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1410" w:type="dxa"/>
            <w:noWrap w:val="0"/>
            <w:vAlign w:val="center"/>
          </w:tcPr>
          <w:p>
            <w:pPr>
              <w:jc w:val="center"/>
              <w:rPr>
                <w:rFonts w:hint="eastAsia" w:ascii="仿宋" w:hAnsi="仿宋" w:eastAsia="仿宋" w:cs="仿宋"/>
                <w:sz w:val="32"/>
                <w:szCs w:val="32"/>
                <w:vertAlign w:val="baseline"/>
                <w:lang w:eastAsia="zh-CN"/>
              </w:rPr>
            </w:pPr>
          </w:p>
        </w:tc>
        <w:tc>
          <w:tcPr>
            <w:tcW w:w="1695" w:type="dxa"/>
            <w:noWrap w:val="0"/>
            <w:vAlign w:val="center"/>
          </w:tcPr>
          <w:p>
            <w:pPr>
              <w:jc w:val="center"/>
              <w:rPr>
                <w:rFonts w:hint="eastAsia" w:ascii="仿宋" w:hAnsi="仿宋" w:eastAsia="仿宋" w:cs="仿宋"/>
                <w:sz w:val="32"/>
                <w:szCs w:val="32"/>
                <w:vertAlign w:val="baseline"/>
                <w:lang w:eastAsia="zh-CN"/>
              </w:rPr>
            </w:pPr>
          </w:p>
        </w:tc>
        <w:tc>
          <w:tcPr>
            <w:tcW w:w="2805" w:type="dxa"/>
            <w:noWrap w:val="0"/>
            <w:vAlign w:val="center"/>
          </w:tcPr>
          <w:p>
            <w:pPr>
              <w:jc w:val="center"/>
              <w:rPr>
                <w:rFonts w:hint="eastAsia" w:ascii="仿宋" w:hAnsi="仿宋" w:eastAsia="仿宋" w:cs="仿宋"/>
                <w:sz w:val="32"/>
                <w:szCs w:val="32"/>
                <w:vertAlign w:val="baseline"/>
                <w:lang w:eastAsia="zh-CN"/>
              </w:rPr>
            </w:pPr>
          </w:p>
        </w:tc>
        <w:tc>
          <w:tcPr>
            <w:tcW w:w="1715" w:type="dxa"/>
            <w:noWrap w:val="0"/>
            <w:vAlign w:val="center"/>
          </w:tcPr>
          <w:p>
            <w:pPr>
              <w:jc w:val="center"/>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jc w:val="left"/>
              <w:rPr>
                <w:rFonts w:hint="eastAsia" w:ascii="仿宋" w:hAnsi="仿宋" w:eastAsia="仿宋" w:cs="仿宋"/>
                <w:sz w:val="32"/>
                <w:szCs w:val="32"/>
                <w:vertAlign w:val="baseline"/>
                <w:lang w:eastAsia="zh-CN"/>
              </w:rPr>
            </w:pPr>
          </w:p>
        </w:tc>
        <w:tc>
          <w:tcPr>
            <w:tcW w:w="1410" w:type="dxa"/>
            <w:noWrap w:val="0"/>
            <w:vAlign w:val="top"/>
          </w:tcPr>
          <w:p>
            <w:pPr>
              <w:jc w:val="left"/>
              <w:rPr>
                <w:rFonts w:hint="eastAsia" w:ascii="仿宋" w:hAnsi="仿宋" w:eastAsia="仿宋" w:cs="仿宋"/>
                <w:sz w:val="32"/>
                <w:szCs w:val="32"/>
                <w:vertAlign w:val="baseline"/>
                <w:lang w:eastAsia="zh-CN"/>
              </w:rPr>
            </w:pPr>
          </w:p>
        </w:tc>
        <w:tc>
          <w:tcPr>
            <w:tcW w:w="1695" w:type="dxa"/>
            <w:noWrap w:val="0"/>
            <w:vAlign w:val="top"/>
          </w:tcPr>
          <w:p>
            <w:pPr>
              <w:jc w:val="left"/>
              <w:rPr>
                <w:rFonts w:hint="eastAsia" w:ascii="仿宋" w:hAnsi="仿宋" w:eastAsia="仿宋" w:cs="仿宋"/>
                <w:sz w:val="32"/>
                <w:szCs w:val="32"/>
                <w:vertAlign w:val="baseline"/>
                <w:lang w:eastAsia="zh-CN"/>
              </w:rPr>
            </w:pPr>
          </w:p>
        </w:tc>
        <w:tc>
          <w:tcPr>
            <w:tcW w:w="2805" w:type="dxa"/>
            <w:noWrap w:val="0"/>
            <w:vAlign w:val="top"/>
          </w:tcPr>
          <w:p>
            <w:pPr>
              <w:jc w:val="left"/>
              <w:rPr>
                <w:rFonts w:hint="eastAsia" w:ascii="仿宋" w:hAnsi="仿宋" w:eastAsia="仿宋" w:cs="仿宋"/>
                <w:sz w:val="32"/>
                <w:szCs w:val="32"/>
                <w:vertAlign w:val="baseline"/>
                <w:lang w:eastAsia="zh-CN"/>
              </w:rPr>
            </w:pPr>
          </w:p>
        </w:tc>
        <w:tc>
          <w:tcPr>
            <w:tcW w:w="1715" w:type="dxa"/>
            <w:noWrap w:val="0"/>
            <w:vAlign w:val="top"/>
          </w:tcPr>
          <w:p>
            <w:pPr>
              <w:jc w:val="lef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noWrap w:val="0"/>
            <w:vAlign w:val="top"/>
          </w:tcPr>
          <w:p>
            <w:pPr>
              <w:jc w:val="left"/>
              <w:rPr>
                <w:rFonts w:hint="eastAsia" w:ascii="仿宋" w:hAnsi="仿宋" w:eastAsia="仿宋" w:cs="仿宋"/>
                <w:sz w:val="32"/>
                <w:szCs w:val="32"/>
                <w:vertAlign w:val="baseline"/>
                <w:lang w:eastAsia="zh-CN"/>
              </w:rPr>
            </w:pPr>
          </w:p>
        </w:tc>
        <w:tc>
          <w:tcPr>
            <w:tcW w:w="1410" w:type="dxa"/>
            <w:noWrap w:val="0"/>
            <w:vAlign w:val="top"/>
          </w:tcPr>
          <w:p>
            <w:pPr>
              <w:jc w:val="left"/>
              <w:rPr>
                <w:rFonts w:hint="eastAsia" w:ascii="仿宋" w:hAnsi="仿宋" w:eastAsia="仿宋" w:cs="仿宋"/>
                <w:sz w:val="32"/>
                <w:szCs w:val="32"/>
                <w:vertAlign w:val="baseline"/>
                <w:lang w:eastAsia="zh-CN"/>
              </w:rPr>
            </w:pPr>
          </w:p>
        </w:tc>
        <w:tc>
          <w:tcPr>
            <w:tcW w:w="1695" w:type="dxa"/>
            <w:noWrap w:val="0"/>
            <w:vAlign w:val="top"/>
          </w:tcPr>
          <w:p>
            <w:pPr>
              <w:jc w:val="left"/>
              <w:rPr>
                <w:rFonts w:hint="eastAsia" w:ascii="仿宋" w:hAnsi="仿宋" w:eastAsia="仿宋" w:cs="仿宋"/>
                <w:sz w:val="32"/>
                <w:szCs w:val="32"/>
                <w:vertAlign w:val="baseline"/>
                <w:lang w:eastAsia="zh-CN"/>
              </w:rPr>
            </w:pPr>
          </w:p>
        </w:tc>
        <w:tc>
          <w:tcPr>
            <w:tcW w:w="2805" w:type="dxa"/>
            <w:noWrap w:val="0"/>
            <w:vAlign w:val="top"/>
          </w:tcPr>
          <w:p>
            <w:pPr>
              <w:jc w:val="left"/>
              <w:rPr>
                <w:rFonts w:hint="eastAsia" w:ascii="仿宋" w:hAnsi="仿宋" w:eastAsia="仿宋" w:cs="仿宋"/>
                <w:sz w:val="32"/>
                <w:szCs w:val="32"/>
                <w:vertAlign w:val="baseline"/>
                <w:lang w:eastAsia="zh-CN"/>
              </w:rPr>
            </w:pPr>
          </w:p>
        </w:tc>
        <w:tc>
          <w:tcPr>
            <w:tcW w:w="1715" w:type="dxa"/>
            <w:noWrap w:val="0"/>
            <w:vAlign w:val="top"/>
          </w:tcPr>
          <w:p>
            <w:pPr>
              <w:jc w:val="left"/>
              <w:rPr>
                <w:rFonts w:hint="eastAsia" w:ascii="仿宋" w:hAnsi="仿宋" w:eastAsia="仿宋" w:cs="仿宋"/>
                <w:sz w:val="32"/>
                <w:szCs w:val="32"/>
                <w:vertAlign w:val="baseline"/>
                <w:lang w:eastAsia="zh-CN"/>
              </w:rPr>
            </w:pPr>
          </w:p>
        </w:tc>
      </w:tr>
    </w:tbl>
    <w:p>
      <w:pPr>
        <w:jc w:val="left"/>
        <w:rPr>
          <w:rFonts w:hint="eastAsia" w:ascii="仿宋" w:hAnsi="仿宋" w:eastAsia="仿宋" w:cs="仿宋"/>
          <w:sz w:val="32"/>
          <w:szCs w:val="32"/>
          <w:u w:val="single"/>
          <w:lang w:val="en-US" w:eastAsia="zh-CN"/>
        </w:rPr>
      </w:pPr>
      <w:r>
        <w:rPr>
          <w:rFonts w:hint="eastAsia" w:ascii="仿宋" w:hAnsi="仿宋" w:eastAsia="仿宋" w:cs="仿宋"/>
          <w:sz w:val="32"/>
          <w:szCs w:val="32"/>
          <w:lang w:eastAsia="zh-CN"/>
        </w:rPr>
        <w:t>负责人：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              联系电话：</w:t>
      </w:r>
      <w:r>
        <w:rPr>
          <w:rFonts w:hint="eastAsia" w:ascii="仿宋" w:hAnsi="仿宋" w:eastAsia="仿宋" w:cs="仿宋"/>
          <w:sz w:val="32"/>
          <w:szCs w:val="32"/>
          <w:u w:val="single"/>
          <w:lang w:val="en-US" w:eastAsia="zh-CN"/>
        </w:rPr>
        <w:t xml:space="preserve">         </w:t>
      </w:r>
    </w:p>
    <w:p>
      <w:pPr>
        <w:pStyle w:val="4"/>
        <w:rPr>
          <w:rFonts w:hint="eastAsia" w:ascii="仿宋_GB2312" w:hAnsi="仿宋_GB2312" w:eastAsia="仿宋_GB2312" w:cs="仿宋_GB2312"/>
          <w:sz w:val="32"/>
          <w:szCs w:val="32"/>
          <w:lang w:val="en-US" w:eastAsia="zh-CN"/>
        </w:rPr>
      </w:pPr>
    </w:p>
    <w:p>
      <w:pPr>
        <w:pStyle w:val="4"/>
        <w:rPr>
          <w:rFonts w:hint="eastAsia" w:ascii="仿宋_GB2312" w:hAnsi="仿宋_GB2312" w:eastAsia="仿宋_GB2312" w:cs="仿宋_GB2312"/>
          <w:sz w:val="32"/>
          <w:szCs w:val="32"/>
          <w:lang w:val="en-US" w:eastAsia="zh-CN"/>
        </w:rPr>
      </w:pPr>
    </w:p>
    <w:p/>
    <w:sectPr>
      <w:pgSz w:w="11906" w:h="16838"/>
      <w:pgMar w:top="1814" w:right="1587"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2ZGUzMjAwNjRmZGI0Yjg5NGUxY2NiNmNiYmU2OTYifQ=="/>
  </w:docVars>
  <w:rsids>
    <w:rsidRoot w:val="00000000"/>
    <w:rsid w:val="27F20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uiPriority w:val="0"/>
    <w:pPr>
      <w:ind w:firstLine="420"/>
    </w:p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2022-05-11T03:33:50Z</dcterms:created>
  <dc:creator>admin</dc:creator>
  <cp:lastModifiedBy>贰倪</cp:lastModifiedBy>
  <dcterms:modified xsi:type="dcterms:W3CDTF">2022-05-11T03:34:03Z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B9A42C6B7C324CBA8026F07FC560B1D8</vt:lpwstr>
  </property>
</Properties>
</file>