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jc w:val="left"/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firstLine="442" w:firstLineChars="100"/>
        <w:jc w:val="center"/>
        <w:rPr>
          <w:rFonts w:hint="eastAsia" w:asciiTheme="majorEastAsia" w:eastAsiaTheme="majorEastAsia"/>
          <w:b/>
          <w:sz w:val="44"/>
        </w:rPr>
      </w:pPr>
      <w:r>
        <w:rPr>
          <w:rFonts w:hint="eastAsia" w:asciiTheme="majorEastAsia" w:eastAsiaTheme="majorEastAsia"/>
          <w:b/>
          <w:sz w:val="44"/>
        </w:rPr>
        <w:t>202</w:t>
      </w:r>
      <w:r>
        <w:rPr>
          <w:rFonts w:hint="eastAsia" w:asciiTheme="majorEastAsia" w:eastAsiaTheme="majorEastAsia"/>
          <w:b/>
          <w:sz w:val="44"/>
          <w:lang w:val="en-US" w:eastAsia="zh-CN"/>
        </w:rPr>
        <w:t>4</w:t>
      </w:r>
      <w:r>
        <w:rPr>
          <w:rFonts w:hint="eastAsia" w:asciiTheme="majorEastAsia" w:eastAsiaTheme="majorEastAsia"/>
          <w:b/>
          <w:sz w:val="44"/>
        </w:rPr>
        <w:t>年晋安区司法局“双随机、一公开” 抽查工作计划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firstLine="442" w:firstLineChars="100"/>
        <w:jc w:val="center"/>
        <w:rPr>
          <w:rFonts w:hint="eastAsia" w:asciiTheme="majorEastAsia" w:eastAsiaTheme="majorEastAsia"/>
          <w:b/>
          <w:sz w:val="44"/>
        </w:rPr>
      </w:pPr>
    </w:p>
    <w:tbl>
      <w:tblPr>
        <w:tblStyle w:val="4"/>
        <w:tblW w:w="0" w:type="auto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000000" w:sz="2" w:space="0"/>
          <w:insideV w:val="non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75"/>
        <w:gridCol w:w="1436"/>
        <w:gridCol w:w="904"/>
        <w:gridCol w:w="2507"/>
        <w:gridCol w:w="1006"/>
        <w:gridCol w:w="100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color w:val="000000"/>
                <w:sz w:val="19"/>
              </w:rPr>
              <w:t>序号</w:t>
            </w:r>
          </w:p>
        </w:tc>
        <w:tc>
          <w:tcPr>
            <w:tcW w:w="1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color w:val="000000"/>
                <w:sz w:val="19"/>
              </w:rPr>
              <w:t>抽查事项</w:t>
            </w:r>
          </w:p>
        </w:tc>
        <w:tc>
          <w:tcPr>
            <w:tcW w:w="14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color w:val="000000"/>
                <w:sz w:val="19"/>
              </w:rPr>
              <w:t>抽查依据</w:t>
            </w:r>
          </w:p>
        </w:tc>
        <w:tc>
          <w:tcPr>
            <w:tcW w:w="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color w:val="000000"/>
                <w:sz w:val="19"/>
              </w:rPr>
              <w:t>抽查  主体</w:t>
            </w:r>
          </w:p>
        </w:tc>
        <w:tc>
          <w:tcPr>
            <w:tcW w:w="2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color w:val="000000"/>
                <w:sz w:val="19"/>
              </w:rPr>
              <w:t>抽</w:t>
            </w:r>
            <w:bookmarkStart w:id="0" w:name="_GoBack"/>
            <w:bookmarkEnd w:id="0"/>
            <w:r>
              <w:rPr>
                <w:rFonts w:hint="eastAsia" w:ascii="宋体" w:eastAsia="宋体"/>
                <w:b/>
                <w:color w:val="000000"/>
                <w:sz w:val="19"/>
              </w:rPr>
              <w:t>查内容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color w:val="000000"/>
                <w:sz w:val="19"/>
              </w:rPr>
              <w:t xml:space="preserve">抽查  </w:t>
            </w:r>
            <w:r>
              <w:rPr>
                <w:rFonts w:ascii="宋体"/>
                <w:b/>
                <w:color w:val="000000"/>
                <w:sz w:val="19"/>
              </w:rPr>
              <w:t xml:space="preserve"> </w:t>
            </w:r>
            <w:r>
              <w:rPr>
                <w:rFonts w:hint="eastAsia" w:ascii="宋体" w:eastAsia="宋体"/>
                <w:b/>
                <w:color w:val="000000"/>
                <w:sz w:val="19"/>
              </w:rPr>
              <w:t>方式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b/>
                <w:color w:val="000000"/>
                <w:sz w:val="19"/>
              </w:rPr>
            </w:pPr>
            <w:r>
              <w:rPr>
                <w:rFonts w:hint="eastAsia" w:ascii="宋体" w:eastAsia="宋体"/>
                <w:b/>
                <w:color w:val="000000"/>
                <w:sz w:val="19"/>
              </w:rPr>
              <w:t>完成时限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1</w:t>
            </w:r>
          </w:p>
        </w:tc>
        <w:tc>
          <w:tcPr>
            <w:tcW w:w="1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律师执业监督检查</w:t>
            </w:r>
          </w:p>
        </w:tc>
        <w:tc>
          <w:tcPr>
            <w:tcW w:w="14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525252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《律师法》第四条</w:t>
            </w:r>
          </w:p>
        </w:tc>
        <w:tc>
          <w:tcPr>
            <w:tcW w:w="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ascii="宋体"/>
                <w:color w:val="000000"/>
                <w:sz w:val="19"/>
              </w:rPr>
              <w:t>辖属</w:t>
            </w:r>
            <w:r>
              <w:rPr>
                <w:rFonts w:hint="eastAsia" w:ascii="宋体" w:eastAsia="宋体"/>
                <w:color w:val="000000"/>
                <w:sz w:val="19"/>
              </w:rPr>
              <w:t>律师事务所</w:t>
            </w:r>
          </w:p>
        </w:tc>
        <w:tc>
          <w:tcPr>
            <w:tcW w:w="2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left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1.律师事务所保持设立条件情况；2.律师事务所建立健全规章制度及执行情况；3.律师事务所统一收案、统一收费</w:t>
            </w:r>
            <w:r>
              <w:rPr>
                <w:rFonts w:ascii="宋体"/>
                <w:color w:val="000000"/>
                <w:sz w:val="19"/>
              </w:rPr>
              <w:t>并</w:t>
            </w:r>
            <w:r>
              <w:rPr>
                <w:rFonts w:hint="eastAsia" w:ascii="宋体" w:eastAsia="宋体"/>
                <w:color w:val="000000"/>
                <w:sz w:val="19"/>
              </w:rPr>
              <w:t>如实入账情况；4.律师事务所遵守法律法规及规章情况；5.律师遵守法律法规及规章情况；6.法律法规和规章规定的其他事项。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left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现场检查与书面检查相结合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left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第一次：6月底前；第二次：12月底前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2</w:t>
            </w:r>
          </w:p>
        </w:tc>
        <w:tc>
          <w:tcPr>
            <w:tcW w:w="1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公证执业监督检查</w:t>
            </w:r>
          </w:p>
        </w:tc>
        <w:tc>
          <w:tcPr>
            <w:tcW w:w="14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525252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《公证机构执业管理办法》第二十六条</w:t>
            </w:r>
          </w:p>
        </w:tc>
        <w:tc>
          <w:tcPr>
            <w:tcW w:w="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center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ascii="宋体"/>
                <w:color w:val="000000"/>
                <w:sz w:val="19"/>
              </w:rPr>
              <w:t>公证机构</w:t>
            </w:r>
          </w:p>
        </w:tc>
        <w:tc>
          <w:tcPr>
            <w:tcW w:w="2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left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1.组织建设情况；2、执业活动情况；3、公证质量情况；4.公证员执业年度考核情况；5.档案管理情况；6.财务制度执行情况；7.内部管理制度建设情况；8.司法部和省、自治区、直辖市司法行政机关要求进行监督检查的其他事项。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left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现场检查与书面检查相结合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/>
              <w:jc w:val="left"/>
              <w:textAlignment w:val="center"/>
              <w:rPr>
                <w:rFonts w:hint="eastAsia" w:ascii="宋体" w:eastAsia="宋体"/>
                <w:color w:val="000000"/>
                <w:sz w:val="19"/>
              </w:rPr>
            </w:pPr>
            <w:r>
              <w:rPr>
                <w:rFonts w:hint="eastAsia" w:ascii="宋体" w:eastAsia="宋体"/>
                <w:color w:val="000000"/>
                <w:sz w:val="19"/>
              </w:rPr>
              <w:t>第一次：6月底前；第二次：12月底前</w:t>
            </w:r>
          </w:p>
        </w:tc>
      </w:tr>
    </w:tbl>
    <w:p/>
    <w:sectPr>
      <w:pgSz w:w="11906" w:h="16838"/>
      <w:pgMar w:top="1701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2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2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ulTrailSpace/>
    <w:adjustLineHeightInTable/>
    <w:useFELayout/>
    <w:useAltKinsokuLineBreakRules/>
    <w:compatSetting w:name="compatibilityMode" w:uri="http://schemas.microsoft.com/office/word" w:val="14"/>
    <w:compatSetting w:name="differentiateMultirowTableHeaders" w:uri="http://schemas.microsoft.com/office/word" w:val="1"/>
  </w:compat>
  <w:docVars>
    <w:docVar w:name="commondata" w:val="eyJoZGlkIjoiYjBhN2JkMzE0NjdiOWUyM2M2ZmVkNmMyZmEyMzY2YTMifQ=="/>
  </w:docVars>
  <w:rsids>
    <w:rsidRoot w:val="00000000"/>
    <w:rsid w:val="1B45483A"/>
    <w:rsid w:val="5FFB9992"/>
    <w:rsid w:val="6B5CBEA5"/>
    <w:rsid w:val="7BFFF1DB"/>
    <w:rsid w:val="97DF00FE"/>
    <w:rsid w:val="E5FB8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eastAsia="宋体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eastAsia="宋体"/>
      <w:b/>
      <w:sz w:val="48"/>
    </w:rPr>
  </w:style>
  <w:style w:type="character" w:default="1" w:styleId="5">
    <w:name w:val="Default Paragraph Font"/>
    <w:autoRedefine/>
    <w:semiHidden/>
    <w:unhideWhenUsed/>
    <w:qFormat/>
    <w:uiPriority w:val="99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/>
      <w:jc w:val="left"/>
    </w:pPr>
    <w:rPr>
      <w:sz w:val="24"/>
    </w:rPr>
  </w:style>
  <w:style w:type="paragraph" w:styleId="6">
    <w:name w:val="List Paragraph"/>
    <w:autoRedefine/>
    <w:qFormat/>
    <w:uiPriority w:val="0"/>
    <w:pPr>
      <w:ind w:firstLine="420" w:firstLineChars="200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headEnd type="none" w="med" len="med"/>
        </a:ln>
        <a:ln w="25400" cap="flat" cmpd="sng">
          <a:solidFill>
            <a:schemeClr val="phClr"/>
          </a:solidFill>
          <a:prstDash val="solid"/>
          <a:headEnd type="none" w="med" len="med"/>
        </a:ln>
        <a:ln w="38100" cap="flat" cmpd="sng">
          <a:solidFill>
            <a:schemeClr val="phClr"/>
          </a:solidFill>
          <a:prstDash val="solid"/>
          <a:headEnd type="none" w="med" len="me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泰山信息科技有限公司</Company>
  <Pages>1</Pages>
  <Words>8</Words>
  <Lines>2</Lines>
  <Paragraphs>1</Paragraphs>
  <TotalTime>17</TotalTime>
  <ScaleCrop>false</ScaleCrop>
  <LinksUpToDate>false</LinksUpToDate>
  <CharactersWithSpaces>11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1899-12-30T00:00:00Z</dcterms:created>
  <dc:creator>lgk</dc:creator>
  <cp:lastModifiedBy>admin</cp:lastModifiedBy>
  <cp:lastPrinted>2024-03-18T18:04:00Z</cp:lastPrinted>
  <dcterms:modified xsi:type="dcterms:W3CDTF">2024-05-07T02:21:16Z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ED09CA57ED464CC7A40B50B5061156BB_12</vt:lpwstr>
  </property>
</Properties>
</file>