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32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专项转移支付整体绩效目标表</w:t>
      </w:r>
    </w:p>
    <w:p>
      <w:pPr>
        <w:spacing w:line="56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（20</w:t>
      </w:r>
      <w:r>
        <w:rPr>
          <w:rFonts w:hint="eastAsia" w:ascii="仿宋" w:hAnsi="仿宋" w:eastAsia="仿宋" w:cs="仿宋"/>
          <w:sz w:val="24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</w:rPr>
        <w:t>年度）</w:t>
      </w:r>
    </w:p>
    <w:tbl>
      <w:tblPr>
        <w:tblStyle w:val="4"/>
        <w:tblpPr w:leftFromText="180" w:rightFromText="180" w:vertAnchor="text" w:horzAnchor="page" w:tblpX="1590" w:tblpY="47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2409"/>
        <w:gridCol w:w="383"/>
        <w:gridCol w:w="1602"/>
        <w:gridCol w:w="1068"/>
        <w:gridCol w:w="775"/>
        <w:gridCol w:w="47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9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宋体"/>
                <w:sz w:val="22"/>
              </w:rPr>
              <w:t>项目名称</w:t>
            </w:r>
          </w:p>
        </w:tc>
        <w:tc>
          <w:tcPr>
            <w:tcW w:w="500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峨嵋村（南边洋、峨嵋洋）机耕道路工程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92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主管部门（单位）名称及部门预算编码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晋安区民族与宗教事务局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补助区域</w:t>
            </w: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宦溪镇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927" w:type="dxa"/>
            <w:gridSpan w:val="4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资金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情况</w:t>
            </w:r>
            <w:r>
              <w:rPr>
                <w:rFonts w:hint="eastAsia" w:ascii="仿宋" w:hAnsi="仿宋" w:eastAsia="仿宋" w:cs="仿宋"/>
                <w:sz w:val="22"/>
              </w:rPr>
              <w:t>（万元）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资金总额：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927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其中：财政拨款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927" w:type="dxa"/>
            <w:gridSpan w:val="4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</w:p>
        </w:tc>
        <w:tc>
          <w:tcPr>
            <w:tcW w:w="26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其他资金</w:t>
            </w:r>
          </w:p>
        </w:tc>
        <w:tc>
          <w:tcPr>
            <w:tcW w:w="23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总体目标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改善民族村基础设施条件</w:t>
            </w:r>
            <w:r>
              <w:rPr>
                <w:rFonts w:hint="eastAsia" w:ascii="仿宋" w:hAnsi="仿宋" w:eastAsia="仿宋" w:cs="仿宋"/>
                <w:sz w:val="22"/>
                <w:lang w:eastAsia="zh-CN"/>
              </w:rPr>
              <w:t>，增强经济发展“造血功能”，促进社会事业进步。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绩效指标</w:t>
            </w: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一级指标</w:t>
            </w:r>
          </w:p>
        </w:tc>
        <w:tc>
          <w:tcPr>
            <w:tcW w:w="240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二级指标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三级指标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指标值解释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区域目标值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数量指标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项目动工率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已动工项目数/项目表中补助项目数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项目完工率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已完工项目数/项目表中补助项目数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成本指标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下拨总金额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反映该项目投入情况（万元）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质量指标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竣工验收合格率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反映工程完工后验收合格率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≧85%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时效指标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资金到位率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拨付到项目业主单位的补助资金总额/项目表中补助项目数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项目资金支出率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项目实际支出数/补助资金总额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效益指标</w:t>
            </w:r>
          </w:p>
        </w:tc>
        <w:tc>
          <w:tcPr>
            <w:tcW w:w="240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社会效益指标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项目惠及人数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各项目惠及民族乡村人数不少于100人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  ≥100人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满意度指标</w:t>
            </w:r>
          </w:p>
        </w:tc>
        <w:tc>
          <w:tcPr>
            <w:tcW w:w="2409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服务对象满意度指标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项目建设满意度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各项目建设（实施）完成后，群众的满意程度。抽样调查,满意人数/调查有效人数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≥95%</w:t>
            </w:r>
          </w:p>
        </w:tc>
      </w:tr>
    </w:tbl>
    <w:p>
      <w:pPr>
        <w:spacing w:line="320" w:lineRule="exact"/>
        <w:jc w:val="left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4" w:right="1531" w:bottom="1417" w:left="1531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2M3NjFkMzQ2YzBjNzY2ZmQ5NGVmNjU1MWU5M2IifQ=="/>
  </w:docVars>
  <w:rsids>
    <w:rsidRoot w:val="7938320A"/>
    <w:rsid w:val="0BC81BCE"/>
    <w:rsid w:val="239237D4"/>
    <w:rsid w:val="793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960</Characters>
  <Lines>0</Lines>
  <Paragraphs>0</Paragraphs>
  <TotalTime>1</TotalTime>
  <ScaleCrop>false</ScaleCrop>
  <LinksUpToDate>false</LinksUpToDate>
  <CharactersWithSpaces>991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2023-04-28T02:23:00Z</dcterms:created>
  <dc:creator>admin</dc:creator>
  <cp:lastModifiedBy>admin</cp:lastModifiedBy>
  <dcterms:modified xsi:type="dcterms:W3CDTF">2023-04-28T02:42:48Z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848BCDE2DAB44CE08AC936132F142CE8_13</vt:lpwstr>
  </property>
</Properties>
</file>