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eastAsia="宋体" w:cs="仿宋"/>
          <w:kern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  <w:r>
        <w:rPr>
          <w:rFonts w:hint="default" w:ascii="宋体" w:hAnsi="宋体" w:eastAsia="宋体" w:cs="宋体"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cs="宋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2024年省级少数民族补助款专项资金绩效目标表1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8670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70"/>
        <w:gridCol w:w="1110"/>
        <w:gridCol w:w="2145"/>
        <w:gridCol w:w="2106"/>
        <w:gridCol w:w="795"/>
        <w:gridCol w:w="5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59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东坪村蜜蜂养殖基地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主管部门（单位）名称及部门预算编码</w:t>
            </w:r>
          </w:p>
        </w:tc>
        <w:tc>
          <w:tcPr>
            <w:tcW w:w="42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晋安区民族与宗教事务局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补助区域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日溪乡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4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资金情况（万元）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资金总额：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7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其中：财政拨款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其他资金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总体目标</w:t>
            </w:r>
          </w:p>
        </w:tc>
        <w:tc>
          <w:tcPr>
            <w:tcW w:w="82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《福建省少数民族发展与补助资金管理办法》（闽财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行〔2021〕13号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）等文件规定，改善少数民族基础设施建设，提高少数民族群众生产生活质量和水平。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绩效指标</w:t>
            </w: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一级指标</w:t>
            </w: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二级指标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三级指标</w:t>
            </w:r>
          </w:p>
        </w:tc>
        <w:tc>
          <w:tcPr>
            <w:tcW w:w="210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指标解释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0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全区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日溪乡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产出指标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数量指标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补助项目数量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反映补助项目数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质量指标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资金拨付合规性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</w:rPr>
              <w:t>反映下拨资金符合有关政策规定情况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时效指标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资金按时到位率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资金按时到位情况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资金下达及时率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反映资金下达情况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项目完成进度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反映项目完成情况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成本指标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下拨资金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反映实施相关项目所产生的直接经济成本</w:t>
            </w:r>
          </w:p>
        </w:tc>
        <w:tc>
          <w:tcPr>
            <w:tcW w:w="8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效益指标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社会效益指标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少数民族地区人均年收入增长率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反映少数民族农民年人均可支配收入水平提高情况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满意度指标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服务对象满意度指标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受助对象满意度</w:t>
            </w:r>
          </w:p>
        </w:tc>
        <w:tc>
          <w:tcPr>
            <w:tcW w:w="21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少数民族群众对项目工程的满意度</w:t>
            </w:r>
          </w:p>
        </w:tc>
        <w:tc>
          <w:tcPr>
            <w:tcW w:w="16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90%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宋体" w:hAnsi="宋体" w:cs="宋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2024年省级少数民族补助款专项资金绩效目标表2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3"/>
        <w:tblW w:w="8670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01"/>
        <w:gridCol w:w="1179"/>
        <w:gridCol w:w="2145"/>
        <w:gridCol w:w="2025"/>
        <w:gridCol w:w="825"/>
        <w:gridCol w:w="71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592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党洋村环村路拓宽工程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74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主管部门（单位）名称及部门预算编码</w:t>
            </w:r>
          </w:p>
        </w:tc>
        <w:tc>
          <w:tcPr>
            <w:tcW w:w="4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晋安区民族与宗教事务局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补助区域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日溪乡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745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资金情况（万元）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资金总额：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27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其中：财政拨款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45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其他资金</w:t>
            </w:r>
          </w:p>
        </w:tc>
        <w:tc>
          <w:tcPr>
            <w:tcW w:w="37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4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总体目标</w:t>
            </w:r>
          </w:p>
        </w:tc>
        <w:tc>
          <w:tcPr>
            <w:tcW w:w="82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按照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《福建省少数民族发展与补助资金管理办法》（闽财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行〔2021〕13号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）等文件规定，改善少数民族基础设施建设，提高少数民族群众生产生活质量和水平。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绩效指标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一级指标</w:t>
            </w: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二级指标</w:t>
            </w:r>
          </w:p>
        </w:tc>
        <w:tc>
          <w:tcPr>
            <w:tcW w:w="21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三级指标</w:t>
            </w:r>
          </w:p>
        </w:tc>
        <w:tc>
          <w:tcPr>
            <w:tcW w:w="20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指标解释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0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全区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日溪乡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产出指标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数量指标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补助项目数量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反映补助项目数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质量指标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竣工验收合格率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反映工程完工后验收合格率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时效指标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资金按时到位率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资金按时到位情况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资金下达及时率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反映资金下达情况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项目完成进度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反映项目完成情况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≧90%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成本指标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下拨资金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反映实施相关项目所产生的直接经济成本</w:t>
            </w: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效益指标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社会效益指标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少数民族地区人均年收入增长率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反映少数民族农民年人均可支配收入水平提高情况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满意度指标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服务对象满意度指标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受助对象满意度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少数民族群众对项目工程的满意度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2M3NjFkMzQ2YzBjNzY2ZmQ5NGVmNjU1MWU5M2IifQ=="/>
  </w:docVars>
  <w:rsids>
    <w:rsidRoot w:val="314076D4"/>
    <w:rsid w:val="314076D4"/>
    <w:rsid w:val="520B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2024-05-09T07:54:00Z</dcterms:created>
  <dc:creator>admin</dc:creator>
  <cp:lastModifiedBy>admin</cp:lastModifiedBy>
  <dcterms:modified xsi:type="dcterms:W3CDTF">2024-05-09T07:56:59Z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AEF4C8AE2B754B40B057DF98869B8DAF_13</vt:lpwstr>
  </property>
</Properties>
</file>