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bCs/>
          <w:i w:val="0"/>
          <w:caps w:val="0"/>
          <w:color w:val="auto"/>
          <w:spacing w:val="0"/>
          <w:sz w:val="44"/>
          <w:szCs w:val="44"/>
          <w:u w:val="none"/>
          <w:shd w:val="clear" w:color="auto" w:fill="FFFFFF"/>
        </w:rPr>
      </w:pPr>
      <w:r>
        <w:rPr>
          <w:rFonts w:hint="eastAsia" w:ascii="宋体" w:hAnsi="宋体" w:eastAsia="宋体" w:cs="宋体"/>
          <w:b/>
          <w:bCs/>
          <w:i w:val="0"/>
          <w:caps w:val="0"/>
          <w:color w:val="auto"/>
          <w:spacing w:val="0"/>
          <w:sz w:val="44"/>
          <w:szCs w:val="44"/>
          <w:u w:val="none"/>
          <w:shd w:val="clear" w:color="auto" w:fill="FFFFFF"/>
        </w:rPr>
        <w:t>晋安区政府投资的信息化项目管理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宋体" w:hAnsi="宋体" w:eastAsia="宋体" w:cs="宋体"/>
          <w:b/>
          <w:bCs/>
          <w:i w:val="0"/>
          <w:caps w:val="0"/>
          <w:color w:val="auto"/>
          <w:spacing w:val="0"/>
          <w:sz w:val="44"/>
          <w:szCs w:val="44"/>
          <w:u w:val="none"/>
          <w:shd w:val="clear" w:color="auto" w:fill="FFFFFF"/>
        </w:rPr>
      </w:pPr>
      <w:r>
        <w:rPr>
          <w:rFonts w:hint="eastAsia" w:ascii="宋体" w:hAnsi="宋体" w:eastAsia="宋体" w:cs="宋体"/>
          <w:b/>
          <w:bCs/>
          <w:i w:val="0"/>
          <w:caps w:val="0"/>
          <w:color w:val="auto"/>
          <w:spacing w:val="0"/>
          <w:sz w:val="44"/>
          <w:szCs w:val="44"/>
          <w:u w:val="none"/>
          <w:shd w:val="clear" w:color="auto" w:fill="FFFFFF"/>
        </w:rPr>
        <w:t>暂行规定指南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bCs/>
          <w:i w:val="0"/>
          <w:caps w:val="0"/>
          <w:color w:val="auto"/>
          <w:spacing w:val="0"/>
          <w:sz w:val="44"/>
          <w:szCs w:val="44"/>
          <w:u w:val="none"/>
          <w:shd w:val="clear" w:color="auto" w:fill="FFFFFF"/>
        </w:rPr>
      </w:pPr>
    </w:p>
    <w:tbl>
      <w:tblPr>
        <w:tblStyle w:val="4"/>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41"/>
        <w:gridCol w:w="2515"/>
        <w:gridCol w:w="1856"/>
        <w:gridCol w:w="4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事项名称</w:t>
            </w:r>
          </w:p>
        </w:tc>
        <w:tc>
          <w:tcPr>
            <w:tcW w:w="86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晋安区政府投资的信息化项目管理暂行规定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依据文件</w:t>
            </w:r>
          </w:p>
        </w:tc>
        <w:tc>
          <w:tcPr>
            <w:tcW w:w="86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《福州市人民政府办公厅关于印发&lt;政府投资的信息化项目管理暂行办法（修订）&gt;的通知》（榕政办〔2015〕184号）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实施部门</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（单位）</w:t>
            </w:r>
          </w:p>
        </w:tc>
        <w:tc>
          <w:tcPr>
            <w:tcW w:w="2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区发改局</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（区大数据局）</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关联部门</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（单位）</w:t>
            </w:r>
          </w:p>
        </w:tc>
        <w:tc>
          <w:tcPr>
            <w:tcW w:w="4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区财政等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受理条件</w:t>
            </w:r>
          </w:p>
        </w:tc>
        <w:tc>
          <w:tcPr>
            <w:tcW w:w="86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凡区本级财政投入的信息化项目，软件开发总投资额超过15万元人民币，或系统集成总投资额超过30万元人民币。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申</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报</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材</w:t>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br w:type="textWrapping"/>
            </w:r>
            <w:r>
              <w:rPr>
                <w:rFonts w:hint="eastAsia" w:ascii="仿宋_GB2312" w:hAnsi="宋体" w:eastAsia="仿宋_GB2312" w:cs="仿宋_GB2312"/>
                <w:b/>
                <w:i w:val="0"/>
                <w:color w:val="000000"/>
                <w:kern w:val="0"/>
                <w:sz w:val="24"/>
                <w:szCs w:val="24"/>
                <w:u w:val="none"/>
                <w:lang w:val="en-US" w:eastAsia="zh-CN" w:bidi="ar"/>
              </w:rPr>
              <w:t>料</w:t>
            </w:r>
          </w:p>
        </w:tc>
        <w:tc>
          <w:tcPr>
            <w:tcW w:w="86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一、政府投资项目申请应提交如下材料：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86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1.项目申报表；</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2.项目建议书。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86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二、政府投资项目可行性研究报告审批应提交如下材料：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5"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86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1.可行性研究报告审批申请文件；</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2.财政投资信息化项目总投资超过50（含50）万元人民币，项目建设单位提供由有资质单位编写的可行性研究报告；</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3.财政投资信息化项目总投资不超过50万元人民币，项目建设单位提供由有资质单位编写的可行性研究报告或自行编写的项目技术设计方案；</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4.其他资金来源证明。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86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三、政府投资项目变更应提交如下材料：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95"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86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1.项目概算执行情况；</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2.调整概算申请报告；</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3.区发改局（区大数据局）对项目可行性研究报告或技术方案评审的批复文件；</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4.原设计单位提供的项目概算变更部分说明文件；</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5.概算增减原因分析和变更对照表；</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6.项目建设实施过程中出现需调整概算清算的有关证明材料。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86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四、政府投资项目招标应提交如下资料：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86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1.招标方案。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86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五、政府投资项目监理应提交如下材料：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86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1.项目招投标情况说明；</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2.建设进度情况说明；</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3.监理月报；</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4.概算控制说明；</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5.建设过程中的设计变更说明。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86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六、政府投资项目竣工验收应提交如下材料：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5"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86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1.竣工验收申请报告；</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2.项目建设总结；</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3.初步验收报告；</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4.财务报告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86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七、政府投资项目延期竣工验收应提交如下材料：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b/>
                <w:i w:val="0"/>
                <w:color w:val="000000"/>
                <w:sz w:val="24"/>
                <w:szCs w:val="24"/>
                <w:u w:val="none"/>
              </w:rPr>
            </w:pPr>
          </w:p>
        </w:tc>
        <w:tc>
          <w:tcPr>
            <w:tcW w:w="86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1.延期竣工验收申请。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5" w:hRule="atLeast"/>
        </w:trPr>
        <w:tc>
          <w:tcPr>
            <w:tcW w:w="11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备注</w:t>
            </w:r>
          </w:p>
        </w:tc>
        <w:tc>
          <w:tcPr>
            <w:tcW w:w="86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属于国家、省、市里统筹安排并拨付资金建设的信息化项目，项目建设单位在向上级有关单位办理申报手续后，须将项目资料报送区发改局（区大数据局）备案；软件开发总投资额低于15万元人民币，或系统集成总投资额低于30万元人民币的信息化项目建设报送区发改局（区大数据局）备案。</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761B3"/>
    <w:rsid w:val="2CC76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ascii="仿宋" w:hAnsi="仿宋" w:eastAsia="仿宋" w:cs="仿宋"/>
      <w:sz w:val="24"/>
      <w:szCs w:val="24"/>
      <w:lang w:val="zh-CN" w:eastAsia="zh-CN" w:bidi="zh-CN"/>
    </w:rPr>
  </w:style>
  <w:style w:type="paragraph" w:styleId="3">
    <w:name w:val="Normal (Web)"/>
    <w:basedOn w:val="1"/>
    <w:qFormat/>
    <w:uiPriority w:val="0"/>
    <w:pPr>
      <w:widowControl w:val="0"/>
      <w:spacing w:before="100" w:beforeAutospacing="1" w:after="100" w:afterAutospacing="1"/>
    </w:pPr>
    <w:rPr>
      <w:rFonts w:ascii="宋体" w:hAnsi="Calibri" w:eastAsia="宋体" w:cs="黑体"/>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2020-09-07T09:04:00Z</dcterms:created>
  <dc:creator>浮世灬繁华</dc:creator>
  <cp:lastModifiedBy>浮世灬繁华</cp:lastModifiedBy>
  <dcterms:modified xsi:type="dcterms:W3CDTF">2020-09-07T09:04:29Z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