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mc:AlternateContent>
          <mc:Choice Requires="wpg">
            <w:drawing>
              <wp:anchor distT="0" distB="0" distL="114300" distR="114300" simplePos="0" relativeHeight="251659264" behindDoc="1" locked="0" layoutInCell="1" allowOverlap="1">
                <wp:simplePos x="0" y="0"/>
                <wp:positionH relativeFrom="column">
                  <wp:posOffset>-142875</wp:posOffset>
                </wp:positionH>
                <wp:positionV relativeFrom="page">
                  <wp:posOffset>1819275</wp:posOffset>
                </wp:positionV>
                <wp:extent cx="5791200" cy="1845310"/>
                <wp:effectExtent l="0" t="0" r="0" b="20320"/>
                <wp:wrapNone/>
                <wp:docPr id="4" name="组合 4"/>
                <wp:cNvGraphicFramePr/>
                <a:graphic xmlns:a="http://schemas.openxmlformats.org/drawingml/2006/main">
                  <a:graphicData uri="http://schemas.microsoft.com/office/word/2010/wordprocessingGroup">
                    <wpg:wgp>
                      <wpg:cNvGrpSpPr/>
                      <wpg:grpSpPr>
                        <a:xfrm>
                          <a:off x="0" y="0"/>
                          <a:ext cx="5791200" cy="1845310"/>
                          <a:chOff x="-133350" y="0"/>
                          <a:chExt cx="5791200" cy="1845944"/>
                        </a:xfrm>
                        <a:effectLst/>
                      </wpg:grpSpPr>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133350" y="0"/>
                            <a:ext cx="5791200" cy="1247775"/>
                          </a:xfrm>
                          <a:prstGeom prst="rect">
                            <a:avLst/>
                          </a:prstGeom>
                          <a:noFill/>
                          <a:ln>
                            <a:noFill/>
                          </a:ln>
                          <a:effectLst/>
                        </pic:spPr>
                      </pic:pic>
                      <wps:wsp>
                        <wps:cNvPr id="3" name="矩形 3"/>
                        <wps:cNvSpPr/>
                        <wps:spPr>
                          <a:xfrm>
                            <a:off x="0" y="1800225"/>
                            <a:ext cx="5495925" cy="45719"/>
                          </a:xfrm>
                          <a:prstGeom prst="rect">
                            <a:avLst/>
                          </a:prstGeom>
                          <a:solidFill>
                            <a:srgbClr val="FF0000"/>
                          </a:solidFill>
                          <a:ln>
                            <a:solidFill>
                              <a:srgbClr val="FF0000"/>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25pt;margin-top:143.25pt;height:145.3pt;width:456pt;mso-position-vertical-relative:page;z-index:-251657216;mso-width-relative:page;mso-height-relative:page;" coordorigin="-133350,0" coordsize="5791200,1845944" o:gfxdata="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">
                <o:lock v:ext="edit" aspectratio="f"/>
                <v:shape id="_x0000_s1026" o:spid="_x0000_s1026" o:spt="75" type="#_x0000_t75" style="position:absolute;left:-133350;top:0;height:1247775;width:5791200;" filled="f" o:preferrelative="t" stroked="f" coordsize="21600,21600" o:gfxdata="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qihJugAAANoA&#10;AAAPAAAAAAAAAAEAIAAAACIAAABkcnMvZG93bnJldi54bWxQSwECFAAUAAAACACHTuJAMy8FnjsA&#10;AAA5AAAAEAAAAAAAAAABACAAAAAJAQAAZHJzL3NoYXBleG1sLnhtbFBLBQYAAAAABgAGAFsBAACz&#10;AwAAAAA=&#10;">
                  <v:fill on="f" focussize="0,0"/>
                  <v:stroke on="f"/>
                  <v:imagedata r:id="rId4" o:title=""/>
                  <o:lock v:ext="edit" aspectratio="t"/>
                </v:shape>
                <v:rect id="_x0000_s1026" o:spid="_x0000_s1026" o:spt="1" style="position:absolute;left:0;top:1800225;height:45719;width:5495925;v-text-anchor:middle;" fillcolor="#FF0000" filled="t" stroked="t" coordsize="21600,21600" o:gfxdata="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wzWbsAAADa&#10;AAAADwAAAAAAAAABACAAAAAiAAAAZHJzL2Rvd25yZXYueG1sUEsBAhQAFAAAAAgAh07iQDMvBZ47&#10;AAAAOQAAABAAAAAAAAAAAQAgAAAACgEAAGRycy9zaGFwZXhtbC54bWxQSwUGAAAAAAYABgBbAQAA&#10;tAMAAAAA&#10;">
                  <v:fill on="t" focussize="0,0"/>
                  <v:stroke weight="2pt" color="#FF0000 [3200]" joinstyle="round"/>
                  <v:imagedata o:title=""/>
                  <o:lock v:ext="edit" aspectratio="f"/>
                </v:rect>
              </v:group>
            </w:pict>
          </mc:Fallback>
        </mc:AlternateContent>
      </w:r>
    </w:p>
    <w:p/>
    <w:p/>
    <w:p/>
    <w:p>
      <w:pPr>
        <w:widowControl/>
        <w:spacing w:line="400" w:lineRule="exact"/>
        <w:jc w:val="center"/>
        <w:rPr>
          <w:rFonts w:hint="eastAsia" w:ascii="仿宋" w:hAnsi="仿宋"/>
          <w:kern w:val="0"/>
          <w:sz w:val="30"/>
          <w:lang w:val="en-US" w:eastAsia="zh-CN"/>
        </w:rPr>
      </w:pPr>
      <w:r>
        <w:rPr>
          <w:rFonts w:hint="eastAsia" w:ascii="仿宋" w:hAnsi="仿宋"/>
          <w:kern w:val="0"/>
          <w:sz w:val="30"/>
        </w:rPr>
        <w:t>榕晋农</w:t>
      </w:r>
      <w:r>
        <w:rPr>
          <w:rFonts w:hint="eastAsia" w:ascii="仿宋" w:hAnsi="仿宋"/>
          <w:kern w:val="0"/>
          <w:sz w:val="30"/>
          <w:lang w:eastAsia="zh-CN"/>
        </w:rPr>
        <w:t>函</w:t>
      </w:r>
      <w:r>
        <w:rPr>
          <w:rFonts w:hint="eastAsia" w:ascii="仿宋" w:hAnsi="仿宋"/>
          <w:kern w:val="0"/>
          <w:sz w:val="30"/>
        </w:rPr>
        <w:t>〔20</w:t>
      </w:r>
      <w:r>
        <w:rPr>
          <w:rFonts w:hint="eastAsia" w:ascii="仿宋" w:hAnsi="仿宋"/>
          <w:kern w:val="0"/>
          <w:sz w:val="30"/>
          <w:lang w:val="en-US" w:eastAsia="zh-CN"/>
        </w:rPr>
        <w:t>23</w:t>
      </w:r>
      <w:r>
        <w:rPr>
          <w:rFonts w:hint="eastAsia" w:ascii="仿宋" w:hAnsi="仿宋"/>
          <w:kern w:val="0"/>
          <w:sz w:val="30"/>
        </w:rPr>
        <w:t>〕</w:t>
      </w:r>
      <w:r>
        <w:rPr>
          <w:rFonts w:hint="eastAsia" w:ascii="仿宋" w:hAnsi="仿宋"/>
          <w:kern w:val="0"/>
          <w:sz w:val="30"/>
          <w:lang w:val="en-US" w:eastAsia="zh-CN"/>
        </w:rPr>
        <w:t xml:space="preserve">9号   </w:t>
      </w:r>
    </w:p>
    <w:p>
      <w:pPr>
        <w:widowControl/>
        <w:spacing w:line="400" w:lineRule="exact"/>
        <w:jc w:val="both"/>
        <w:rPr>
          <w:rFonts w:hint="eastAsia" w:ascii="仿宋" w:hAnsi="仿宋"/>
          <w:kern w:val="0"/>
          <w:sz w:val="30"/>
          <w:lang w:val="en-US" w:eastAsia="zh-CN"/>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福州市晋安区农业农村局</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关于报送20</w:t>
      </w:r>
      <w:r>
        <w:rPr>
          <w:rFonts w:ascii="方正小标宋简体" w:eastAsia="方正小标宋简体"/>
          <w:sz w:val="44"/>
          <w:szCs w:val="44"/>
        </w:rPr>
        <w:t>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年政府信息公开工作</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年度报告的函</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区政府办：</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根据《国务院办公厅政府信息公开办公室关于政府信息公开工作年度报告有关事项的通知》（国办公开办函〔202</w:t>
      </w:r>
      <w:r>
        <w:rPr>
          <w:rFonts w:hint="eastAsia" w:ascii="仿宋_GB2312" w:eastAsia="仿宋_GB2312"/>
          <w:sz w:val="32"/>
          <w:szCs w:val="32"/>
          <w:lang w:val="en-US" w:eastAsia="zh-CN"/>
        </w:rPr>
        <w:t>1</w:t>
      </w:r>
      <w:r>
        <w:rPr>
          <w:rFonts w:hint="eastAsia" w:ascii="仿宋_GB2312" w:eastAsia="仿宋_GB2312"/>
          <w:sz w:val="32"/>
          <w:szCs w:val="32"/>
        </w:rPr>
        <w:t>〕30号）的要求，我局编制完成了《202</w:t>
      </w:r>
      <w:r>
        <w:rPr>
          <w:rFonts w:hint="eastAsia" w:ascii="仿宋_GB2312" w:eastAsia="仿宋_GB2312"/>
          <w:sz w:val="32"/>
          <w:szCs w:val="32"/>
          <w:lang w:val="en-US" w:eastAsia="zh-CN"/>
        </w:rPr>
        <w:t>2</w:t>
      </w:r>
      <w:r>
        <w:rPr>
          <w:rFonts w:hint="eastAsia" w:ascii="仿宋_GB2312" w:eastAsia="仿宋_GB2312"/>
          <w:sz w:val="32"/>
          <w:szCs w:val="32"/>
        </w:rPr>
        <w:t>年度政府信息公开工作年度报告》，现予报送。</w:t>
      </w:r>
    </w:p>
    <w:p>
      <w:pPr>
        <w:spacing w:line="6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专此函送</w:t>
      </w:r>
      <w:r>
        <w:rPr>
          <w:rFonts w:hint="eastAsia" w:ascii="仿宋_GB2312" w:eastAsia="仿宋_GB2312"/>
          <w:sz w:val="32"/>
          <w:szCs w:val="32"/>
          <w:lang w:val="en-US" w:eastAsia="zh-CN"/>
        </w:rPr>
        <w:t xml:space="preserve">             </w:t>
      </w:r>
    </w:p>
    <w:p>
      <w:pPr>
        <w:wordWrap w:val="0"/>
        <w:spacing w:line="560" w:lineRule="exact"/>
        <w:ind w:firstLine="5440" w:firstLineChars="1700"/>
        <w:jc w:val="both"/>
        <w:rPr>
          <w:rFonts w:ascii="仿宋_GB2312" w:eastAsia="仿宋_GB2312"/>
          <w:sz w:val="32"/>
          <w:szCs w:val="32"/>
        </w:rPr>
      </w:pPr>
      <w:r>
        <w:rPr>
          <w:rFonts w:hint="eastAsia" w:ascii="仿宋_GB2312" w:eastAsia="仿宋_GB2312"/>
          <w:sz w:val="32"/>
          <w:szCs w:val="32"/>
        </w:rPr>
        <w:t>晋安区农业农村局</w:t>
      </w:r>
    </w:p>
    <w:p>
      <w:pPr>
        <w:spacing w:line="560" w:lineRule="exact"/>
        <w:jc w:val="cente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年1月</w:t>
      </w:r>
      <w:r>
        <w:rPr>
          <w:rFonts w:hint="eastAsia" w:ascii="仿宋_GB2312" w:eastAsia="仿宋_GB2312"/>
          <w:sz w:val="32"/>
          <w:szCs w:val="32"/>
          <w:lang w:val="en-US" w:eastAsia="zh-CN"/>
        </w:rPr>
        <w:t>10</w:t>
      </w:r>
      <w:r>
        <w:rPr>
          <w:rFonts w:hint="eastAsia" w:ascii="仿宋_GB2312" w:eastAsia="仿宋_GB2312"/>
          <w:sz w:val="32"/>
          <w:szCs w:val="32"/>
        </w:rPr>
        <w:t>日</w:t>
      </w:r>
    </w:p>
    <w:tbl>
      <w:tblPr>
        <w:tblStyle w:val="6"/>
        <w:tblpPr w:leftFromText="180" w:rightFromText="180" w:vertAnchor="text" w:horzAnchor="margin" w:tblpXSpec="center" w:tblpY="717"/>
        <w:tblW w:w="829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
      <w:tblGrid>
        <w:gridCol w:w="8296"/>
      </w:tblGrid>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c>
          <w:tcPr>
            <w:tcW w:w="8296" w:type="dxa"/>
          </w:tcPr>
          <w:p>
            <w:pPr>
              <w:jc w:val="left"/>
              <w:rPr>
                <w:rFonts w:ascii="仿宋_GB2312" w:eastAsia="仿宋_GB2312"/>
                <w:sz w:val="28"/>
                <w:szCs w:val="28"/>
              </w:rPr>
            </w:pPr>
            <w:r>
              <w:rPr>
                <w:rFonts w:hint="eastAsia" w:ascii="仿宋_GB2312" w:eastAsia="仿宋_GB2312"/>
                <w:sz w:val="28"/>
                <w:szCs w:val="28"/>
              </w:rPr>
              <w:t>抄送：区大数据服务中心</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c>
          <w:tcPr>
            <w:tcW w:w="8296" w:type="dxa"/>
          </w:tcPr>
          <w:p>
            <w:pPr>
              <w:jc w:val="left"/>
              <w:rPr>
                <w:rFonts w:ascii="仿宋_GB2312" w:eastAsia="仿宋_GB2312"/>
                <w:sz w:val="28"/>
                <w:szCs w:val="28"/>
              </w:rPr>
            </w:pPr>
            <w:r>
              <w:rPr>
                <w:rFonts w:hint="eastAsia" w:ascii="仿宋_GB2312" w:eastAsia="仿宋_GB2312"/>
                <w:sz w:val="28"/>
                <w:szCs w:val="28"/>
              </w:rPr>
              <w:t>晋安区农业农村局办公室                 2</w:t>
            </w:r>
            <w:r>
              <w:rPr>
                <w:rFonts w:ascii="仿宋_GB2312" w:eastAsia="仿宋_GB2312"/>
                <w:sz w:val="28"/>
                <w:szCs w:val="28"/>
              </w:rPr>
              <w:t>02</w:t>
            </w:r>
            <w:r>
              <w:rPr>
                <w:rFonts w:hint="eastAsia" w:ascii="仿宋_GB2312" w:eastAsia="仿宋_GB2312"/>
                <w:sz w:val="28"/>
                <w:szCs w:val="28"/>
                <w:lang w:val="en-US" w:eastAsia="zh-CN"/>
              </w:rPr>
              <w:t>3</w:t>
            </w:r>
            <w:r>
              <w:rPr>
                <w:rFonts w:hint="eastAsia" w:ascii="仿宋_GB2312" w:eastAsia="仿宋_GB2312"/>
                <w:sz w:val="28"/>
                <w:szCs w:val="28"/>
              </w:rPr>
              <w:t>年</w:t>
            </w:r>
            <w:r>
              <w:rPr>
                <w:rFonts w:ascii="仿宋_GB2312" w:eastAsia="仿宋_GB2312"/>
                <w:sz w:val="28"/>
                <w:szCs w:val="28"/>
              </w:rPr>
              <w:t>1</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日印发</w:t>
            </w:r>
          </w:p>
        </w:tc>
      </w:tr>
    </w:tbl>
    <w:p>
      <w:pPr>
        <w:spacing w:line="600" w:lineRule="exact"/>
        <w:jc w:val="both"/>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晋安区农业农村局</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年政府信息公开工作年度报告</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根据《中华人民共和国政府信息公开条例》(以下简称《条例》)和区政府有关文件精神，特向社会公布20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度本级政府信息公开工作年度报告。本报告由总体情况、主动公开政府信息情况、依申请公开政府信息情况、行政复议和行政诉讼情况、工作存在的主要问题和改进情况、其他需要报告的事项6个部分组成。本报告所列数据的统计期限自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年1月1日起至20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年12月31日止。本报告依托福州市晋安区人民政府门户网站（</w:t>
      </w:r>
      <w:r>
        <w:rPr>
          <w:rFonts w:ascii="仿宋_GB2312" w:eastAsia="仿宋_GB2312"/>
          <w:sz w:val="32"/>
          <w:szCs w:val="32"/>
        </w:rPr>
        <w:t>http://www.fzja.gov.cn/</w:t>
      </w:r>
      <w:r>
        <w:rPr>
          <w:rFonts w:hint="eastAsia" w:ascii="仿宋_GB2312" w:eastAsia="仿宋_GB2312"/>
          <w:sz w:val="32"/>
          <w:szCs w:val="32"/>
        </w:rPr>
        <w:t>）向社会公布，如对本报告有任何疑问，可致电晋安区农业农村局办公室（地址：福州市晋安区福马路241号8层，电话：0591—83640440）。</w:t>
      </w:r>
    </w:p>
    <w:p>
      <w:pPr>
        <w:ind w:firstLine="640" w:firstLineChars="200"/>
        <w:rPr>
          <w:rFonts w:ascii="黑体" w:hAnsi="黑体" w:eastAsia="黑体"/>
          <w:sz w:val="32"/>
          <w:szCs w:val="32"/>
        </w:rPr>
      </w:pPr>
      <w:r>
        <w:rPr>
          <w:rFonts w:hint="eastAsia" w:ascii="黑体" w:hAnsi="黑体" w:eastAsia="黑体"/>
          <w:sz w:val="32"/>
          <w:szCs w:val="32"/>
        </w:rPr>
        <w:t>一、总体情况</w:t>
      </w:r>
    </w:p>
    <w:p>
      <w:pPr>
        <w:ind w:firstLine="643" w:firstLineChars="200"/>
        <w:rPr>
          <w:rFonts w:ascii="楷体_GB2312" w:eastAsia="楷体_GB2312"/>
          <w:b/>
          <w:bCs/>
          <w:sz w:val="32"/>
          <w:szCs w:val="32"/>
        </w:rPr>
      </w:pPr>
      <w:r>
        <w:rPr>
          <w:rFonts w:hint="eastAsia" w:ascii="楷体_GB2312" w:eastAsia="楷体_GB2312"/>
          <w:b/>
          <w:bCs/>
          <w:sz w:val="32"/>
          <w:szCs w:val="32"/>
        </w:rPr>
        <w:t>（一）主动公开信息情况</w:t>
      </w:r>
    </w:p>
    <w:p>
      <w:pPr>
        <w:ind w:firstLine="640" w:firstLineChars="200"/>
        <w:rPr>
          <w:rFonts w:ascii="仿宋_GB2312" w:eastAsia="仿宋_GB2312"/>
          <w:sz w:val="32"/>
          <w:szCs w:val="32"/>
          <w:highlight w:val="none"/>
        </w:rPr>
      </w:pPr>
      <w:r>
        <w:rPr>
          <w:rFonts w:hint="eastAsia" w:ascii="楷体_GB2312" w:eastAsia="楷体_GB2312"/>
          <w:sz w:val="32"/>
          <w:szCs w:val="32"/>
          <w:highlight w:val="none"/>
        </w:rPr>
        <w:t>1.主动公开信息的数量：</w:t>
      </w: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年我局主动公开信息数量为</w:t>
      </w:r>
      <w:r>
        <w:rPr>
          <w:rFonts w:hint="eastAsia" w:ascii="仿宋_GB2312" w:eastAsia="仿宋_GB2312"/>
          <w:sz w:val="32"/>
          <w:szCs w:val="32"/>
          <w:highlight w:val="none"/>
          <w:lang w:val="en-US" w:eastAsia="zh-CN"/>
        </w:rPr>
        <w:t xml:space="preserve"> 31 条</w:t>
      </w:r>
      <w:r>
        <w:rPr>
          <w:rFonts w:hint="eastAsia" w:ascii="仿宋_GB2312" w:eastAsia="仿宋_GB2312"/>
          <w:sz w:val="32"/>
          <w:szCs w:val="32"/>
          <w:highlight w:val="none"/>
        </w:rPr>
        <w:t>，历年累计</w:t>
      </w:r>
      <w:r>
        <w:rPr>
          <w:rFonts w:hint="eastAsia" w:ascii="仿宋_GB2312" w:eastAsia="仿宋_GB2312"/>
          <w:sz w:val="32"/>
          <w:szCs w:val="32"/>
          <w:highlight w:val="none"/>
          <w:lang w:val="en-US" w:eastAsia="zh-CN"/>
        </w:rPr>
        <w:t>410</w:t>
      </w:r>
      <w:r>
        <w:rPr>
          <w:rFonts w:hint="eastAsia" w:ascii="仿宋_GB2312" w:eastAsia="仿宋_GB2312"/>
          <w:sz w:val="32"/>
          <w:szCs w:val="32"/>
          <w:highlight w:val="none"/>
        </w:rPr>
        <w:t>条。</w:t>
      </w:r>
    </w:p>
    <w:p>
      <w:pPr>
        <w:ind w:firstLine="640" w:firstLineChars="200"/>
        <w:rPr>
          <w:rFonts w:ascii="仿宋_GB2312" w:eastAsia="仿宋_GB2312"/>
          <w:sz w:val="32"/>
          <w:szCs w:val="32"/>
        </w:rPr>
      </w:pPr>
      <w:r>
        <w:rPr>
          <w:rFonts w:hint="eastAsia" w:ascii="楷体_GB2312" w:eastAsia="楷体_GB2312"/>
          <w:sz w:val="32"/>
          <w:szCs w:val="32"/>
        </w:rPr>
        <w:t>2.主动公开信息的类别：</w:t>
      </w:r>
      <w:r>
        <w:rPr>
          <w:rFonts w:hint="eastAsia" w:ascii="仿宋_GB2312" w:eastAsia="仿宋_GB2312"/>
          <w:sz w:val="32"/>
          <w:szCs w:val="32"/>
        </w:rPr>
        <w:t>其他应主动公开的政府信息。</w:t>
      </w:r>
    </w:p>
    <w:p>
      <w:pPr>
        <w:ind w:firstLine="640" w:firstLineChars="200"/>
        <w:rPr>
          <w:rFonts w:ascii="仿宋_GB2312" w:eastAsia="仿宋_GB2312"/>
          <w:sz w:val="32"/>
          <w:szCs w:val="32"/>
        </w:rPr>
      </w:pPr>
      <w:r>
        <w:rPr>
          <w:rFonts w:hint="eastAsia" w:ascii="楷体_GB2312" w:eastAsia="楷体_GB2312"/>
          <w:sz w:val="32"/>
          <w:szCs w:val="32"/>
        </w:rPr>
        <w:t>3.主动公开信息的形式：</w:t>
      </w:r>
      <w:r>
        <w:rPr>
          <w:rFonts w:hint="eastAsia" w:ascii="仿宋_GB2312" w:eastAsia="仿宋_GB2312"/>
          <w:sz w:val="32"/>
          <w:szCs w:val="32"/>
        </w:rPr>
        <w:t>我局政府信息公开的形式主要在晋安区人民政府门户网站下的公开目录进行政府信息公开。</w:t>
      </w:r>
    </w:p>
    <w:p>
      <w:pPr>
        <w:ind w:firstLine="640" w:firstLineChars="200"/>
        <w:rPr>
          <w:rFonts w:ascii="仿宋_GB2312" w:eastAsia="仿宋_GB2312"/>
          <w:sz w:val="32"/>
          <w:szCs w:val="32"/>
        </w:rPr>
      </w:pPr>
      <w:r>
        <w:rPr>
          <w:rFonts w:hint="eastAsia" w:ascii="楷体_GB2312" w:eastAsia="楷体_GB2312"/>
          <w:sz w:val="32"/>
          <w:szCs w:val="32"/>
        </w:rPr>
        <w:t>4.回应社会关切情况：</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年我局共收到并回复12345投诉件</w:t>
      </w:r>
      <w:r>
        <w:rPr>
          <w:rFonts w:hint="eastAsia" w:ascii="仿宋_GB2312" w:eastAsia="仿宋_GB2312"/>
          <w:sz w:val="32"/>
          <w:szCs w:val="32"/>
          <w:lang w:val="en-US" w:eastAsia="zh-CN"/>
        </w:rPr>
        <w:t>103</w:t>
      </w:r>
      <w:r>
        <w:rPr>
          <w:rFonts w:hint="eastAsia" w:ascii="仿宋_GB2312" w:eastAsia="仿宋_GB2312"/>
          <w:sz w:val="32"/>
          <w:szCs w:val="32"/>
        </w:rPr>
        <w:t>件，积极回应社会关切。</w:t>
      </w:r>
    </w:p>
    <w:p>
      <w:pPr>
        <w:ind w:firstLine="643" w:firstLineChars="200"/>
        <w:rPr>
          <w:rFonts w:ascii="楷体_GB2312" w:eastAsia="楷体_GB2312"/>
          <w:b/>
          <w:bCs/>
          <w:sz w:val="32"/>
          <w:szCs w:val="32"/>
        </w:rPr>
      </w:pPr>
      <w:r>
        <w:rPr>
          <w:rFonts w:hint="eastAsia" w:ascii="楷体_GB2312" w:eastAsia="楷体_GB2312"/>
          <w:b/>
          <w:bCs/>
          <w:sz w:val="32"/>
          <w:szCs w:val="32"/>
        </w:rPr>
        <w:t>（二）依申请公开信息情况</w:t>
      </w:r>
    </w:p>
    <w:p>
      <w:pPr>
        <w:ind w:firstLine="640" w:firstLineChars="200"/>
        <w:rPr>
          <w:rFonts w:ascii="仿宋_GB2312" w:eastAsia="仿宋_GB2312"/>
          <w:sz w:val="32"/>
          <w:szCs w:val="32"/>
          <w:highlight w:val="none"/>
        </w:rPr>
      </w:pPr>
      <w:r>
        <w:rPr>
          <w:rFonts w:hint="eastAsia" w:ascii="楷体_GB2312" w:eastAsia="楷体_GB2312"/>
          <w:sz w:val="32"/>
          <w:szCs w:val="32"/>
          <w:highlight w:val="none"/>
        </w:rPr>
        <w:t>1.受理的依申请公开信息情况：</w:t>
      </w: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年我局收到信息公开申请</w:t>
      </w:r>
      <w:r>
        <w:rPr>
          <w:rFonts w:hint="eastAsia" w:ascii="仿宋_GB2312" w:eastAsia="仿宋_GB2312"/>
          <w:sz w:val="32"/>
          <w:szCs w:val="32"/>
          <w:highlight w:val="none"/>
          <w:lang w:val="en-US" w:eastAsia="zh-CN"/>
        </w:rPr>
        <w:t>0件</w:t>
      </w:r>
      <w:r>
        <w:rPr>
          <w:rFonts w:hint="eastAsia" w:ascii="仿宋_GB2312" w:eastAsia="仿宋_GB2312"/>
          <w:sz w:val="32"/>
          <w:szCs w:val="32"/>
          <w:highlight w:val="none"/>
        </w:rPr>
        <w:t>，历年累计收到</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件信息公开申请。</w:t>
      </w:r>
    </w:p>
    <w:p>
      <w:pPr>
        <w:ind w:firstLine="643" w:firstLineChars="200"/>
        <w:rPr>
          <w:rFonts w:ascii="楷体_GB2312" w:eastAsia="楷体_GB2312"/>
          <w:b/>
          <w:bCs/>
          <w:sz w:val="32"/>
          <w:szCs w:val="32"/>
          <w:highlight w:val="none"/>
        </w:rPr>
      </w:pPr>
      <w:r>
        <w:rPr>
          <w:rFonts w:hint="eastAsia" w:ascii="楷体_GB2312" w:eastAsia="楷体_GB2312"/>
          <w:b/>
          <w:bCs/>
          <w:sz w:val="32"/>
          <w:szCs w:val="32"/>
          <w:highlight w:val="none"/>
        </w:rPr>
        <w:t>（三）政府信息管理情况</w:t>
      </w:r>
    </w:p>
    <w:p>
      <w:pPr>
        <w:ind w:firstLine="640" w:firstLineChars="200"/>
        <w:rPr>
          <w:rFonts w:ascii="仿宋_GB2312" w:eastAsia="仿宋_GB2312"/>
          <w:sz w:val="32"/>
          <w:szCs w:val="32"/>
          <w:highlight w:val="none"/>
        </w:rPr>
      </w:pPr>
      <w:r>
        <w:rPr>
          <w:rFonts w:ascii="仿宋_GB2312" w:eastAsia="仿宋_GB2312"/>
          <w:sz w:val="32"/>
          <w:szCs w:val="32"/>
          <w:highlight w:val="none"/>
        </w:rPr>
        <w:t>晋安区农业农村局</w:t>
      </w:r>
      <w:r>
        <w:rPr>
          <w:rFonts w:hint="eastAsia" w:ascii="仿宋_GB2312" w:eastAsia="仿宋_GB2312"/>
          <w:sz w:val="32"/>
          <w:szCs w:val="32"/>
          <w:highlight w:val="none"/>
        </w:rPr>
        <w:t>成立了政务信息公开工作领导小组，由局办公室具体负责政务信息公开的各项日常工作，严格按照信息公开相关文件要求，做好信息的保密与审查工作。</w:t>
      </w:r>
    </w:p>
    <w:p>
      <w:pPr>
        <w:ind w:firstLine="643" w:firstLineChars="200"/>
        <w:rPr>
          <w:rFonts w:hint="eastAsia" w:ascii="楷体_GB2312" w:eastAsia="楷体_GB2312"/>
          <w:b/>
          <w:bCs/>
          <w:sz w:val="32"/>
          <w:szCs w:val="32"/>
          <w:highlight w:val="none"/>
          <w:lang w:eastAsia="zh-CN"/>
        </w:rPr>
      </w:pPr>
      <w:r>
        <w:rPr>
          <w:rFonts w:hint="eastAsia" w:ascii="楷体_GB2312" w:eastAsia="楷体_GB2312"/>
          <w:b/>
          <w:bCs/>
          <w:sz w:val="32"/>
          <w:szCs w:val="32"/>
          <w:highlight w:val="none"/>
        </w:rPr>
        <w:t>（四）</w:t>
      </w:r>
      <w:r>
        <w:rPr>
          <w:rFonts w:hint="eastAsia" w:ascii="楷体_GB2312" w:eastAsia="楷体_GB2312"/>
          <w:b/>
          <w:bCs/>
          <w:sz w:val="32"/>
          <w:szCs w:val="32"/>
          <w:highlight w:val="none"/>
          <w:lang w:eastAsia="zh-CN"/>
        </w:rPr>
        <w:t>规范建设，提高政务公开质量</w:t>
      </w:r>
    </w:p>
    <w:p>
      <w:pPr>
        <w:ind w:firstLine="640" w:firstLineChars="200"/>
        <w:rPr>
          <w:rFonts w:ascii="仿宋_GB2312" w:eastAsia="仿宋_GB2312"/>
          <w:sz w:val="32"/>
          <w:szCs w:val="32"/>
          <w:highlight w:val="none"/>
        </w:rPr>
      </w:pPr>
      <w:r>
        <w:rPr>
          <w:rFonts w:ascii="仿宋_GB2312" w:eastAsia="仿宋_GB2312"/>
          <w:sz w:val="32"/>
          <w:szCs w:val="32"/>
          <w:highlight w:val="none"/>
        </w:rPr>
        <w:t>晋安区农业农村局充分发挥政府网站作为政务信息公开第一平台的作用</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做好乡村振兴、精准扶贫、农业支持补贴、农村产权制度改革、农村集体资产清产核算、河湖</w:t>
      </w:r>
      <w:bookmarkStart w:id="0" w:name="_GoBack"/>
      <w:bookmarkEnd w:id="0"/>
      <w:r>
        <w:rPr>
          <w:rFonts w:hint="eastAsia" w:ascii="仿宋_GB2312" w:eastAsia="仿宋_GB2312"/>
          <w:sz w:val="32"/>
          <w:szCs w:val="32"/>
          <w:highlight w:val="none"/>
          <w:lang w:eastAsia="zh-CN"/>
        </w:rPr>
        <w:t>长制宣传、水土保持、农机管理、农业执法等，</w:t>
      </w:r>
      <w:r>
        <w:rPr>
          <w:rFonts w:hint="eastAsia" w:ascii="仿宋_GB2312" w:eastAsia="仿宋_GB2312"/>
          <w:sz w:val="32"/>
          <w:szCs w:val="32"/>
          <w:highlight w:val="none"/>
        </w:rPr>
        <w:t>对政务信息进行逐项梳理、分类，</w:t>
      </w:r>
      <w:r>
        <w:rPr>
          <w:rFonts w:hint="eastAsia" w:ascii="仿宋_GB2312" w:eastAsia="仿宋_GB2312"/>
          <w:sz w:val="32"/>
          <w:szCs w:val="32"/>
          <w:highlight w:val="none"/>
          <w:lang w:eastAsia="zh-CN"/>
        </w:rPr>
        <w:t>政策信息细化解读，</w:t>
      </w:r>
      <w:r>
        <w:rPr>
          <w:rFonts w:hint="eastAsia" w:ascii="仿宋_GB2312" w:eastAsia="仿宋_GB2312"/>
          <w:sz w:val="32"/>
          <w:szCs w:val="32"/>
          <w:highlight w:val="none"/>
        </w:rPr>
        <w:t>完善主动公开、依申请公开、保密审查等规定，按照“谁申请、谁审核、谁负责、先审核后公开、一事一审”的原则，并做好登记。</w:t>
      </w:r>
    </w:p>
    <w:p>
      <w:pPr>
        <w:ind w:firstLine="643" w:firstLineChars="200"/>
        <w:rPr>
          <w:rFonts w:ascii="仿宋_GB2312" w:eastAsia="仿宋_GB2312"/>
          <w:sz w:val="32"/>
          <w:szCs w:val="32"/>
          <w:highlight w:val="none"/>
        </w:rPr>
      </w:pPr>
      <w:r>
        <w:rPr>
          <w:rFonts w:hint="eastAsia" w:ascii="楷体_GB2312" w:eastAsia="楷体_GB2312"/>
          <w:b/>
          <w:bCs/>
          <w:sz w:val="32"/>
          <w:szCs w:val="32"/>
          <w:highlight w:val="none"/>
        </w:rPr>
        <w:t>（五）监督保障情况</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为保证政务公开工作规范、有序</w:t>
      </w:r>
      <w:r>
        <w:rPr>
          <w:rFonts w:hint="eastAsia" w:ascii="仿宋_GB2312" w:eastAsia="仿宋_GB2312"/>
          <w:sz w:val="32"/>
          <w:szCs w:val="32"/>
          <w:highlight w:val="none"/>
          <w:lang w:eastAsia="zh-CN"/>
        </w:rPr>
        <w:t>推进</w:t>
      </w:r>
      <w:r>
        <w:rPr>
          <w:rFonts w:hint="eastAsia" w:ascii="仿宋_GB2312" w:eastAsia="仿宋_GB2312"/>
          <w:sz w:val="32"/>
          <w:szCs w:val="32"/>
          <w:highlight w:val="none"/>
        </w:rPr>
        <w:t>，我局结合实际情况制定了《晋安区农业农村局政府信息公开制度》，严格执行政务信息公开审查程序，政务信息公开前先交由各科室负责人把关内容，然后再交由分管及主要领导进行保密审查和签发，最后由办公室相关工作人员进行发布上网，确保不发生泄密问题。</w:t>
      </w:r>
    </w:p>
    <w:p>
      <w:pPr>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5"/>
        <w:tblW w:w="9738" w:type="dxa"/>
        <w:jc w:val="center"/>
        <w:tblLayout w:type="fixed"/>
        <w:tblCellMar>
          <w:top w:w="0" w:type="dxa"/>
          <w:left w:w="0" w:type="dxa"/>
          <w:bottom w:w="0" w:type="dxa"/>
          <w:right w:w="0" w:type="dxa"/>
        </w:tblCellMar>
      </w:tblPr>
      <w:tblGrid>
        <w:gridCol w:w="9738"/>
      </w:tblGrid>
      <w:tr>
        <w:tblPrEx>
          <w:tblCellMar>
            <w:top w:w="0" w:type="dxa"/>
            <w:left w:w="0" w:type="dxa"/>
            <w:bottom w:w="0" w:type="dxa"/>
            <w:right w:w="0" w:type="dxa"/>
          </w:tblCellMar>
        </w:tblPrEx>
        <w:trPr>
          <w:trHeight w:val="495" w:hRule="atLeast"/>
          <w:jc w:val="center"/>
        </w:trPr>
        <w:tc>
          <w:tcPr>
            <w:tcW w:w="9738" w:type="dxa"/>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23" w:lineRule="atLeast"/>
              <w:jc w:val="center"/>
              <w:rPr>
                <w:sz w:val="24"/>
              </w:rPr>
            </w:pPr>
            <w:r>
              <w:rPr>
                <w:rFonts w:hint="eastAsia" w:ascii="宋体" w:hAnsi="宋体" w:eastAsia="宋体" w:cs="宋体"/>
                <w:color w:val="000000"/>
                <w:kern w:val="0"/>
                <w:sz w:val="24"/>
                <w:szCs w:val="24"/>
              </w:rPr>
              <w:t>第二十条第（一）项</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w:t>
            </w:r>
            <w:r>
              <w:rPr>
                <w:rFonts w:ascii="Calibri" w:hAnsi="Calibri" w:cs="Calibri" w:eastAsiaTheme="minorEastAsia"/>
                <w:color w:val="000000"/>
                <w:kern w:val="0"/>
                <w:sz w:val="20"/>
                <w:szCs w:val="20"/>
                <w:lang w:val="en-US" w:eastAsia="zh-CN" w:bidi="ar"/>
              </w:rPr>
              <w:t>制</w:t>
            </w:r>
            <w:r>
              <w:rPr>
                <w:rFonts w:hint="eastAsia" w:ascii="宋体" w:hAnsi="宋体" w:eastAsia="宋体" w:cs="宋体"/>
                <w:color w:val="000000"/>
                <w:kern w:val="0"/>
                <w:sz w:val="20"/>
                <w:szCs w:val="20"/>
                <w:lang w:val="en-US" w:eastAsia="zh-CN" w:bidi="ar"/>
              </w:rPr>
              <w:t>发件</w:t>
            </w:r>
            <w:r>
              <w:rPr>
                <w:rFonts w:hint="default" w:ascii="Calibri" w:hAnsi="Calibri" w:cs="Calibri" w:eastAsiaTheme="minorEastAsia"/>
                <w:color w:val="000000"/>
                <w:kern w:val="0"/>
                <w:sz w:val="20"/>
                <w:szCs w:val="20"/>
                <w:lang w:val="en-US" w:eastAsia="zh-CN" w:bidi="ar"/>
              </w:rPr>
              <w:t>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现行有效件</w:t>
            </w:r>
            <w:r>
              <w:rPr>
                <w:rFonts w:hint="default" w:ascii="Calibri" w:hAnsi="Calibri" w:cs="Calibri" w:eastAsiaTheme="minorEastAsia"/>
                <w:color w:val="000000"/>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jc w:val="center"/>
              <w:rPr>
                <w:rFonts w:hint="eastAsia" w:ascii="宋体" w:eastAsia="宋体"/>
                <w:color w:val="000000"/>
                <w:sz w:val="21"/>
                <w:szCs w:val="21"/>
                <w:lang w:val="en-US" w:eastAsia="zh-CN"/>
              </w:rPr>
            </w:pPr>
            <w:r>
              <w:rPr>
                <w:rFonts w:hint="eastAsia" w:ascii="宋体"/>
                <w:color w:val="000000"/>
                <w:sz w:val="21"/>
                <w:szCs w:val="21"/>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ascii="楷体" w:hAnsi="楷体" w:eastAsia="楷体" w:cs="楷体"/>
                <w:color w:val="000000"/>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714" w:type="dxa"/>
            <w:vMerge w:val="restar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714" w:type="dxa"/>
            <w:vMerge w:val="continue"/>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仿宋"/>
                <w:color w:val="000000"/>
                <w:lang w:val="en-US" w:eastAsia="zh-CN"/>
              </w:rPr>
            </w:pPr>
            <w:r>
              <w:rPr>
                <w:rFonts w:hint="eastAsia"/>
                <w:color w:val="000000"/>
                <w:lang w:val="en-US" w:eastAsia="zh-CN"/>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仿宋"/>
                <w:color w:val="000000"/>
                <w:lang w:val="en-US" w:eastAsia="zh-CN"/>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val="en-US" w:eastAsia="zh-CN"/>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 xml:space="preserve"> 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val="en-US" w:eastAsia="zh-CN"/>
              </w:rPr>
            </w:pPr>
            <w:r>
              <w:rPr>
                <w:rFonts w:hint="eastAsia"/>
                <w:color w:val="000000"/>
                <w:lang w:val="en-US" w:eastAsia="zh-CN"/>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color w:val="000000"/>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color w:val="000000"/>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rPr>
                <w:rFonts w:hint="default" w:ascii="宋体" w:eastAsia="宋体"/>
                <w:color w:val="000000"/>
                <w:sz w:val="24"/>
                <w:szCs w:val="24"/>
                <w:lang w:val="en-US" w:eastAsia="zh-CN"/>
              </w:rPr>
            </w:pPr>
            <w:r>
              <w:rPr>
                <w:rFonts w:hint="eastAsia" w:ascii="宋体"/>
                <w:color w:val="000000"/>
                <w:sz w:val="24"/>
                <w:szCs w:val="24"/>
                <w:lang w:val="en-US" w:eastAsia="zh-CN"/>
              </w:rPr>
              <w:t xml:space="preserve">  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四、政府信息公开行政复议、行政诉讼情况</w:t>
      </w: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16"/>
        <w:gridCol w:w="816"/>
        <w:gridCol w:w="816"/>
        <w:gridCol w:w="816"/>
        <w:gridCol w:w="416"/>
        <w:gridCol w:w="816"/>
        <w:gridCol w:w="816"/>
        <w:gridCol w:w="816"/>
        <w:gridCol w:w="816"/>
        <w:gridCol w:w="416"/>
        <w:gridCol w:w="816"/>
        <w:gridCol w:w="816"/>
        <w:gridCol w:w="816"/>
        <w:gridCol w:w="816"/>
        <w:gridCol w:w="4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维持</w:t>
            </w:r>
          </w:p>
        </w:tc>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50"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50"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50"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维持</w:t>
            </w:r>
          </w:p>
        </w:tc>
        <w:tc>
          <w:tcPr>
            <w:tcW w:w="650"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50"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50"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50"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2"/>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2"/>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000000"/>
                <w:kern w:val="2"/>
                <w:sz w:val="21"/>
                <w:szCs w:val="22"/>
                <w:lang w:val="en-US" w:eastAsia="zh-CN" w:bidi="ar-SA"/>
              </w:rPr>
            </w:pPr>
            <w:r>
              <w:rPr>
                <w:rFonts w:hint="eastAsia"/>
                <w:color w:val="000000"/>
                <w:lang w:val="en-US" w:eastAsia="zh-CN"/>
              </w:rPr>
              <w:t>0</w:t>
            </w:r>
          </w:p>
        </w:tc>
        <w:tc>
          <w:tcPr>
            <w:tcW w:w="650"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2"/>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2"/>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color w:val="000000"/>
                <w:kern w:val="2"/>
                <w:sz w:val="21"/>
                <w:szCs w:val="22"/>
                <w:lang w:val="en-US" w:eastAsia="zh-CN" w:bidi="ar-SA"/>
              </w:rPr>
            </w:pPr>
            <w:r>
              <w:rPr>
                <w:rFonts w:hint="eastAsia"/>
                <w:color w:val="000000"/>
                <w:lang w:val="en-US" w:eastAsia="zh-CN"/>
              </w:rPr>
              <w:t>0</w:t>
            </w:r>
          </w:p>
        </w:tc>
        <w:tc>
          <w:tcPr>
            <w:tcW w:w="650"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宋体"/>
                <w:color w:val="000000"/>
                <w:sz w:val="24"/>
                <w:szCs w:val="24"/>
                <w:lang w:val="en-US" w:eastAsia="zh-CN"/>
              </w:rPr>
            </w:pPr>
            <w:r>
              <w:rPr>
                <w:rFonts w:hint="eastAsia" w:ascii="宋体"/>
                <w:color w:val="000000"/>
                <w:sz w:val="24"/>
                <w:szCs w:val="24"/>
                <w:lang w:val="en-US" w:eastAsia="zh-CN"/>
              </w:rPr>
              <w:t>0</w:t>
            </w:r>
          </w:p>
        </w:tc>
      </w:tr>
    </w:tbl>
    <w:p>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年，我局政府信息公开工作取得</w:t>
      </w:r>
      <w:r>
        <w:rPr>
          <w:rFonts w:hint="eastAsia" w:ascii="仿宋_GB2312" w:eastAsia="仿宋_GB2312"/>
          <w:sz w:val="32"/>
          <w:szCs w:val="32"/>
          <w:lang w:eastAsia="zh-CN"/>
        </w:rPr>
        <w:t>些许</w:t>
      </w:r>
      <w:r>
        <w:rPr>
          <w:rFonts w:hint="eastAsia" w:ascii="仿宋_GB2312" w:eastAsia="仿宋_GB2312"/>
          <w:sz w:val="32"/>
          <w:szCs w:val="32"/>
        </w:rPr>
        <w:t>成绩，但仍存在</w:t>
      </w:r>
      <w:r>
        <w:rPr>
          <w:rFonts w:hint="eastAsia" w:ascii="仿宋_GB2312" w:eastAsia="仿宋_GB2312"/>
          <w:sz w:val="32"/>
          <w:szCs w:val="32"/>
          <w:lang w:eastAsia="zh-CN"/>
        </w:rPr>
        <w:t>不足</w:t>
      </w:r>
      <w:r>
        <w:rPr>
          <w:rFonts w:hint="eastAsia" w:ascii="仿宋_GB2312" w:eastAsia="仿宋_GB2312"/>
          <w:sz w:val="32"/>
          <w:szCs w:val="32"/>
        </w:rPr>
        <w:t>，主要表现在政府</w:t>
      </w:r>
      <w:r>
        <w:rPr>
          <w:rFonts w:hint="eastAsia" w:ascii="仿宋_GB2312" w:eastAsia="仿宋_GB2312"/>
          <w:sz w:val="32"/>
          <w:szCs w:val="32"/>
          <w:lang w:eastAsia="zh-CN"/>
        </w:rPr>
        <w:t>主动公开信息种类不够，政策解读形式单一</w:t>
      </w:r>
      <w:r>
        <w:rPr>
          <w:rFonts w:hint="eastAsia" w:ascii="仿宋_GB2312" w:eastAsia="仿宋_GB2312"/>
          <w:sz w:val="32"/>
          <w:szCs w:val="32"/>
        </w:rPr>
        <w:t>。</w:t>
      </w:r>
      <w:r>
        <w:rPr>
          <w:rFonts w:hint="eastAsia" w:ascii="仿宋_GB2312" w:eastAsia="仿宋_GB2312"/>
          <w:sz w:val="32"/>
          <w:szCs w:val="32"/>
          <w:lang w:eastAsia="zh-CN"/>
        </w:rPr>
        <w:t>具体解决办法和改进措施：</w:t>
      </w:r>
      <w:r>
        <w:rPr>
          <w:rFonts w:hint="eastAsia" w:ascii="仿宋_GB2312" w:eastAsia="仿宋_GB2312"/>
          <w:sz w:val="32"/>
          <w:szCs w:val="32"/>
        </w:rPr>
        <w:t>加强对政府</w:t>
      </w:r>
      <w:r>
        <w:rPr>
          <w:rFonts w:hint="eastAsia" w:ascii="仿宋_GB2312" w:eastAsia="仿宋_GB2312"/>
          <w:sz w:val="32"/>
          <w:szCs w:val="32"/>
          <w:lang w:eastAsia="zh-CN"/>
        </w:rPr>
        <w:t>主动公开信息种类、</w:t>
      </w:r>
      <w:r>
        <w:rPr>
          <w:rFonts w:hint="eastAsia" w:ascii="仿宋_GB2312" w:eastAsia="仿宋_GB2312"/>
          <w:sz w:val="32"/>
          <w:szCs w:val="32"/>
        </w:rPr>
        <w:t>确保政府信息公开工作</w:t>
      </w:r>
      <w:r>
        <w:rPr>
          <w:rFonts w:hint="eastAsia" w:ascii="仿宋_GB2312" w:eastAsia="仿宋_GB2312"/>
          <w:sz w:val="32"/>
          <w:szCs w:val="32"/>
          <w:lang w:eastAsia="zh-CN"/>
        </w:rPr>
        <w:t>全面</w:t>
      </w:r>
      <w:r>
        <w:rPr>
          <w:rFonts w:hint="eastAsia" w:ascii="仿宋_GB2312" w:eastAsia="仿宋_GB2312"/>
          <w:sz w:val="32"/>
          <w:szCs w:val="32"/>
        </w:rPr>
        <w:t>、</w:t>
      </w:r>
      <w:r>
        <w:rPr>
          <w:rFonts w:hint="eastAsia" w:ascii="仿宋_GB2312" w:eastAsia="仿宋_GB2312"/>
          <w:sz w:val="32"/>
          <w:szCs w:val="32"/>
          <w:lang w:eastAsia="zh-CN"/>
        </w:rPr>
        <w:t>有序</w:t>
      </w:r>
      <w:r>
        <w:rPr>
          <w:rFonts w:hint="eastAsia" w:ascii="仿宋_GB2312" w:eastAsia="仿宋_GB2312"/>
          <w:sz w:val="32"/>
          <w:szCs w:val="32"/>
        </w:rPr>
        <w:t>推动</w:t>
      </w:r>
      <w:r>
        <w:rPr>
          <w:rFonts w:hint="eastAsia" w:ascii="仿宋_GB2312" w:eastAsia="仿宋_GB2312"/>
          <w:sz w:val="32"/>
          <w:szCs w:val="32"/>
          <w:lang w:eastAsia="zh-CN"/>
        </w:rPr>
        <w:t>，紧密围绕涉及群众切实利益问题进行信息公开，强化</w:t>
      </w:r>
      <w:r>
        <w:rPr>
          <w:rFonts w:hint="eastAsia" w:ascii="仿宋_GB2312" w:eastAsia="仿宋_GB2312"/>
          <w:sz w:val="32"/>
          <w:szCs w:val="32"/>
        </w:rPr>
        <w:t>提高政务公开</w:t>
      </w:r>
      <w:r>
        <w:rPr>
          <w:rFonts w:hint="eastAsia" w:ascii="仿宋_GB2312" w:eastAsia="仿宋_GB2312"/>
          <w:sz w:val="32"/>
          <w:szCs w:val="32"/>
          <w:lang w:eastAsia="zh-CN"/>
        </w:rPr>
        <w:t>业务</w:t>
      </w:r>
      <w:r>
        <w:rPr>
          <w:rFonts w:hint="eastAsia" w:ascii="仿宋_GB2312" w:eastAsia="仿宋_GB2312"/>
          <w:sz w:val="32"/>
          <w:szCs w:val="32"/>
        </w:rPr>
        <w:t>的</w:t>
      </w:r>
      <w:r>
        <w:rPr>
          <w:rFonts w:hint="eastAsia" w:ascii="仿宋_GB2312" w:eastAsia="仿宋_GB2312"/>
          <w:sz w:val="32"/>
          <w:szCs w:val="32"/>
          <w:lang w:eastAsia="zh-CN"/>
        </w:rPr>
        <w:t>多元化</w:t>
      </w:r>
      <w:r>
        <w:rPr>
          <w:rFonts w:hint="eastAsia" w:ascii="仿宋_GB2312"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六、其他需要报告的事项</w:t>
      </w:r>
    </w:p>
    <w:p>
      <w:pPr>
        <w:pStyle w:val="4"/>
        <w:widowControl/>
        <w:shd w:val="clear" w:color="auto" w:fill="FFFFFF"/>
        <w:spacing w:before="0" w:beforeAutospacing="0" w:after="0" w:afterAutospacing="0" w:line="560" w:lineRule="exact"/>
        <w:ind w:firstLine="1280" w:firstLineChars="400"/>
        <w:jc w:val="both"/>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2022年，无收取信息处理费情况。</w:t>
      </w:r>
    </w:p>
    <w:p>
      <w:pPr>
        <w:pStyle w:val="4"/>
        <w:widowControl/>
        <w:shd w:val="clear" w:color="auto" w:fill="FFFFFF"/>
        <w:spacing w:before="0" w:beforeAutospacing="0" w:after="0" w:afterAutospacing="0" w:line="560" w:lineRule="exact"/>
        <w:jc w:val="both"/>
        <w:rPr>
          <w:rFonts w:hint="eastAsia" w:ascii="仿宋" w:hAnsi="仿宋" w:eastAsia="仿宋" w:cs="仿宋"/>
          <w:sz w:val="32"/>
          <w:szCs w:val="32"/>
          <w:shd w:val="clear" w:color="auto" w:fill="FFFFFF"/>
        </w:rPr>
      </w:pPr>
    </w:p>
    <w:p>
      <w:pPr>
        <w:ind w:firstLine="640" w:firstLineChars="200"/>
        <w:rPr>
          <w:rFonts w:ascii="仿宋_GB2312" w:eastAsia="仿宋_GB2312"/>
          <w:sz w:val="32"/>
          <w:szCs w:val="32"/>
        </w:rPr>
      </w:pPr>
    </w:p>
    <w:p>
      <w:pPr>
        <w:widowControl/>
        <w:spacing w:line="400" w:lineRule="exact"/>
        <w:jc w:val="both"/>
        <w:rPr>
          <w:rFonts w:hint="default" w:asciiTheme="majorEastAsia" w:hAnsiTheme="majorEastAsia" w:eastAsiaTheme="majorEastAsia"/>
          <w:b/>
          <w:sz w:val="44"/>
          <w:szCs w:val="44"/>
          <w:lang w:val="en-US"/>
        </w:rPr>
      </w:pPr>
      <w:r>
        <w:rPr>
          <w:rFonts w:hint="eastAsia" w:ascii="仿宋" w:hAnsi="仿宋"/>
          <w:kern w:val="0"/>
          <w:sz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53"/>
    <w:rsid w:val="001C32B6"/>
    <w:rsid w:val="0024604F"/>
    <w:rsid w:val="002815A0"/>
    <w:rsid w:val="00293689"/>
    <w:rsid w:val="00361498"/>
    <w:rsid w:val="00852424"/>
    <w:rsid w:val="008A3D8E"/>
    <w:rsid w:val="009A1A12"/>
    <w:rsid w:val="009B7AC3"/>
    <w:rsid w:val="00A10F5F"/>
    <w:rsid w:val="00A71220"/>
    <w:rsid w:val="00A97453"/>
    <w:rsid w:val="00B06E38"/>
    <w:rsid w:val="00C3000E"/>
    <w:rsid w:val="00CD577F"/>
    <w:rsid w:val="00FB6BA6"/>
    <w:rsid w:val="076D7C5A"/>
    <w:rsid w:val="17DE7381"/>
    <w:rsid w:val="3C76170A"/>
    <w:rsid w:val="44CE3C6F"/>
    <w:rsid w:val="4E58609F"/>
    <w:rsid w:val="60E5353E"/>
    <w:rsid w:val="64C01FBA"/>
    <w:rsid w:val="69326068"/>
    <w:rsid w:val="74F738CC"/>
    <w:rsid w:val="7599182B"/>
    <w:rsid w:val="7D38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eastAsia="仿宋"/>
      <w:sz w:val="18"/>
      <w:szCs w:val="18"/>
    </w:rPr>
  </w:style>
  <w:style w:type="character" w:customStyle="1" w:styleId="9">
    <w:name w:val="页脚 Char"/>
    <w:basedOn w:val="7"/>
    <w:link w:val="2"/>
    <w:qFormat/>
    <w:uiPriority w:val="99"/>
    <w:rPr>
      <w:rFonts w:eastAsia="仿宋"/>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Words>
  <Characters>750</Characters>
  <Lines>6</Lines>
  <Paragraphs>1</Paragraphs>
  <TotalTime>46</TotalTime>
  <ScaleCrop>false</ScaleCrop>
  <LinksUpToDate>false</LinksUpToDate>
  <CharactersWithSpaces>880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2019-01-25T03:30:00Z</dcterms:created>
  <dc:creator>德 先生</dc:creator>
  <cp:lastModifiedBy>Administrator</cp:lastModifiedBy>
  <cp:lastPrinted>2023-01-10T07:26:00Z</cp:lastPrinted>
  <dcterms:modified xsi:type="dcterms:W3CDTF">2023-03-08T03:56:43Z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650BF01D8F644B6F9B693FCB60A157D2</vt:lpwstr>
  </property>
</Properties>
</file>