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960" w:firstLineChars="30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专项资金绩效目标表</w:t>
      </w:r>
    </w:p>
    <w:bookmarkEnd w:id="0"/>
    <w:p>
      <w:pPr>
        <w:spacing w:line="560" w:lineRule="exact"/>
        <w:ind w:firstLine="960" w:firstLineChars="3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（2023年度）</w:t>
      </w:r>
    </w:p>
    <w:tbl>
      <w:tblPr>
        <w:tblStyle w:val="4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6"/>
                <w:sz w:val="24"/>
                <w:szCs w:val="24"/>
              </w:rPr>
              <w:t>2023年春节期间连续生产企业拟奖励用电资金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主管部门（单位）名称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kern w:val="3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36"/>
                <w:sz w:val="24"/>
                <w:szCs w:val="24"/>
              </w:rPr>
              <w:t>福州高意通讯有限公司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资金情况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根据《福州市人民政府办公厅关于促进当前工业经济稳增长措施的通知》（榕政办规〔2023〕1号），降低企业用电成本，稳定春节期间工业生产。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绩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全年目标值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奖励企业数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1家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效益指标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经济效益指标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经济收入增长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补贴所带来的经济效益增加情况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182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400万元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服务对象满意度指标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受奖励对象满意率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奖励对象中给出满意评价的企业数占全部奖励企业数的比率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＞90%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4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注：指标解释是对绩效目标三级指标进行解释说明，包括计算方法、评分标准、指标出处、具体内容、上年度数值等。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18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26A02ADF"/>
    <w:rsid w:val="1F2A599E"/>
    <w:rsid w:val="26A02ADF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2023-09-28T03:12:00Z</dcterms:created>
  <dc:creator>娜（Lina）</dc:creator>
  <cp:lastModifiedBy>娜（Lina）</cp:lastModifiedBy>
  <dcterms:modified xsi:type="dcterms:W3CDTF">2023-09-28T03:12:48Z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B8F7C91A6D0D4D5E96D6A1942EC184CC_11</vt:lpwstr>
  </property>
</Properties>
</file>