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70" w:lineRule="exact"/>
        <w:jc w:val="left"/>
        <w:textAlignment w:val="auto"/>
        <w:rPr>
          <w:rFonts w:hint="eastAsia"/>
          <w:highlight w:val="none"/>
          <w:lang w:val="en-US" w:eastAsia="zh-CN"/>
        </w:rPr>
      </w:pPr>
      <w:r>
        <w:rPr>
          <w:rFonts w:hint="eastAsia" w:ascii="仿宋" w:hAnsi="仿宋" w:eastAsia="仿宋"/>
          <w:sz w:val="32"/>
          <w:szCs w:val="32"/>
          <w:highlight w:val="none"/>
          <w:u w:val="none"/>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宋体" w:hAnsi="宋体" w:eastAsia="宋体" w:cs="宋体"/>
          <w:b/>
          <w:sz w:val="44"/>
          <w:szCs w:val="44"/>
          <w:highlight w:val="none"/>
          <w:lang w:val="zh-CN" w:eastAsia="zh-CN"/>
        </w:rPr>
      </w:pPr>
      <w:r>
        <w:rPr>
          <w:rFonts w:hint="eastAsia" w:ascii="宋体" w:hAnsi="宋体" w:eastAsia="宋体" w:cs="宋体"/>
          <w:b/>
          <w:sz w:val="44"/>
          <w:szCs w:val="44"/>
          <w:highlight w:val="none"/>
          <w:lang w:val="en-US" w:eastAsia="zh-CN"/>
        </w:rPr>
        <w:t>福州市连辉后巷西段(长乐南路至连辉路)道路工程项目</w:t>
      </w:r>
      <w:r>
        <w:rPr>
          <w:rFonts w:hint="eastAsia" w:ascii="宋体" w:hAnsi="宋体" w:eastAsia="宋体" w:cs="宋体"/>
          <w:b/>
          <w:sz w:val="44"/>
          <w:szCs w:val="44"/>
          <w:highlight w:val="none"/>
          <w:lang w:val="zh-CN" w:eastAsia="zh-CN"/>
        </w:rPr>
        <w:t>国有土地上房屋征收补偿方案</w:t>
      </w:r>
    </w:p>
    <w:p>
      <w:pPr>
        <w:pStyle w:val="2"/>
        <w:keepNext w:val="0"/>
        <w:keepLines w:val="0"/>
        <w:pageBreakBefore w:val="0"/>
        <w:widowControl w:val="0"/>
        <w:kinsoku/>
        <w:wordWrap/>
        <w:overflowPunct/>
        <w:topLinePunct w:val="0"/>
        <w:autoSpaceDE/>
        <w:autoSpaceDN/>
        <w:bidi w:val="0"/>
        <w:adjustRightInd/>
        <w:snapToGrid/>
        <w:spacing w:after="157" w:afterLines="50" w:line="470" w:lineRule="exact"/>
        <w:jc w:val="center"/>
        <w:textAlignment w:val="auto"/>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zh-CN" w:eastAsia="zh-CN" w:bidi="ar-SA"/>
        </w:rPr>
        <w:t>（</w:t>
      </w:r>
      <w:r>
        <w:rPr>
          <w:rFonts w:hint="eastAsia" w:ascii="仿宋" w:hAnsi="仿宋" w:eastAsia="仿宋" w:cs="仿宋"/>
          <w:kern w:val="2"/>
          <w:sz w:val="32"/>
          <w:szCs w:val="32"/>
          <w:highlight w:val="none"/>
          <w:lang w:val="en-US" w:eastAsia="zh-CN" w:bidi="ar-SA"/>
        </w:rPr>
        <w:t>征求意见稿</w:t>
      </w:r>
      <w:r>
        <w:rPr>
          <w:rFonts w:hint="eastAsia" w:ascii="仿宋" w:hAnsi="仿宋" w:eastAsia="仿宋" w:cs="仿宋"/>
          <w:kern w:val="2"/>
          <w:sz w:val="32"/>
          <w:szCs w:val="32"/>
          <w:highlight w:val="none"/>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16" w:firstLineChars="200"/>
        <w:jc w:val="left"/>
        <w:textAlignment w:val="auto"/>
        <w:outlineLvl w:val="9"/>
        <w:rPr>
          <w:rFonts w:hint="eastAsia" w:ascii="仿宋" w:hAnsi="仿宋" w:eastAsia="仿宋" w:cs="仿宋"/>
          <w:sz w:val="32"/>
          <w:szCs w:val="32"/>
          <w:highlight w:val="none"/>
        </w:rPr>
      </w:pPr>
      <w:r>
        <w:rPr>
          <w:rFonts w:hint="eastAsia" w:ascii="仿宋" w:hAnsi="仿宋" w:eastAsia="仿宋" w:cs="仿宋"/>
          <w:bCs/>
          <w:spacing w:val="-6"/>
          <w:kern w:val="0"/>
          <w:sz w:val="32"/>
          <w:szCs w:val="32"/>
          <w:highlight w:val="none"/>
        </w:rPr>
        <w:t>因</w:t>
      </w:r>
      <w:r>
        <w:rPr>
          <w:rFonts w:hint="eastAsia" w:ascii="仿宋" w:hAnsi="仿宋" w:eastAsia="仿宋" w:cs="仿宋"/>
          <w:bCs/>
          <w:spacing w:val="-6"/>
          <w:kern w:val="0"/>
          <w:sz w:val="32"/>
          <w:szCs w:val="32"/>
          <w:highlight w:val="none"/>
          <w:lang w:val="en-US" w:eastAsia="zh-CN"/>
        </w:rPr>
        <w:t>福州市连辉后巷西段(长乐南路至连辉路)道路工程项目</w:t>
      </w:r>
      <w:r>
        <w:rPr>
          <w:rFonts w:hint="eastAsia" w:ascii="仿宋" w:hAnsi="仿宋" w:eastAsia="仿宋" w:cs="仿宋"/>
          <w:bCs/>
          <w:spacing w:val="-6"/>
          <w:kern w:val="0"/>
          <w:sz w:val="32"/>
          <w:szCs w:val="32"/>
          <w:highlight w:val="none"/>
        </w:rPr>
        <w:t>建</w:t>
      </w:r>
      <w:r>
        <w:rPr>
          <w:rFonts w:hint="eastAsia" w:ascii="仿宋" w:hAnsi="仿宋" w:eastAsia="仿宋" w:cs="仿宋"/>
          <w:bCs/>
          <w:spacing w:val="-6"/>
          <w:kern w:val="0"/>
          <w:sz w:val="32"/>
          <w:szCs w:val="32"/>
          <w:highlight w:val="none"/>
          <w:lang w:val="en-US" w:eastAsia="zh-CN"/>
        </w:rPr>
        <w:t>设需要，</w:t>
      </w:r>
      <w:r>
        <w:rPr>
          <w:rFonts w:hint="eastAsia" w:ascii="仿宋" w:hAnsi="仿宋" w:eastAsia="仿宋" w:cs="仿宋"/>
          <w:bCs/>
          <w:spacing w:val="-6"/>
          <w:kern w:val="0"/>
          <w:sz w:val="32"/>
          <w:szCs w:val="32"/>
          <w:highlight w:val="none"/>
        </w:rPr>
        <w:t>征收</w:t>
      </w:r>
      <w:r>
        <w:rPr>
          <w:rFonts w:hint="eastAsia" w:ascii="仿宋" w:hAnsi="仿宋" w:eastAsia="仿宋" w:cs="仿宋"/>
          <w:bCs/>
          <w:spacing w:val="-6"/>
          <w:kern w:val="0"/>
          <w:sz w:val="32"/>
          <w:szCs w:val="32"/>
          <w:highlight w:val="none"/>
          <w:lang w:val="en-US" w:eastAsia="zh-CN"/>
        </w:rPr>
        <w:t>该</w:t>
      </w:r>
      <w:r>
        <w:rPr>
          <w:rFonts w:hint="eastAsia" w:ascii="仿宋" w:hAnsi="仿宋" w:eastAsia="仿宋" w:cs="仿宋"/>
          <w:bCs/>
          <w:spacing w:val="-6"/>
          <w:kern w:val="0"/>
          <w:sz w:val="32"/>
          <w:szCs w:val="32"/>
          <w:highlight w:val="none"/>
          <w:lang w:val="en-GB"/>
        </w:rPr>
        <w:t>项目</w:t>
      </w:r>
      <w:r>
        <w:rPr>
          <w:rFonts w:hint="eastAsia" w:ascii="仿宋" w:hAnsi="仿宋" w:eastAsia="仿宋" w:cs="仿宋"/>
          <w:bCs/>
          <w:spacing w:val="-6"/>
          <w:kern w:val="0"/>
          <w:sz w:val="32"/>
          <w:szCs w:val="32"/>
          <w:highlight w:val="none"/>
        </w:rPr>
        <w:t>红线范围内所有</w:t>
      </w:r>
      <w:r>
        <w:rPr>
          <w:rFonts w:hint="eastAsia" w:ascii="仿宋" w:hAnsi="仿宋" w:eastAsia="仿宋" w:cs="仿宋"/>
          <w:bCs/>
          <w:spacing w:val="-6"/>
          <w:kern w:val="0"/>
          <w:sz w:val="32"/>
          <w:szCs w:val="32"/>
          <w:highlight w:val="none"/>
          <w:lang w:eastAsia="zh-CN"/>
        </w:rPr>
        <w:t>国有</w:t>
      </w:r>
      <w:r>
        <w:rPr>
          <w:rFonts w:hint="eastAsia" w:ascii="仿宋" w:hAnsi="仿宋" w:eastAsia="仿宋" w:cs="仿宋"/>
          <w:bCs/>
          <w:spacing w:val="-6"/>
          <w:kern w:val="0"/>
          <w:sz w:val="32"/>
          <w:szCs w:val="32"/>
          <w:highlight w:val="none"/>
        </w:rPr>
        <w:t>土地及地上物</w:t>
      </w:r>
      <w:r>
        <w:rPr>
          <w:rFonts w:hint="eastAsia" w:ascii="仿宋" w:hAnsi="仿宋" w:eastAsia="仿宋" w:cs="仿宋"/>
          <w:sz w:val="32"/>
          <w:szCs w:val="32"/>
          <w:highlight w:val="none"/>
          <w:lang w:val="en-US" w:eastAsia="zh-CN"/>
        </w:rPr>
        <w:t>（具体范围以选址红线图</w:t>
      </w:r>
      <w:r>
        <w:rPr>
          <w:rFonts w:hint="eastAsia" w:ascii="仿宋" w:hAnsi="仿宋" w:eastAsia="仿宋" w:cs="仿宋"/>
          <w:bCs/>
          <w:spacing w:val="-6"/>
          <w:kern w:val="0"/>
          <w:sz w:val="32"/>
          <w:szCs w:val="32"/>
          <w:highlight w:val="none"/>
        </w:rPr>
        <w:t>为准），现按照</w:t>
      </w:r>
      <w:r>
        <w:rPr>
          <w:rFonts w:hint="eastAsia" w:ascii="仿宋" w:hAnsi="仿宋" w:eastAsia="仿宋" w:cs="仿宋"/>
          <w:bCs/>
          <w:spacing w:val="-6"/>
          <w:kern w:val="0"/>
          <w:sz w:val="32"/>
          <w:szCs w:val="32"/>
          <w:highlight w:val="none"/>
          <w:lang w:val="en-US" w:eastAsia="zh-CN"/>
        </w:rPr>
        <w:t>《国有土地上房屋征收与</w:t>
      </w:r>
      <w:r>
        <w:rPr>
          <w:rFonts w:hint="eastAsia" w:ascii="仿宋" w:hAnsi="仿宋" w:eastAsia="仿宋" w:cs="仿宋"/>
          <w:bCs/>
          <w:strike w:val="0"/>
          <w:dstrike w:val="0"/>
          <w:spacing w:val="-6"/>
          <w:kern w:val="0"/>
          <w:sz w:val="32"/>
          <w:szCs w:val="32"/>
          <w:highlight w:val="none"/>
          <w:lang w:val="en-US" w:eastAsia="zh-CN"/>
        </w:rPr>
        <w:t>补偿条例》、《福建省实施&lt;国有土地上房屋征收与补偿条例&gt;办法》</w:t>
      </w:r>
      <w:r>
        <w:rPr>
          <w:rFonts w:hint="eastAsia" w:ascii="仿宋" w:hAnsi="仿宋" w:eastAsia="仿宋" w:cs="仿宋"/>
          <w:bCs/>
          <w:strike w:val="0"/>
          <w:dstrike w:val="0"/>
          <w:spacing w:val="-6"/>
          <w:kern w:val="0"/>
          <w:sz w:val="32"/>
          <w:szCs w:val="32"/>
          <w:highlight w:val="none"/>
        </w:rPr>
        <w:t>、《</w:t>
      </w:r>
      <w:r>
        <w:rPr>
          <w:rFonts w:hint="eastAsia" w:ascii="仿宋" w:hAnsi="仿宋" w:eastAsia="仿宋" w:cs="仿宋"/>
          <w:bCs/>
          <w:spacing w:val="-6"/>
          <w:kern w:val="0"/>
          <w:sz w:val="32"/>
          <w:szCs w:val="32"/>
          <w:highlight w:val="none"/>
        </w:rPr>
        <w:t>福州市房屋征收补偿实施细则》</w:t>
      </w:r>
      <w:r>
        <w:rPr>
          <w:rFonts w:hint="eastAsia" w:ascii="仿宋" w:hAnsi="仿宋" w:eastAsia="仿宋" w:cs="仿宋"/>
          <w:bCs/>
          <w:spacing w:val="-6"/>
          <w:kern w:val="0"/>
          <w:sz w:val="32"/>
          <w:szCs w:val="32"/>
          <w:highlight w:val="none"/>
          <w:lang w:val="en-US" w:eastAsia="zh-CN"/>
        </w:rPr>
        <w:t>（2021年修订版）</w:t>
      </w:r>
      <w:r>
        <w:rPr>
          <w:rFonts w:hint="eastAsia" w:ascii="仿宋" w:hAnsi="仿宋" w:eastAsia="仿宋" w:cs="仿宋"/>
          <w:sz w:val="32"/>
          <w:szCs w:val="32"/>
          <w:highlight w:val="none"/>
        </w:rPr>
        <w:t>等相关规定要求，结合本地块的实际情况，特制定如下房屋征收补偿方案。</w:t>
      </w:r>
    </w:p>
    <w:p>
      <w:pPr>
        <w:pStyle w:val="3"/>
        <w:keepNext w:val="0"/>
        <w:keepLines w:val="0"/>
        <w:pageBreakBefore w:val="0"/>
        <w:numPr>
          <w:ilvl w:val="0"/>
          <w:numId w:val="0"/>
        </w:numPr>
        <w:kinsoku/>
        <w:overflowPunct/>
        <w:topLinePunct w:val="0"/>
        <w:autoSpaceDE/>
        <w:autoSpaceDN/>
        <w:bidi w:val="0"/>
        <w:spacing w:line="470" w:lineRule="exact"/>
        <w:ind w:firstLine="640" w:firstLineChars="200"/>
        <w:jc w:val="both"/>
        <w:textAlignment w:val="auto"/>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b w:val="0"/>
          <w:bCs w:val="0"/>
          <w:color w:val="000000"/>
          <w:kern w:val="2"/>
          <w:sz w:val="32"/>
          <w:szCs w:val="32"/>
          <w:highlight w:val="none"/>
          <w:lang w:val="en-US" w:eastAsia="zh-CN" w:bidi="ar-SA"/>
        </w:rPr>
        <w:t>一、征收补偿对象及方式</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u w:val="none"/>
          <w:lang w:val="en-US" w:eastAsia="zh-CN"/>
        </w:rPr>
      </w:pP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一</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u w:val="none"/>
        </w:rPr>
        <w:t>凡本征收范围(具体以项目红线图为准)的被征收人列入征收补偿对象，</w:t>
      </w:r>
      <w:r>
        <w:rPr>
          <w:rFonts w:hint="eastAsia" w:ascii="仿宋" w:hAnsi="仿宋" w:eastAsia="仿宋" w:cs="仿宋"/>
          <w:b w:val="0"/>
          <w:bCs w:val="0"/>
          <w:sz w:val="32"/>
          <w:szCs w:val="32"/>
          <w:highlight w:val="none"/>
          <w:u w:val="none"/>
        </w:rPr>
        <w:t>被</w:t>
      </w:r>
      <w:r>
        <w:rPr>
          <w:rFonts w:hint="eastAsia" w:ascii="仿宋" w:hAnsi="仿宋" w:eastAsia="仿宋" w:cs="仿宋"/>
          <w:b w:val="0"/>
          <w:bCs w:val="0"/>
          <w:sz w:val="32"/>
          <w:szCs w:val="32"/>
          <w:highlight w:val="none"/>
        </w:rPr>
        <w:t>征收房屋属个人或单位所有的，以</w:t>
      </w:r>
      <w:r>
        <w:rPr>
          <w:rFonts w:hint="eastAsia" w:ascii="仿宋" w:hAnsi="仿宋" w:eastAsia="仿宋" w:cs="仿宋"/>
          <w:b w:val="0"/>
          <w:bCs w:val="0"/>
          <w:sz w:val="32"/>
          <w:szCs w:val="32"/>
          <w:highlight w:val="none"/>
          <w:lang w:val="en-US" w:eastAsia="zh-CN"/>
        </w:rPr>
        <w:t>不动产权证书</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含</w:t>
      </w:r>
      <w:r>
        <w:rPr>
          <w:rFonts w:hint="eastAsia" w:ascii="仿宋" w:hAnsi="仿宋" w:eastAsia="仿宋" w:cs="仿宋"/>
          <w:b w:val="0"/>
          <w:bCs w:val="0"/>
          <w:sz w:val="32"/>
          <w:szCs w:val="32"/>
          <w:highlight w:val="none"/>
        </w:rPr>
        <w:t>房屋所有权证</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下同）或建筑许可执照（建设工程规划许可证，同一人加层扩建除外）</w:t>
      </w:r>
      <w:r>
        <w:rPr>
          <w:rFonts w:hint="eastAsia" w:ascii="仿宋" w:hAnsi="仿宋" w:eastAsia="仿宋" w:cs="仿宋"/>
          <w:b w:val="0"/>
          <w:bCs w:val="0"/>
          <w:sz w:val="32"/>
          <w:szCs w:val="32"/>
          <w:highlight w:val="none"/>
        </w:rPr>
        <w:t>为计户和补偿依据，被征收人应当依据</w:t>
      </w:r>
      <w:r>
        <w:rPr>
          <w:rFonts w:hint="eastAsia" w:ascii="仿宋" w:hAnsi="仿宋" w:eastAsia="仿宋" w:cs="仿宋"/>
          <w:b w:val="0"/>
          <w:bCs w:val="0"/>
          <w:sz w:val="32"/>
          <w:szCs w:val="32"/>
          <w:highlight w:val="none"/>
          <w:lang w:val="en-US" w:eastAsia="zh-CN"/>
        </w:rPr>
        <w:t>权属证书</w:t>
      </w:r>
      <w:r>
        <w:rPr>
          <w:rFonts w:hint="eastAsia" w:ascii="仿宋" w:hAnsi="仿宋" w:eastAsia="仿宋" w:cs="仿宋"/>
          <w:b w:val="0"/>
          <w:bCs w:val="0"/>
          <w:sz w:val="32"/>
          <w:szCs w:val="32"/>
          <w:highlight w:val="none"/>
        </w:rPr>
        <w:t>记载的房屋用途、性质和面积选择货币补偿。</w:t>
      </w:r>
      <w:r>
        <w:rPr>
          <w:rFonts w:hint="eastAsia" w:ascii="仿宋" w:hAnsi="仿宋" w:eastAsia="仿宋" w:cs="仿宋"/>
          <w:b w:val="0"/>
          <w:bCs w:val="0"/>
          <w:sz w:val="32"/>
          <w:szCs w:val="32"/>
          <w:highlight w:val="none"/>
          <w:u w:val="none"/>
          <w:lang w:val="en-US" w:eastAsia="zh-CN"/>
        </w:rPr>
        <w:t>持有建筑许可执照（建设工程规划许可证）未建设的不予补偿。</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b w:val="0"/>
          <w:bCs w:val="0"/>
          <w:sz w:val="32"/>
          <w:szCs w:val="32"/>
          <w:highlight w:val="none"/>
          <w:lang w:val="en-US" w:eastAsia="zh-CN"/>
        </w:rPr>
        <w:t>（二）</w:t>
      </w:r>
      <w:r>
        <w:rPr>
          <w:rFonts w:hint="eastAsia" w:ascii="仿宋" w:hAnsi="仿宋" w:eastAsia="仿宋" w:cs="仿宋"/>
          <w:sz w:val="32"/>
          <w:szCs w:val="32"/>
          <w:highlight w:val="none"/>
        </w:rPr>
        <w:t>本地块征收补偿的方式:实行货币补偿</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（三）建筑面积计算</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color w:val="333333"/>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b w:val="0"/>
          <w:bCs w:val="0"/>
          <w:sz w:val="32"/>
          <w:szCs w:val="32"/>
          <w:highlight w:val="none"/>
          <w:lang w:val="en-US" w:eastAsia="zh-CN"/>
        </w:rPr>
        <w:t>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二、 非住宅房屋征收补偿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trike/>
          <w:dstrike w:val="0"/>
          <w:sz w:val="32"/>
          <w:szCs w:val="32"/>
          <w:highlight w:val="none"/>
          <w:u w:val="single"/>
          <w:lang w:eastAsia="zh-CN"/>
        </w:rPr>
      </w:pP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一</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非住宅房屋征收原则上按不动产权证书（房屋所有权证或土地证）登记的用途实行货币补偿</w:t>
      </w:r>
      <w:r>
        <w:rPr>
          <w:rFonts w:hint="eastAsia" w:ascii="仿宋" w:hAnsi="仿宋" w:eastAsia="仿宋" w:cs="仿宋"/>
          <w:b w:val="0"/>
          <w:bCs w:val="0"/>
          <w:strike w:val="0"/>
          <w:dstrike w:val="0"/>
          <w:sz w:val="32"/>
          <w:szCs w:val="32"/>
          <w:highlight w:val="none"/>
          <w:u w:val="none"/>
          <w:lang w:eastAsia="zh-CN"/>
        </w:rPr>
        <w:t>。</w:t>
      </w:r>
    </w:p>
    <w:p>
      <w:pPr>
        <w:pStyle w:val="2"/>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b w:val="0"/>
          <w:bCs w:val="0"/>
          <w:strike/>
          <w:dstrike w:val="0"/>
          <w:sz w:val="32"/>
          <w:szCs w:val="32"/>
          <w:highlight w:val="none"/>
          <w:u w:val="single"/>
          <w:lang w:val="en-US" w:eastAsia="zh-CN"/>
        </w:rPr>
      </w:pP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二</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非住宅房屋补偿计价方式</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工业仓储用房货币补偿计价方式：货币补偿金额=被征收工业仓储类用房确认的合法建筑面积×（</w:t>
      </w:r>
      <w:r>
        <w:rPr>
          <w:rFonts w:hint="eastAsia" w:ascii="仿宋" w:hAnsi="仿宋" w:eastAsia="仿宋" w:cs="仿宋"/>
          <w:bCs/>
          <w:sz w:val="32"/>
          <w:szCs w:val="32"/>
          <w:highlight w:val="none"/>
          <w:u w:val="single"/>
          <w:lang w:val="en-US" w:eastAsia="zh-CN"/>
        </w:rPr>
        <w:t>1319</w:t>
      </w:r>
      <w:r>
        <w:rPr>
          <w:rFonts w:hint="eastAsia" w:ascii="仿宋" w:hAnsi="仿宋" w:eastAsia="仿宋" w:cs="仿宋"/>
          <w:bCs/>
          <w:sz w:val="32"/>
          <w:szCs w:val="32"/>
          <w:highlight w:val="none"/>
        </w:rPr>
        <w:t>元/㎡</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rPr>
        <w:t>被征收房屋重置价×成新率）。</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办公</w:t>
      </w:r>
      <w:r>
        <w:rPr>
          <w:rFonts w:hint="eastAsia" w:ascii="仿宋" w:hAnsi="仿宋" w:eastAsia="仿宋" w:cs="仿宋"/>
          <w:bCs/>
          <w:sz w:val="32"/>
          <w:szCs w:val="32"/>
          <w:highlight w:val="none"/>
          <w:lang w:val="en-US" w:eastAsia="zh-CN"/>
        </w:rPr>
        <w:t>用房</w:t>
      </w:r>
      <w:r>
        <w:rPr>
          <w:rFonts w:hint="eastAsia" w:ascii="仿宋" w:hAnsi="仿宋" w:eastAsia="仿宋" w:cs="仿宋"/>
          <w:bCs/>
          <w:sz w:val="32"/>
          <w:szCs w:val="32"/>
          <w:highlight w:val="none"/>
        </w:rPr>
        <w:t>货币补偿计价方式:货币补偿金额=被征收办公</w:t>
      </w:r>
      <w:r>
        <w:rPr>
          <w:rFonts w:hint="eastAsia" w:ascii="仿宋" w:hAnsi="仿宋" w:eastAsia="仿宋" w:cs="仿宋"/>
          <w:bCs/>
          <w:sz w:val="32"/>
          <w:szCs w:val="32"/>
          <w:highlight w:val="none"/>
          <w:lang w:val="en-US" w:eastAsia="zh-CN"/>
        </w:rPr>
        <w:t>用房</w:t>
      </w:r>
      <w:r>
        <w:rPr>
          <w:rFonts w:hint="eastAsia" w:ascii="仿宋" w:hAnsi="仿宋" w:eastAsia="仿宋" w:cs="仿宋"/>
          <w:bCs/>
          <w:sz w:val="32"/>
          <w:szCs w:val="32"/>
          <w:highlight w:val="none"/>
        </w:rPr>
        <w:t>确认的合法建筑面积×（</w:t>
      </w:r>
      <w:r>
        <w:rPr>
          <w:rFonts w:hint="eastAsia" w:ascii="仿宋" w:hAnsi="仿宋" w:eastAsia="仿宋" w:cs="仿宋"/>
          <w:bCs/>
          <w:sz w:val="32"/>
          <w:szCs w:val="32"/>
          <w:highlight w:val="none"/>
          <w:u w:val="single"/>
          <w:lang w:val="en-US" w:eastAsia="zh-CN"/>
        </w:rPr>
        <w:t>9233</w:t>
      </w:r>
      <w:r>
        <w:rPr>
          <w:rFonts w:hint="eastAsia" w:ascii="仿宋" w:hAnsi="仿宋" w:eastAsia="仿宋" w:cs="仿宋"/>
          <w:bCs/>
          <w:sz w:val="32"/>
          <w:szCs w:val="32"/>
          <w:highlight w:val="none"/>
        </w:rPr>
        <w:t>元/㎡</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rPr>
        <w:t>被征收房屋重置价×成新率)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三</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被征收房屋不动产权证书（房屋所有权证或土地证）登记的用途为工业仓储厂房，于</w:t>
      </w:r>
      <w:r>
        <w:rPr>
          <w:rFonts w:hint="eastAsia" w:ascii="仿宋" w:hAnsi="仿宋" w:eastAsia="仿宋" w:cs="仿宋"/>
          <w:b w:val="0"/>
          <w:bCs w:val="0"/>
          <w:color w:val="auto"/>
          <w:sz w:val="32"/>
          <w:szCs w:val="32"/>
          <w:highlight w:val="none"/>
        </w:rPr>
        <w:t>201</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月1日《</w:t>
      </w:r>
      <w:r>
        <w:rPr>
          <w:rFonts w:hint="eastAsia" w:ascii="仿宋" w:hAnsi="仿宋" w:eastAsia="仿宋" w:cs="仿宋"/>
          <w:b w:val="0"/>
          <w:bCs w:val="0"/>
          <w:color w:val="auto"/>
          <w:sz w:val="32"/>
          <w:szCs w:val="32"/>
          <w:highlight w:val="none"/>
          <w:lang w:val="en-US" w:eastAsia="zh-CN"/>
        </w:rPr>
        <w:t>福州市</w:t>
      </w:r>
      <w:r>
        <w:rPr>
          <w:rFonts w:hint="eastAsia" w:ascii="仿宋" w:hAnsi="仿宋" w:eastAsia="仿宋" w:cs="仿宋"/>
          <w:b w:val="0"/>
          <w:bCs w:val="0"/>
          <w:color w:val="auto"/>
          <w:sz w:val="32"/>
          <w:szCs w:val="32"/>
          <w:highlight w:val="none"/>
        </w:rPr>
        <w:t>城市规划管理技术规定》</w:t>
      </w:r>
      <w:r>
        <w:rPr>
          <w:rFonts w:hint="eastAsia" w:ascii="仿宋" w:hAnsi="仿宋" w:eastAsia="仿宋" w:cs="仿宋"/>
          <w:b w:val="0"/>
          <w:bCs w:val="0"/>
          <w:color w:val="auto"/>
          <w:sz w:val="32"/>
          <w:szCs w:val="32"/>
          <w:highlight w:val="none"/>
          <w:lang w:val="en-US" w:eastAsia="zh-CN"/>
        </w:rPr>
        <w:t>施行前</w:t>
      </w:r>
      <w:r>
        <w:rPr>
          <w:rFonts w:hint="eastAsia" w:ascii="仿宋" w:hAnsi="仿宋" w:eastAsia="仿宋" w:cs="仿宋"/>
          <w:b w:val="0"/>
          <w:bCs w:val="0"/>
          <w:sz w:val="32"/>
          <w:szCs w:val="32"/>
          <w:highlight w:val="none"/>
          <w:lang w:val="en-US" w:eastAsia="zh-CN"/>
        </w:rPr>
        <w:t>改为办公和生活服务设施用房的，</w:t>
      </w:r>
      <w:r>
        <w:rPr>
          <w:rFonts w:hint="eastAsia" w:ascii="仿宋" w:hAnsi="仿宋" w:eastAsia="仿宋" w:cs="仿宋"/>
          <w:b w:val="0"/>
          <w:bCs w:val="0"/>
          <w:sz w:val="32"/>
          <w:szCs w:val="32"/>
          <w:highlight w:val="none"/>
        </w:rPr>
        <w:t>认定的办公及生活服务设施用房面积</w:t>
      </w:r>
      <w:r>
        <w:rPr>
          <w:rFonts w:hint="eastAsia" w:ascii="仿宋" w:hAnsi="仿宋" w:eastAsia="仿宋" w:cs="仿宋"/>
          <w:b w:val="0"/>
          <w:bCs w:val="0"/>
          <w:color w:val="auto"/>
          <w:sz w:val="32"/>
          <w:szCs w:val="32"/>
          <w:highlight w:val="none"/>
        </w:rPr>
        <w:t>不得超过</w:t>
      </w:r>
      <w:r>
        <w:rPr>
          <w:rFonts w:hint="eastAsia" w:ascii="仿宋" w:hAnsi="仿宋" w:eastAsia="仿宋" w:cs="仿宋"/>
          <w:b w:val="0"/>
          <w:bCs w:val="0"/>
          <w:color w:val="auto"/>
          <w:sz w:val="32"/>
          <w:szCs w:val="32"/>
          <w:highlight w:val="none"/>
          <w:lang w:val="en-US" w:eastAsia="zh-CN"/>
        </w:rPr>
        <w:t>确权</w:t>
      </w:r>
      <w:r>
        <w:rPr>
          <w:rFonts w:hint="eastAsia" w:ascii="仿宋" w:hAnsi="仿宋" w:eastAsia="仿宋" w:cs="仿宋"/>
          <w:b w:val="0"/>
          <w:bCs w:val="0"/>
          <w:color w:val="auto"/>
          <w:sz w:val="32"/>
          <w:szCs w:val="32"/>
          <w:highlight w:val="none"/>
        </w:rPr>
        <w:t>总建筑面积的15%</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含已登记为办公用房部分）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超</w:t>
      </w:r>
      <w:r>
        <w:rPr>
          <w:rFonts w:hint="eastAsia" w:ascii="仿宋" w:hAnsi="仿宋" w:eastAsia="仿宋" w:cs="仿宋"/>
          <w:b w:val="0"/>
          <w:bCs w:val="0"/>
          <w:color w:val="auto"/>
          <w:sz w:val="32"/>
          <w:szCs w:val="32"/>
          <w:highlight w:val="none"/>
          <w:lang w:eastAsia="zh-CN"/>
        </w:rPr>
        <w:t>出</w:t>
      </w:r>
      <w:r>
        <w:rPr>
          <w:rFonts w:hint="eastAsia" w:ascii="仿宋" w:hAnsi="仿宋" w:eastAsia="仿宋" w:cs="仿宋"/>
          <w:b w:val="0"/>
          <w:bCs w:val="0"/>
          <w:color w:val="auto"/>
          <w:sz w:val="32"/>
          <w:szCs w:val="32"/>
          <w:highlight w:val="none"/>
        </w:rPr>
        <w:t>部分的面积仍按原用途认定补偿</w:t>
      </w:r>
      <w:r>
        <w:rPr>
          <w:rFonts w:hint="eastAsia" w:ascii="仿宋" w:hAnsi="仿宋" w:eastAsia="仿宋" w:cs="仿宋"/>
          <w:b w:val="0"/>
          <w:bCs w:val="0"/>
          <w:color w:val="auto"/>
          <w:sz w:val="32"/>
          <w:szCs w:val="32"/>
          <w:highlight w:val="none"/>
          <w:lang w:eastAsia="zh-CN"/>
        </w:rPr>
        <w:t>，未超过的按实际面积认定补偿</w:t>
      </w:r>
      <w:r>
        <w:rPr>
          <w:rFonts w:hint="eastAsia" w:ascii="仿宋" w:hAnsi="仿宋" w:eastAsia="仿宋" w:cs="仿宋"/>
          <w:b w:val="0"/>
          <w:bCs w:val="0"/>
          <w:color w:val="auto"/>
          <w:sz w:val="32"/>
          <w:szCs w:val="32"/>
          <w:highlight w:val="none"/>
        </w:rPr>
        <w:t>。</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z w:val="32"/>
          <w:szCs w:val="32"/>
          <w:highlight w:val="none"/>
          <w:u w:val="none"/>
          <w:lang w:val="en-US" w:eastAsia="zh-CN"/>
        </w:rPr>
        <w:t>四</w:t>
      </w:r>
      <w:r>
        <w:rPr>
          <w:rFonts w:hint="eastAsia" w:ascii="仿宋" w:hAnsi="仿宋" w:eastAsia="仿宋" w:cs="仿宋"/>
          <w:b w:val="0"/>
          <w:bCs w:val="0"/>
          <w:sz w:val="32"/>
          <w:szCs w:val="32"/>
          <w:highlight w:val="none"/>
          <w:u w:val="none"/>
          <w:lang w:eastAsia="zh-CN"/>
        </w:rPr>
        <w:t>）</w:t>
      </w:r>
      <w:r>
        <w:rPr>
          <w:rFonts w:hint="eastAsia" w:ascii="仿宋" w:hAnsi="仿宋" w:eastAsia="仿宋" w:cs="仿宋"/>
          <w:b w:val="0"/>
          <w:bCs w:val="0"/>
          <w:spacing w:val="-4"/>
          <w:sz w:val="32"/>
          <w:szCs w:val="32"/>
          <w:highlight w:val="none"/>
          <w:u w:val="none"/>
        </w:rPr>
        <w:t>被征收人在签约期限内签约搬迁并按整体区位评估价计价的，</w:t>
      </w:r>
      <w:r>
        <w:rPr>
          <w:rFonts w:hint="eastAsia" w:ascii="仿宋" w:hAnsi="仿宋" w:eastAsia="仿宋" w:cs="仿宋"/>
          <w:sz w:val="32"/>
          <w:szCs w:val="32"/>
          <w:highlight w:val="none"/>
        </w:rPr>
        <w:t>按以下标准给予搬迁奖励：</w:t>
      </w:r>
    </w:p>
    <w:p>
      <w:pPr>
        <w:keepNext w:val="0"/>
        <w:keepLines w:val="0"/>
        <w:pageBreakBefore w:val="0"/>
        <w:kinsoku/>
        <w:overflowPunct/>
        <w:topLinePunct w:val="0"/>
        <w:autoSpaceDE/>
        <w:autoSpaceDN/>
        <w:bidi w:val="0"/>
        <w:spacing w:line="470" w:lineRule="exact"/>
        <w:textAlignment w:val="auto"/>
        <w:rPr>
          <w:rFonts w:hint="eastAsia" w:ascii="仿宋" w:hAnsi="仿宋" w:eastAsia="仿宋" w:cs="仿宋"/>
          <w:strike w:val="0"/>
          <w:dstrike w:val="0"/>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trike w:val="0"/>
          <w:dstrike w:val="0"/>
          <w:sz w:val="32"/>
          <w:szCs w:val="32"/>
          <w:highlight w:val="none"/>
        </w:rPr>
        <w:t>工业仓储用房</w:t>
      </w:r>
      <w:r>
        <w:rPr>
          <w:rFonts w:hint="eastAsia" w:ascii="仿宋" w:hAnsi="仿宋" w:eastAsia="仿宋" w:cs="仿宋"/>
          <w:strike w:val="0"/>
          <w:dstrike w:val="0"/>
          <w:sz w:val="32"/>
          <w:szCs w:val="32"/>
          <w:highlight w:val="none"/>
          <w:u w:val="single"/>
          <w:lang w:val="en-US" w:eastAsia="zh-CN"/>
        </w:rPr>
        <w:t>2385</w:t>
      </w:r>
      <w:r>
        <w:rPr>
          <w:rFonts w:hint="eastAsia" w:ascii="仿宋" w:hAnsi="仿宋" w:eastAsia="仿宋" w:cs="仿宋"/>
          <w:strike w:val="0"/>
          <w:dstrike w:val="0"/>
          <w:sz w:val="32"/>
          <w:szCs w:val="32"/>
          <w:highlight w:val="none"/>
        </w:rPr>
        <w:t>元/㎡，办公</w:t>
      </w:r>
      <w:r>
        <w:rPr>
          <w:rFonts w:hint="eastAsia" w:ascii="仿宋" w:hAnsi="仿宋" w:eastAsia="仿宋" w:cs="仿宋"/>
          <w:strike w:val="0"/>
          <w:dstrike w:val="0"/>
          <w:sz w:val="32"/>
          <w:szCs w:val="32"/>
          <w:highlight w:val="none"/>
          <w:lang w:val="en-US" w:eastAsia="zh-CN"/>
        </w:rPr>
        <w:t>用房</w:t>
      </w:r>
      <w:r>
        <w:rPr>
          <w:rFonts w:hint="eastAsia" w:ascii="仿宋" w:hAnsi="仿宋" w:eastAsia="仿宋" w:cs="仿宋"/>
          <w:strike w:val="0"/>
          <w:dstrike w:val="0"/>
          <w:sz w:val="32"/>
          <w:szCs w:val="32"/>
          <w:highlight w:val="none"/>
          <w:u w:val="single"/>
          <w:lang w:val="en-US" w:eastAsia="zh-CN"/>
        </w:rPr>
        <w:t>923</w:t>
      </w:r>
      <w:r>
        <w:rPr>
          <w:rFonts w:hint="eastAsia" w:ascii="仿宋" w:hAnsi="仿宋" w:eastAsia="仿宋" w:cs="仿宋"/>
          <w:strike w:val="0"/>
          <w:dstrike w:val="0"/>
          <w:sz w:val="32"/>
          <w:szCs w:val="32"/>
          <w:highlight w:val="none"/>
        </w:rPr>
        <w:t>元/㎡。</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24" w:firstLineChars="200"/>
        <w:jc w:val="both"/>
        <w:textAlignment w:val="auto"/>
        <w:outlineLvl w:val="9"/>
        <w:rPr>
          <w:rFonts w:hint="eastAsia" w:ascii="仿宋" w:hAnsi="仿宋" w:eastAsia="仿宋" w:cs="仿宋"/>
          <w:b w:val="0"/>
          <w:bCs w:val="0"/>
          <w:strike w:val="0"/>
          <w:dstrike w:val="0"/>
          <w:spacing w:val="-4"/>
          <w:sz w:val="32"/>
          <w:szCs w:val="32"/>
          <w:highlight w:val="none"/>
          <w:u w:val="none"/>
          <w:lang w:eastAsia="zh-CN"/>
        </w:rPr>
      </w:pPr>
      <w:r>
        <w:rPr>
          <w:rFonts w:hint="eastAsia" w:ascii="仿宋" w:hAnsi="仿宋" w:eastAsia="仿宋" w:cs="仿宋"/>
          <w:b w:val="0"/>
          <w:bCs w:val="0"/>
          <w:strike w:val="0"/>
          <w:dstrike w:val="0"/>
          <w:spacing w:val="-4"/>
          <w:sz w:val="32"/>
          <w:szCs w:val="32"/>
          <w:highlight w:val="none"/>
          <w:u w:val="none"/>
        </w:rPr>
        <w:t>选择货币补偿的</w:t>
      </w:r>
      <w:r>
        <w:rPr>
          <w:rFonts w:hint="eastAsia" w:ascii="仿宋" w:hAnsi="仿宋" w:eastAsia="仿宋" w:cs="仿宋"/>
          <w:b w:val="0"/>
          <w:bCs w:val="0"/>
          <w:strike w:val="0"/>
          <w:dstrike w:val="0"/>
          <w:spacing w:val="-4"/>
          <w:sz w:val="32"/>
          <w:szCs w:val="32"/>
          <w:highlight w:val="none"/>
          <w:u w:val="none"/>
          <w:lang w:eastAsia="zh-CN"/>
        </w:rPr>
        <w:t>，</w:t>
      </w:r>
      <w:r>
        <w:rPr>
          <w:rFonts w:hint="eastAsia" w:ascii="仿宋" w:hAnsi="仿宋" w:eastAsia="仿宋" w:cs="仿宋"/>
          <w:b w:val="0"/>
          <w:bCs w:val="0"/>
          <w:strike w:val="0"/>
          <w:dstrike w:val="0"/>
          <w:spacing w:val="-4"/>
          <w:sz w:val="32"/>
          <w:szCs w:val="32"/>
          <w:highlight w:val="none"/>
          <w:u w:val="none"/>
        </w:rPr>
        <w:t>另</w:t>
      </w:r>
      <w:r>
        <w:rPr>
          <w:rFonts w:hint="eastAsia" w:ascii="仿宋" w:hAnsi="仿宋" w:eastAsia="仿宋" w:cs="仿宋"/>
          <w:strike w:val="0"/>
          <w:dstrike w:val="0"/>
          <w:sz w:val="32"/>
          <w:szCs w:val="32"/>
          <w:highlight w:val="none"/>
        </w:rPr>
        <w:t>按以下标准给予</w:t>
      </w:r>
      <w:r>
        <w:rPr>
          <w:rFonts w:hint="eastAsia" w:ascii="仿宋" w:hAnsi="仿宋" w:eastAsia="仿宋" w:cs="仿宋"/>
          <w:b w:val="0"/>
          <w:bCs w:val="0"/>
          <w:strike w:val="0"/>
          <w:dstrike w:val="0"/>
          <w:spacing w:val="-4"/>
          <w:sz w:val="32"/>
          <w:szCs w:val="32"/>
          <w:highlight w:val="none"/>
          <w:u w:val="none"/>
          <w:lang w:val="en-US" w:eastAsia="zh-CN"/>
        </w:rPr>
        <w:t>货币</w:t>
      </w:r>
      <w:r>
        <w:rPr>
          <w:rFonts w:hint="eastAsia" w:ascii="仿宋" w:hAnsi="仿宋" w:eastAsia="仿宋" w:cs="仿宋"/>
          <w:b w:val="0"/>
          <w:bCs w:val="0"/>
          <w:strike w:val="0"/>
          <w:dstrike w:val="0"/>
          <w:spacing w:val="-4"/>
          <w:sz w:val="32"/>
          <w:szCs w:val="32"/>
          <w:highlight w:val="none"/>
          <w:u w:val="none"/>
        </w:rPr>
        <w:t>奖励</w:t>
      </w:r>
      <w:r>
        <w:rPr>
          <w:rFonts w:hint="eastAsia" w:ascii="仿宋" w:hAnsi="仿宋" w:eastAsia="仿宋" w:cs="仿宋"/>
          <w:b w:val="0"/>
          <w:bCs w:val="0"/>
          <w:strike w:val="0"/>
          <w:dstrike w:val="0"/>
          <w:spacing w:val="-4"/>
          <w:sz w:val="32"/>
          <w:szCs w:val="32"/>
          <w:highlight w:val="none"/>
          <w:u w:val="none"/>
          <w:lang w:eastAsia="zh-CN"/>
        </w:rPr>
        <w:t>：</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b w:val="0"/>
          <w:bCs w:val="0"/>
          <w:strike w:val="0"/>
          <w:dstrike w:val="0"/>
          <w:sz w:val="32"/>
          <w:szCs w:val="32"/>
          <w:highlight w:val="none"/>
        </w:rPr>
      </w:pPr>
      <w:r>
        <w:rPr>
          <w:rFonts w:hint="eastAsia" w:ascii="仿宋" w:hAnsi="仿宋" w:eastAsia="仿宋" w:cs="仿宋"/>
          <w:strike w:val="0"/>
          <w:dstrike w:val="0"/>
          <w:sz w:val="32"/>
          <w:szCs w:val="32"/>
          <w:highlight w:val="none"/>
        </w:rPr>
        <w:t>工业仓储用房</w:t>
      </w:r>
      <w:r>
        <w:rPr>
          <w:rFonts w:hint="eastAsia" w:ascii="仿宋" w:hAnsi="仿宋" w:eastAsia="仿宋" w:cs="仿宋"/>
          <w:strike w:val="0"/>
          <w:dstrike w:val="0"/>
          <w:sz w:val="32"/>
          <w:szCs w:val="32"/>
          <w:highlight w:val="none"/>
          <w:u w:val="single"/>
          <w:lang w:val="en-US" w:eastAsia="zh-CN"/>
        </w:rPr>
        <w:t>1590</w:t>
      </w:r>
      <w:r>
        <w:rPr>
          <w:rFonts w:hint="eastAsia" w:ascii="仿宋" w:hAnsi="仿宋" w:eastAsia="仿宋" w:cs="仿宋"/>
          <w:strike w:val="0"/>
          <w:dstrike w:val="0"/>
          <w:sz w:val="32"/>
          <w:szCs w:val="32"/>
          <w:highlight w:val="none"/>
        </w:rPr>
        <w:t>元/㎡，办公</w:t>
      </w:r>
      <w:r>
        <w:rPr>
          <w:rFonts w:hint="eastAsia" w:ascii="仿宋" w:hAnsi="仿宋" w:eastAsia="仿宋" w:cs="仿宋"/>
          <w:strike w:val="0"/>
          <w:dstrike w:val="0"/>
          <w:sz w:val="32"/>
          <w:szCs w:val="32"/>
          <w:highlight w:val="none"/>
          <w:lang w:val="en-US" w:eastAsia="zh-CN"/>
        </w:rPr>
        <w:t>用房</w:t>
      </w:r>
      <w:r>
        <w:rPr>
          <w:rFonts w:hint="eastAsia" w:ascii="仿宋" w:hAnsi="仿宋" w:eastAsia="仿宋" w:cs="仿宋"/>
          <w:strike w:val="0"/>
          <w:dstrike w:val="0"/>
          <w:sz w:val="32"/>
          <w:szCs w:val="32"/>
          <w:highlight w:val="none"/>
          <w:u w:val="single"/>
          <w:lang w:val="en-US" w:eastAsia="zh-CN"/>
        </w:rPr>
        <w:t>923</w:t>
      </w:r>
      <w:r>
        <w:rPr>
          <w:rFonts w:hint="eastAsia" w:ascii="仿宋" w:hAnsi="仿宋" w:eastAsia="仿宋" w:cs="仿宋"/>
          <w:strike w:val="0"/>
          <w:dstrike w:val="0"/>
          <w:sz w:val="32"/>
          <w:szCs w:val="32"/>
          <w:highlight w:val="none"/>
        </w:rPr>
        <w:t>元/㎡。</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被征收人选择分户评估方式结算货币补偿金额的，货币补偿金额按市场评估价格确定</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在签约期限内签约搬迁的，</w:t>
      </w:r>
      <w:r>
        <w:rPr>
          <w:rFonts w:hint="eastAsia" w:ascii="仿宋" w:hAnsi="仿宋" w:eastAsia="仿宋" w:cs="仿宋"/>
          <w:b w:val="0"/>
          <w:bCs w:val="0"/>
          <w:spacing w:val="-4"/>
          <w:sz w:val="32"/>
          <w:szCs w:val="32"/>
          <w:highlight w:val="none"/>
        </w:rPr>
        <w:t>可给予被征收房屋分户评估价5％的</w:t>
      </w:r>
      <w:r>
        <w:rPr>
          <w:rFonts w:hint="eastAsia" w:ascii="仿宋" w:hAnsi="仿宋" w:eastAsia="仿宋" w:cs="仿宋"/>
          <w:b w:val="0"/>
          <w:bCs w:val="0"/>
          <w:spacing w:val="-4"/>
          <w:sz w:val="32"/>
          <w:szCs w:val="32"/>
          <w:highlight w:val="none"/>
          <w:lang w:val="en-US" w:eastAsia="zh-CN"/>
        </w:rPr>
        <w:t>搬迁</w:t>
      </w:r>
      <w:r>
        <w:rPr>
          <w:rFonts w:hint="eastAsia" w:ascii="仿宋" w:hAnsi="仿宋" w:eastAsia="仿宋" w:cs="仿宋"/>
          <w:b w:val="0"/>
          <w:bCs w:val="0"/>
          <w:spacing w:val="-4"/>
          <w:sz w:val="32"/>
          <w:szCs w:val="32"/>
          <w:highlight w:val="none"/>
        </w:rPr>
        <w:t>奖励</w:t>
      </w:r>
      <w:r>
        <w:rPr>
          <w:rFonts w:hint="eastAsia" w:ascii="仿宋" w:hAnsi="仿宋" w:eastAsia="仿宋" w:cs="仿宋"/>
          <w:b w:val="0"/>
          <w:bCs w:val="0"/>
          <w:spacing w:val="-4"/>
          <w:sz w:val="32"/>
          <w:szCs w:val="32"/>
          <w:highlight w:val="none"/>
          <w:lang w:eastAsia="zh-CN"/>
        </w:rPr>
        <w:t>，</w:t>
      </w:r>
      <w:r>
        <w:rPr>
          <w:rFonts w:hint="eastAsia" w:ascii="仿宋" w:hAnsi="仿宋" w:eastAsia="仿宋" w:cs="仿宋"/>
          <w:b w:val="0"/>
          <w:bCs w:val="0"/>
          <w:spacing w:val="-4"/>
          <w:sz w:val="32"/>
          <w:szCs w:val="32"/>
          <w:highlight w:val="none"/>
        </w:rPr>
        <w:t>选择货币补偿的</w:t>
      </w:r>
      <w:r>
        <w:rPr>
          <w:rFonts w:hint="eastAsia" w:ascii="仿宋" w:hAnsi="仿宋" w:eastAsia="仿宋" w:cs="仿宋"/>
          <w:b w:val="0"/>
          <w:bCs w:val="0"/>
          <w:spacing w:val="-4"/>
          <w:sz w:val="32"/>
          <w:szCs w:val="32"/>
          <w:highlight w:val="none"/>
          <w:lang w:eastAsia="zh-CN"/>
        </w:rPr>
        <w:t>，</w:t>
      </w:r>
      <w:r>
        <w:rPr>
          <w:rFonts w:hint="eastAsia" w:ascii="仿宋" w:hAnsi="仿宋" w:eastAsia="仿宋" w:cs="仿宋"/>
          <w:b w:val="0"/>
          <w:bCs w:val="0"/>
          <w:spacing w:val="-4"/>
          <w:sz w:val="32"/>
          <w:szCs w:val="32"/>
          <w:highlight w:val="none"/>
        </w:rPr>
        <w:t>可给予被征收房屋分户评估价5％的货币奖励</w:t>
      </w:r>
      <w:r>
        <w:rPr>
          <w:rFonts w:hint="eastAsia" w:ascii="仿宋" w:hAnsi="仿宋" w:eastAsia="仿宋" w:cs="仿宋"/>
          <w:b w:val="0"/>
          <w:bCs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left"/>
        <w:textAlignment w:val="auto"/>
        <w:outlineLvl w:val="9"/>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三、无产权房屋征收补偿</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1、属1984年1月5日国务院《城市规划条例》生效前建设的无产权房屋，按原房屋建筑面积给予补偿安置。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2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2、属1984年1月5日至2004年10月26日</w:t>
      </w:r>
      <w:r>
        <w:rPr>
          <w:rFonts w:hint="eastAsia" w:ascii="仿宋" w:hAnsi="仿宋" w:eastAsia="仿宋" w:cs="仿宋"/>
          <w:b w:val="0"/>
          <w:bCs w:val="0"/>
          <w:sz w:val="32"/>
          <w:szCs w:val="32"/>
          <w:highlight w:val="none"/>
          <w:lang w:eastAsia="zh-CN"/>
        </w:rPr>
        <w:t>间</w:t>
      </w:r>
      <w:r>
        <w:rPr>
          <w:rFonts w:hint="eastAsia" w:ascii="仿宋" w:hAnsi="仿宋" w:eastAsia="仿宋" w:cs="仿宋"/>
          <w:b w:val="0"/>
          <w:bCs w:val="0"/>
          <w:sz w:val="32"/>
          <w:szCs w:val="32"/>
          <w:highlight w:val="none"/>
          <w:lang w:val="en-US" w:eastAsia="zh-CN"/>
        </w:rPr>
        <w:t>，行政机关、事业单位、各类企业出资在自有土地使用权范围内建设的无产权房屋，按原房屋建筑面积的50%给予货币补偿。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3、属2004年10月26日至2006年8月26日《福州市人民政府关于清理整治违法建设的通告》发布前建设的无产权房屋，以及私营企业或个人在1984年1月5日至2006年8月26日</w:t>
      </w:r>
      <w:r>
        <w:rPr>
          <w:rFonts w:hint="eastAsia" w:ascii="仿宋" w:hAnsi="仿宋" w:eastAsia="仿宋" w:cs="仿宋"/>
          <w:b w:val="0"/>
          <w:bCs w:val="0"/>
          <w:sz w:val="32"/>
          <w:szCs w:val="32"/>
          <w:highlight w:val="none"/>
          <w:lang w:eastAsia="zh-CN"/>
        </w:rPr>
        <w:t>间</w:t>
      </w:r>
      <w:r>
        <w:rPr>
          <w:rFonts w:hint="eastAsia" w:ascii="仿宋" w:hAnsi="仿宋" w:eastAsia="仿宋" w:cs="仿宋"/>
          <w:b w:val="0"/>
          <w:bCs w:val="0"/>
          <w:sz w:val="32"/>
          <w:szCs w:val="32"/>
          <w:highlight w:val="none"/>
          <w:lang w:val="en-US" w:eastAsia="zh-CN"/>
        </w:rPr>
        <w:t>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4、属2006年8月26日至2012年12月31日</w:t>
      </w:r>
      <w:r>
        <w:rPr>
          <w:rFonts w:hint="eastAsia" w:ascii="仿宋" w:hAnsi="仿宋" w:eastAsia="仿宋" w:cs="仿宋"/>
          <w:b w:val="0"/>
          <w:bCs w:val="0"/>
          <w:sz w:val="32"/>
          <w:szCs w:val="32"/>
          <w:highlight w:val="none"/>
          <w:lang w:eastAsia="zh-CN"/>
        </w:rPr>
        <w:t>间</w:t>
      </w:r>
      <w:r>
        <w:rPr>
          <w:rFonts w:hint="eastAsia" w:ascii="仿宋" w:hAnsi="仿宋" w:eastAsia="仿宋" w:cs="仿宋"/>
          <w:b w:val="0"/>
          <w:bCs w:val="0"/>
          <w:sz w:val="32"/>
          <w:szCs w:val="32"/>
          <w:highlight w:val="none"/>
          <w:lang w:val="en-US" w:eastAsia="zh-CN"/>
        </w:rPr>
        <w:t>建设的无产权房屋，在签约期限内签订协议并搬迁的，可给予不超过原房重置价结合成新率的50%自行搬迁补助，装修不予以补偿。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5、2012年12月31日前建设的猪舍、牛栏及简易搭盖的房屋或构筑物，在签约期限内搬迁的按30～70元/平方米给予补助，在征收期间仍饲养禽畜的，另给予30元/平方米的搬迁补贴。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color w:val="0000FF"/>
          <w:highlight w:val="none"/>
          <w:lang w:val="en-US" w:eastAsia="zh-CN"/>
        </w:rPr>
      </w:pPr>
      <w:r>
        <w:rPr>
          <w:rFonts w:hint="eastAsia" w:ascii="仿宋" w:hAnsi="仿宋" w:eastAsia="仿宋" w:cs="仿宋"/>
          <w:b w:val="0"/>
          <w:bCs w:val="0"/>
          <w:sz w:val="32"/>
          <w:szCs w:val="32"/>
          <w:highlight w:val="none"/>
          <w:lang w:val="en-US" w:eastAsia="zh-CN"/>
        </w:rPr>
        <w:t>6、2012年12月31日后建设的无产权房屋不予补偿。</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b w:val="0"/>
          <w:bCs w:val="0"/>
          <w:color w:val="000000"/>
          <w:kern w:val="2"/>
          <w:sz w:val="32"/>
          <w:szCs w:val="32"/>
          <w:highlight w:val="none"/>
          <w:lang w:val="en-US" w:eastAsia="zh-CN" w:bidi="ar-SA"/>
        </w:rPr>
        <w:t xml:space="preserve">四、签约期限 </w:t>
      </w:r>
    </w:p>
    <w:p>
      <w:pPr>
        <w:keepNext w:val="0"/>
        <w:keepLines w:val="0"/>
        <w:pageBreakBefore w:val="0"/>
        <w:widowControl/>
        <w:kinsoku/>
        <w:wordWrap/>
        <w:overflowPunct/>
        <w:topLinePunct w:val="0"/>
        <w:autoSpaceDE/>
        <w:bidi w:val="0"/>
        <w:adjustRightInd/>
        <w:snapToGrid w:val="0"/>
        <w:spacing w:line="560" w:lineRule="exact"/>
        <w:ind w:firstLine="6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trike w:val="0"/>
          <w:dstrike w:val="0"/>
          <w:sz w:val="32"/>
          <w:szCs w:val="32"/>
          <w:highlight w:val="none"/>
        </w:rPr>
        <w:t>签约期</w:t>
      </w:r>
      <w:r>
        <w:rPr>
          <w:rFonts w:hint="eastAsia" w:ascii="仿宋" w:hAnsi="仿宋" w:eastAsia="仿宋" w:cs="仿宋"/>
          <w:b w:val="0"/>
          <w:bCs w:val="0"/>
          <w:strike w:val="0"/>
          <w:dstrike w:val="0"/>
          <w:sz w:val="32"/>
          <w:szCs w:val="32"/>
          <w:highlight w:val="none"/>
        </w:rPr>
        <w:t>：</w:t>
      </w:r>
      <w:r>
        <w:rPr>
          <w:rFonts w:hint="eastAsia" w:ascii="仿宋" w:hAnsi="仿宋" w:eastAsia="仿宋"/>
          <w:sz w:val="32"/>
          <w:szCs w:val="32"/>
          <w:highlight w:val="none"/>
          <w:u w:val="single"/>
        </w:rPr>
        <w:t>202</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u w:val="single"/>
        </w:rPr>
        <w:t>年</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月</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日至202</w:t>
      </w:r>
      <w:r>
        <w:rPr>
          <w:rFonts w:hint="eastAsia" w:ascii="仿宋" w:hAnsi="仿宋" w:eastAsia="仿宋"/>
          <w:sz w:val="32"/>
          <w:szCs w:val="32"/>
          <w:highlight w:val="none"/>
          <w:u w:val="single"/>
          <w:lang w:val="en-US" w:eastAsia="zh-CN"/>
        </w:rPr>
        <w:t>3</w:t>
      </w:r>
      <w:r>
        <w:rPr>
          <w:rFonts w:hint="eastAsia" w:ascii="仿宋" w:hAnsi="仿宋" w:eastAsia="仿宋"/>
          <w:sz w:val="32"/>
          <w:szCs w:val="32"/>
          <w:highlight w:val="none"/>
          <w:u w:val="single"/>
        </w:rPr>
        <w:t>年</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月</w:t>
      </w:r>
      <w:r>
        <w:rPr>
          <w:rFonts w:hint="eastAsia" w:ascii="仿宋" w:hAnsi="仿宋" w:eastAsia="仿宋"/>
          <w:sz w:val="32"/>
          <w:szCs w:val="32"/>
          <w:highlight w:val="none"/>
          <w:u w:val="single"/>
          <w:lang w:val="en-US" w:eastAsia="zh-CN"/>
        </w:rPr>
        <w:t xml:space="preserve"> </w:t>
      </w:r>
      <w:r>
        <w:rPr>
          <w:rFonts w:hint="eastAsia" w:ascii="仿宋" w:hAnsi="仿宋" w:eastAsia="仿宋"/>
          <w:sz w:val="32"/>
          <w:szCs w:val="32"/>
          <w:highlight w:val="none"/>
          <w:u w:val="single"/>
        </w:rPr>
        <w:t>日</w:t>
      </w:r>
      <w:r>
        <w:rPr>
          <w:rFonts w:hint="eastAsia" w:ascii="仿宋" w:hAnsi="仿宋" w:eastAsia="仿宋" w:cs="仿宋"/>
          <w:b w:val="0"/>
          <w:bCs w:val="0"/>
          <w:strike w:val="0"/>
          <w:dstrike w:val="0"/>
          <w:sz w:val="32"/>
          <w:szCs w:val="32"/>
          <w:highlight w:val="none"/>
          <w:u w:val="single"/>
        </w:rPr>
        <w:t>。</w:t>
      </w:r>
    </w:p>
    <w:p>
      <w:pPr>
        <w:pStyle w:val="3"/>
        <w:keepNext w:val="0"/>
        <w:keepLines w:val="0"/>
        <w:pageBreakBefore w:val="0"/>
        <w:widowControl w:val="0"/>
        <w:kinsoku/>
        <w:overflowPunct/>
        <w:topLinePunct w:val="0"/>
        <w:autoSpaceDE/>
        <w:autoSpaceDN/>
        <w:bidi w:val="0"/>
        <w:spacing w:line="470" w:lineRule="exact"/>
        <w:ind w:left="0" w:leftChars="0" w:firstLine="640" w:firstLineChars="200"/>
        <w:jc w:val="both"/>
        <w:textAlignment w:val="auto"/>
        <w:outlineLvl w:val="9"/>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b w:val="0"/>
          <w:bCs w:val="0"/>
          <w:color w:val="000000"/>
          <w:kern w:val="2"/>
          <w:sz w:val="32"/>
          <w:szCs w:val="32"/>
          <w:highlight w:val="none"/>
          <w:lang w:val="en-US" w:eastAsia="zh-CN" w:bidi="ar-SA"/>
        </w:rPr>
        <w:t>五、过渡期保障机制</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因征收非住宅房屋造成停产停业损失的补助标准，根据生产经营者近三年的年平均净利润确定，生产经营期限不足三年的，以实际生产经营期限的年平均利润确定。净利润根据税务部门出具的税后利润额证明材料确定；税务部门无法出具证明的，根据具备相应资质的会计师事务所出具的企业年度审计报告确定；停产停业期限，一般按不低于半年计算。若生产经营者无法提供所得税证明的，经营性店面可按确认的合法店面建筑面积给予一次性100元/平方米的停产停业损失补助，其他非住宅房屋可按确认的合法建筑面积给予一次性50元/平方米的停产停业损失补助。生产经营者承租房屋从事生产经营活动的，依照其与被征收人的约定分配停产停业损失补助。</w:t>
      </w:r>
    </w:p>
    <w:p>
      <w:pPr>
        <w:pStyle w:val="3"/>
        <w:keepNext w:val="0"/>
        <w:keepLines w:val="0"/>
        <w:pageBreakBefore w:val="0"/>
        <w:widowControl w:val="0"/>
        <w:kinsoku/>
        <w:overflowPunct/>
        <w:topLinePunct w:val="0"/>
        <w:autoSpaceDE/>
        <w:autoSpaceDN/>
        <w:bidi w:val="0"/>
        <w:spacing w:line="470" w:lineRule="exact"/>
        <w:ind w:left="0" w:leftChars="0" w:firstLine="640" w:firstLineChars="200"/>
        <w:jc w:val="both"/>
        <w:textAlignment w:val="auto"/>
        <w:outlineLvl w:val="9"/>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b w:val="0"/>
          <w:bCs w:val="0"/>
          <w:color w:val="000000"/>
          <w:kern w:val="2"/>
          <w:sz w:val="32"/>
          <w:szCs w:val="32"/>
          <w:highlight w:val="none"/>
          <w:lang w:val="en-US" w:eastAsia="zh-CN" w:bidi="ar-SA"/>
        </w:rPr>
        <w:t>六、其他激励机制</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b w:val="0"/>
          <w:bCs w:val="0"/>
          <w:sz w:val="32"/>
          <w:szCs w:val="32"/>
          <w:highlight w:val="none"/>
          <w:lang w:val="en-US" w:eastAsia="zh-CN"/>
        </w:rPr>
        <w:t>非住宅搬迁补助费为20元/平方米。搬迁补助费不足1000元的按1000元计算。</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b w:val="0"/>
          <w:bCs w:val="0"/>
          <w:sz w:val="32"/>
          <w:szCs w:val="32"/>
          <w:highlight w:val="none"/>
          <w:lang w:val="en-US" w:eastAsia="zh-CN"/>
        </w:rPr>
        <w:t>被征收人在签约期限内签约并搬迁交房的，按照下列标准给予提前搬迁奖励。</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征收店面、办公用房、厂房、仓储性用房等非住宅房屋，按确权面积每平方米给予不超过100元的提前搬迁奖励。</w:t>
      </w:r>
    </w:p>
    <w:p>
      <w:pPr>
        <w:keepNext w:val="0"/>
        <w:keepLines w:val="0"/>
        <w:pageBreakBefore w:val="0"/>
        <w:widowControl w:val="0"/>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strike/>
          <w:dstrike w:val="0"/>
          <w:sz w:val="32"/>
          <w:szCs w:val="32"/>
          <w:highlight w:val="none"/>
          <w:lang w:val="en-US" w:eastAsia="zh-CN"/>
        </w:rPr>
      </w:pPr>
      <w:r>
        <w:rPr>
          <w:rFonts w:hint="eastAsia" w:ascii="仿宋" w:hAnsi="仿宋" w:eastAsia="仿宋" w:cs="仿宋"/>
          <w:b w:val="0"/>
          <w:bCs w:val="0"/>
          <w:sz w:val="32"/>
          <w:szCs w:val="32"/>
          <w:highlight w:val="none"/>
          <w:lang w:val="en-US" w:eastAsia="zh-CN"/>
        </w:rPr>
        <w:t>（三）电话补助费58元/户，有线电视补助费50元/户，宽带网络迁移补助费108元/户。</w:t>
      </w:r>
    </w:p>
    <w:p>
      <w:pPr>
        <w:pStyle w:val="3"/>
        <w:keepNext w:val="0"/>
        <w:keepLines w:val="0"/>
        <w:pageBreakBefore w:val="0"/>
        <w:widowControl w:val="0"/>
        <w:kinsoku/>
        <w:overflowPunct/>
        <w:topLinePunct w:val="0"/>
        <w:autoSpaceDE/>
        <w:autoSpaceDN/>
        <w:bidi w:val="0"/>
        <w:spacing w:line="470" w:lineRule="exact"/>
        <w:ind w:left="0" w:leftChars="0" w:firstLine="640" w:firstLineChars="200"/>
        <w:jc w:val="both"/>
        <w:textAlignment w:val="auto"/>
        <w:outlineLvl w:val="9"/>
        <w:rPr>
          <w:rFonts w:hint="eastAsia" w:ascii="黑体" w:hAnsi="黑体" w:eastAsia="黑体" w:cs="黑体"/>
          <w:b w:val="0"/>
          <w:bCs w:val="0"/>
          <w:color w:val="000000"/>
          <w:kern w:val="2"/>
          <w:sz w:val="32"/>
          <w:szCs w:val="32"/>
          <w:highlight w:val="none"/>
          <w:lang w:val="en-US" w:eastAsia="zh-CN" w:bidi="ar-SA"/>
        </w:rPr>
      </w:pPr>
      <w:r>
        <w:rPr>
          <w:rFonts w:hint="eastAsia" w:ascii="黑体" w:hAnsi="黑体" w:eastAsia="黑体" w:cs="黑体"/>
          <w:b w:val="0"/>
          <w:bCs w:val="0"/>
          <w:color w:val="000000"/>
          <w:kern w:val="2"/>
          <w:sz w:val="32"/>
          <w:szCs w:val="32"/>
          <w:highlight w:val="none"/>
          <w:lang w:val="en-US" w:eastAsia="zh-CN" w:bidi="ar-SA"/>
        </w:rPr>
        <w:t>七、附则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32"/>
          <w:highlight w:val="none"/>
        </w:rPr>
        <w:t>（一）</w:t>
      </w:r>
      <w:r>
        <w:rPr>
          <w:rFonts w:hint="eastAsia" w:ascii="仿宋" w:hAnsi="仿宋" w:eastAsia="仿宋" w:cs="仿宋"/>
          <w:b w:val="0"/>
          <w:bCs w:val="0"/>
          <w:sz w:val="32"/>
          <w:szCs w:val="32"/>
          <w:highlight w:val="none"/>
        </w:rPr>
        <w:t>被征收房屋重置价标准</w:t>
      </w:r>
      <w:r>
        <w:rPr>
          <w:rFonts w:hint="eastAsia" w:ascii="仿宋" w:hAnsi="仿宋" w:eastAsia="仿宋" w:cs="仿宋"/>
          <w:b w:val="0"/>
          <w:bCs w:val="0"/>
          <w:sz w:val="32"/>
          <w:szCs w:val="32"/>
          <w:highlight w:val="none"/>
          <w:lang w:val="en-US" w:eastAsia="zh-CN"/>
        </w:rPr>
        <w:t>和</w:t>
      </w:r>
      <w:r>
        <w:rPr>
          <w:rFonts w:hint="eastAsia" w:ascii="仿宋" w:hAnsi="仿宋" w:eastAsia="仿宋" w:cs="仿宋"/>
          <w:b w:val="0"/>
          <w:bCs w:val="0"/>
          <w:sz w:val="32"/>
          <w:szCs w:val="32"/>
          <w:highlight w:val="none"/>
        </w:rPr>
        <w:t>二次装修项目补偿计价标准</w:t>
      </w:r>
      <w:r>
        <w:rPr>
          <w:rFonts w:hint="eastAsia" w:ascii="仿宋" w:hAnsi="仿宋" w:eastAsia="仿宋" w:cs="仿宋"/>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重置价标准和二次装修项目依据榕政办〔2013〕100号文标准执行。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70" w:lineRule="exact"/>
        <w:ind w:firstLine="640" w:firstLineChars="200"/>
        <w:jc w:val="both"/>
        <w:textAlignment w:val="auto"/>
        <w:outlineLvl w:val="9"/>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b w:val="0"/>
          <w:bCs w:val="0"/>
          <w:sz w:val="32"/>
          <w:szCs w:val="32"/>
          <w:highlight w:val="none"/>
          <w:lang w:val="en-US" w:eastAsia="zh-CN"/>
        </w:rPr>
        <w:t>被征收房屋层高超过4米（含4米）的，建安综合单价或重置价标准提高20％；层高超过6米（含6米）的，建安综合单价或重置价标准提高40％；层高超过8米（含8米）的，建安综合单价或重置价标准提高60％。</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rPr>
        <w:t>、超出签约期限搬迁的处理办法</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1、凡超过签约期限搬迁的，不享受以上规定的一切奖励及优惠政策，坚决杜绝超期限搬迁反而多得利的现象发生。</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u w:val="none"/>
        </w:rPr>
        <w:t>房屋征收部门与被征收人在征收补偿方案确定的签约期限内达不成补偿协议，或者被征收房屋所有权人不明确的，由房屋征收部门报请作出房屋征收决定的晋安区人民政府依照本条例的规定，按照征收补偿方案作出补偿决定。被征收人在法定期限内不申请行政复议或者不提起行政诉讼，在补偿决定规定的期限内又不搬迁的，由作出房屋征收决定的晋安区人民政府依法申请人民法院强制执行。</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eastAsia" w:ascii="仿宋" w:hAnsi="仿宋" w:eastAsia="仿宋" w:cs="仿宋"/>
          <w:sz w:val="32"/>
          <w:szCs w:val="32"/>
          <w:highlight w:val="none"/>
          <w:u w:val="none"/>
        </w:rPr>
      </w:pPr>
      <w:r>
        <w:rPr>
          <w:rFonts w:hint="eastAsia" w:ascii="仿宋" w:hAnsi="仿宋" w:eastAsia="仿宋" w:cs="仿宋"/>
          <w:sz w:val="32"/>
          <w:szCs w:val="32"/>
          <w:highlight w:val="none"/>
          <w:u w:val="none"/>
        </w:rPr>
        <w:t>强制执行申请书应当附具补偿金额和专户存储账号、产权调换房屋和周转用房的地点和面积等材料。</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3、故意扰乱征收工作程序、煽动闹事、妨碍征收工作人员正常工作的，由公安机关按照《治安管理处罚法》规定处罚，构成犯罪的由司法机关追究刑事责任。</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九</w:t>
      </w:r>
      <w:r>
        <w:rPr>
          <w:rFonts w:hint="eastAsia" w:ascii="黑体" w:hAnsi="黑体" w:eastAsia="黑体" w:cs="黑体"/>
          <w:b w:val="0"/>
          <w:bCs w:val="0"/>
          <w:sz w:val="32"/>
          <w:szCs w:val="32"/>
          <w:highlight w:val="none"/>
        </w:rPr>
        <w:t>、房屋搬迁程序</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1、由房屋征收实施单位将实地丈量的房屋面积、房屋结构、房屋成新率等交由被征收人核对，在核对无误情况下按规定时间及时回执。</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2、被征收人在搬迁时应向水电部门交清费用，属相关部门安装总表，不得私自拆除、更换，应由相关部门统一拆除，否则将追究当事人责任。</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3、被征收人应当按规定的期限签订协议且搬迁完毕，并办好封房移交手续。</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被征收人在签订协议时，应提交房屋产权证件、建筑许可证、土地使用证、工商营业执照、税务登记证明、闭路电视缴费发票、电话话费清单等原件，并随带身份证及身份证复印件2份、户口簿复印件1份和印章。</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b w:val="0"/>
          <w:bCs w:val="0"/>
          <w:sz w:val="32"/>
          <w:szCs w:val="32"/>
          <w:highlight w:val="none"/>
        </w:rPr>
        <w:t>十、</w:t>
      </w:r>
      <w:r>
        <w:rPr>
          <w:rFonts w:hint="eastAsia" w:ascii="仿宋" w:hAnsi="仿宋" w:eastAsia="仿宋" w:cs="仿宋"/>
          <w:sz w:val="32"/>
          <w:szCs w:val="32"/>
          <w:highlight w:val="none"/>
        </w:rPr>
        <w:t>本征收房屋补偿方案未明确事项，按国务院及省、市的相关法规执行。对征收外国领事馆房屋、军事设施、华侨房屋、教堂、寺庙、文物古迹、历史文化保护区内的建筑物等，依照有关的法律、法规、规章执行。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b w:val="0"/>
          <w:bCs w:val="0"/>
          <w:sz w:val="32"/>
          <w:szCs w:val="32"/>
          <w:highlight w:val="none"/>
        </w:rPr>
      </w:pPr>
      <w:r>
        <w:rPr>
          <w:rFonts w:hint="eastAsia" w:ascii="黑体" w:hAnsi="黑体" w:eastAsia="黑体" w:cs="黑体"/>
          <w:b w:val="0"/>
          <w:bCs w:val="0"/>
          <w:sz w:val="32"/>
          <w:szCs w:val="32"/>
          <w:highlight w:val="none"/>
        </w:rPr>
        <w:t>十</w:t>
      </w: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、投诉监督</w:t>
      </w:r>
    </w:p>
    <w:p>
      <w:pPr>
        <w:keepNext w:val="0"/>
        <w:keepLines w:val="0"/>
        <w:pageBreakBefore w:val="0"/>
        <w:kinsoku/>
        <w:overflowPunct/>
        <w:topLinePunct w:val="0"/>
        <w:autoSpaceDE/>
        <w:autoSpaceDN/>
        <w:bidi w:val="0"/>
        <w:spacing w:line="470" w:lineRule="exact"/>
        <w:ind w:firstLine="640" w:firstLineChars="200"/>
        <w:textAlignment w:val="auto"/>
        <w:rPr>
          <w:rFonts w:hint="eastAsia" w:ascii="仿宋" w:hAnsi="仿宋" w:eastAsia="仿宋" w:cs="仿宋"/>
          <w:b w:val="0"/>
          <w:bCs w:val="0"/>
          <w:kern w:val="2"/>
          <w:sz w:val="32"/>
          <w:szCs w:val="32"/>
          <w:highlight w:val="none"/>
          <w:lang w:val="en-US" w:eastAsia="zh-CN" w:bidi="ar-SA"/>
        </w:rPr>
      </w:pPr>
      <w:r>
        <w:rPr>
          <w:rFonts w:hint="eastAsia" w:ascii="仿宋" w:hAnsi="仿宋" w:eastAsia="仿宋" w:cs="仿宋"/>
          <w:sz w:val="32"/>
          <w:szCs w:val="32"/>
          <w:highlight w:val="none"/>
        </w:rPr>
        <w:t>为确保整个征收补偿工作顺利进行，做到公正、公平、公开，此次征收与补偿活动接受区纪委监</w:t>
      </w:r>
      <w:r>
        <w:rPr>
          <w:rFonts w:hint="eastAsia" w:ascii="仿宋" w:hAnsi="仿宋" w:eastAsia="仿宋" w:cs="仿宋"/>
          <w:sz w:val="32"/>
          <w:szCs w:val="32"/>
          <w:highlight w:val="none"/>
          <w:lang w:val="en-US" w:eastAsia="zh-CN"/>
        </w:rPr>
        <w:t>委</w:t>
      </w:r>
      <w:r>
        <w:rPr>
          <w:rFonts w:hint="eastAsia" w:ascii="仿宋" w:hAnsi="仿宋" w:eastAsia="仿宋" w:cs="仿宋"/>
          <w:sz w:val="32"/>
          <w:szCs w:val="32"/>
          <w:highlight w:val="none"/>
        </w:rPr>
        <w:t>监督，也欢迎被征收人参与监督。</w:t>
      </w:r>
    </w:p>
    <w:p>
      <w:pPr>
        <w:spacing w:line="500" w:lineRule="exact"/>
        <w:rPr>
          <w:rFonts w:hint="eastAsia"/>
          <w:highlight w:val="none"/>
        </w:rPr>
      </w:pPr>
    </w:p>
    <w:p/>
    <w:sectPr>
      <w:headerReference r:id="rId3" w:type="default"/>
      <w:footerReference r:id="rId4" w:type="default"/>
      <w:pgSz w:w="11906" w:h="16838"/>
      <w:pgMar w:top="1440" w:right="1417" w:bottom="1440" w:left="1417"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NDE3NzNiYTkxM2VlMzUzYjJiNzA2NzlhMDI3NzMifQ=="/>
  </w:docVars>
  <w:rsids>
    <w:rsidRoot w:val="10A6243E"/>
    <w:rsid w:val="10A6243E"/>
    <w:rsid w:val="69BE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2023-09-01T01:17:00Z</dcterms:created>
  <dc:creator>HKC</dc:creator>
  <cp:lastModifiedBy>HKC</cp:lastModifiedBy>
  <dcterms:modified xsi:type="dcterms:W3CDTF">2023-09-01T01:18:09Z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18BC07D9C6CB471C85CEEE4240644C10_11</vt:lpwstr>
  </property>
</Properties>
</file>