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E8A194D">
      <w:pPr>
        <w:spacing w:line="360" w:lineRule="auto"/>
        <w:jc w:val="both"/>
        <w:rPr>
          <w:rFonts w:ascii="Times New Roman" w:hAnsi="Times New Roman" w:eastAsia="宋体" w:cs="Times New Roman"/>
          <w:b/>
          <w:color w:val="auto"/>
          <w:sz w:val="72"/>
          <w:szCs w:val="72"/>
          <w:highlight w:val="none"/>
        </w:rPr>
      </w:pPr>
      <w:bookmarkStart w:id="0" w:name="_Toc133251527"/>
      <w:bookmarkStart w:id="1" w:name="_Toc15747"/>
      <w:bookmarkStart w:id="2" w:name="_Toc29783"/>
      <w:bookmarkStart w:id="3" w:name="_Toc390704696"/>
      <w:bookmarkStart w:id="4" w:name="_Toc409447117"/>
      <w:bookmarkStart w:id="5" w:name="_Toc405653185"/>
      <w:bookmarkStart w:id="6" w:name="_Toc404864788"/>
      <w:bookmarkStart w:id="7" w:name="_Toc406586785"/>
      <w:bookmarkStart w:id="8" w:name="_Toc406586498"/>
      <w:bookmarkStart w:id="9" w:name="_Toc402172720"/>
      <w:bookmarkStart w:id="10" w:name="_Toc390672893"/>
      <w:bookmarkStart w:id="11" w:name="_Toc395773977"/>
    </w:p>
    <w:p w14:paraId="340F789F">
      <w:pPr>
        <w:spacing w:line="360" w:lineRule="auto"/>
        <w:jc w:val="center"/>
        <w:rPr>
          <w:rFonts w:ascii="Times New Roman" w:hAnsi="Times New Roman" w:eastAsia="宋体" w:cs="Times New Roman"/>
          <w:b/>
          <w:color w:val="auto"/>
          <w:sz w:val="72"/>
          <w:szCs w:val="72"/>
          <w:highlight w:val="none"/>
        </w:rPr>
      </w:pPr>
      <w:r>
        <w:rPr>
          <w:rFonts w:ascii="Times New Roman" w:hAnsi="Times New Roman" w:eastAsia="宋体" w:cs="Times New Roman"/>
          <w:b/>
          <w:color w:val="auto"/>
          <w:sz w:val="72"/>
          <w:szCs w:val="72"/>
          <w:highlight w:val="none"/>
        </w:rPr>
        <w:t>建设项目环境影响报告表</w:t>
      </w:r>
    </w:p>
    <w:p w14:paraId="57EB80EE">
      <w:pPr>
        <w:spacing w:line="360" w:lineRule="auto"/>
        <w:jc w:val="center"/>
        <w:rPr>
          <w:rFonts w:ascii="Times New Roman" w:hAnsi="Times New Roman" w:eastAsia="宋体" w:cs="Times New Roman"/>
          <w:color w:val="auto"/>
          <w:sz w:val="44"/>
          <w:szCs w:val="44"/>
          <w:highlight w:val="none"/>
        </w:rPr>
      </w:pPr>
      <w:r>
        <w:rPr>
          <w:rFonts w:ascii="Times New Roman" w:hAnsi="Times New Roman" w:eastAsia="宋体" w:cs="Times New Roman"/>
          <w:color w:val="auto"/>
          <w:sz w:val="44"/>
          <w:szCs w:val="44"/>
          <w:highlight w:val="none"/>
        </w:rPr>
        <w:t>（污染影响类）</w:t>
      </w:r>
    </w:p>
    <w:p w14:paraId="1147681B">
      <w:pPr>
        <w:tabs>
          <w:tab w:val="left" w:pos="426"/>
          <w:tab w:val="left" w:pos="8505"/>
        </w:tabs>
        <w:spacing w:line="480" w:lineRule="auto"/>
        <w:jc w:val="center"/>
        <w:rPr>
          <w:rFonts w:ascii="Times New Roman" w:hAnsi="Times New Roman" w:eastAsia="宋体" w:cs="Times New Roman"/>
          <w:color w:val="auto"/>
          <w:highlight w:val="none"/>
        </w:rPr>
      </w:pPr>
    </w:p>
    <w:p w14:paraId="44BBE8C1">
      <w:pPr>
        <w:spacing w:line="480" w:lineRule="auto"/>
        <w:jc w:val="center"/>
        <w:rPr>
          <w:rFonts w:ascii="Times New Roman" w:hAnsi="Times New Roman" w:eastAsia="宋体" w:cs="Times New Roman"/>
          <w:color w:val="auto"/>
          <w:highlight w:val="none"/>
        </w:rPr>
      </w:pPr>
    </w:p>
    <w:p w14:paraId="211C34B5">
      <w:pPr>
        <w:widowControl w:val="0"/>
        <w:spacing w:after="120" w:line="240" w:lineRule="auto"/>
        <w:ind w:left="480" w:leftChars="200" w:firstLine="480" w:firstLineChars="200"/>
        <w:jc w:val="both"/>
        <w:rPr>
          <w:rFonts w:ascii="Times New Roman" w:hAnsi="Times New Roman" w:eastAsia="宋体" w:cs="Times New Roman"/>
          <w:color w:val="auto"/>
          <w:kern w:val="2"/>
          <w:sz w:val="24"/>
          <w:szCs w:val="24"/>
          <w:highlight w:val="none"/>
          <w:lang w:val="en-US" w:eastAsia="zh-CN" w:bidi="ar-SA"/>
        </w:rPr>
      </w:pPr>
    </w:p>
    <w:p w14:paraId="71ABB77D">
      <w:pPr>
        <w:tabs>
          <w:tab w:val="left" w:pos="426"/>
          <w:tab w:val="left" w:pos="8364"/>
        </w:tabs>
        <w:spacing w:line="480" w:lineRule="auto"/>
        <w:jc w:val="center"/>
        <w:rPr>
          <w:rFonts w:ascii="Times New Roman" w:hAnsi="Times New Roman" w:eastAsia="宋体" w:cs="Times New Roman"/>
          <w:color w:val="auto"/>
          <w:highlight w:val="none"/>
        </w:rPr>
      </w:pPr>
    </w:p>
    <w:tbl>
      <w:tblPr>
        <w:tblStyle w:val="50"/>
        <w:tblpPr w:leftFromText="180" w:rightFromText="180" w:vertAnchor="text" w:horzAnchor="page" w:tblpX="1779" w:tblpY="1613"/>
        <w:tblOverlap w:val="never"/>
        <w:tblW w:w="8522" w:type="dxa"/>
        <w:tblInd w:w="0" w:type="dxa"/>
        <w:tblLayout w:type="fixed"/>
        <w:tblCellMar>
          <w:top w:w="0" w:type="dxa"/>
          <w:left w:w="108" w:type="dxa"/>
          <w:bottom w:w="0" w:type="dxa"/>
          <w:right w:w="108" w:type="dxa"/>
        </w:tblCellMar>
      </w:tblPr>
      <w:tblGrid>
        <w:gridCol w:w="2971"/>
        <w:gridCol w:w="5551"/>
      </w:tblGrid>
      <w:tr w14:paraId="6B98C381">
        <w:tblPrEx>
          <w:tblCellMar>
            <w:top w:w="0" w:type="dxa"/>
            <w:left w:w="108" w:type="dxa"/>
            <w:bottom w:w="0" w:type="dxa"/>
            <w:right w:w="108" w:type="dxa"/>
          </w:tblCellMar>
        </w:tblPrEx>
        <w:trPr>
          <w:trHeight w:val="737" w:hRule="atLeast"/>
        </w:trPr>
        <w:tc>
          <w:tcPr>
            <w:tcW w:w="2971" w:type="dxa"/>
            <w:tcBorders>
              <w:right w:val="nil"/>
            </w:tcBorders>
            <w:vAlign w:val="center"/>
          </w:tcPr>
          <w:p w14:paraId="3F596538">
            <w:pPr>
              <w:widowControl/>
              <w:snapToGrid w:val="0"/>
              <w:spacing w:line="240" w:lineRule="auto"/>
              <w:jc w:val="center"/>
              <w:rPr>
                <w:rFonts w:hint="default" w:ascii="Times New Roman" w:hAnsi="Times New Roman" w:eastAsia="宋体" w:cs="Times New Roman"/>
                <w:color w:val="auto"/>
                <w:kern w:val="2"/>
                <w:sz w:val="30"/>
                <w:szCs w:val="30"/>
                <w:highlight w:val="none"/>
                <w:lang w:val="en-US" w:eastAsia="zh-CN" w:bidi="ar-SA"/>
              </w:rPr>
            </w:pPr>
            <w:r>
              <w:rPr>
                <w:rFonts w:hint="default" w:ascii="Times New Roman" w:hAnsi="Times New Roman" w:eastAsia="宋体" w:cs="Times New Roman"/>
                <w:color w:val="auto"/>
                <w:kern w:val="2"/>
                <w:sz w:val="30"/>
                <w:szCs w:val="30"/>
                <w:highlight w:val="none"/>
                <w:lang w:val="en-US" w:eastAsia="zh-CN" w:bidi="ar-SA"/>
              </w:rPr>
              <w:t>项  目  名  称</w:t>
            </w:r>
          </w:p>
        </w:tc>
        <w:tc>
          <w:tcPr>
            <w:tcW w:w="5551" w:type="dxa"/>
            <w:tcBorders>
              <w:top w:val="nil"/>
              <w:left w:val="nil"/>
              <w:bottom w:val="single" w:color="auto" w:sz="4" w:space="0"/>
              <w:right w:val="nil"/>
            </w:tcBorders>
            <w:vAlign w:val="center"/>
          </w:tcPr>
          <w:p w14:paraId="6FCA80E2">
            <w:pPr>
              <w:snapToGrid w:val="0"/>
              <w:spacing w:line="360" w:lineRule="auto"/>
              <w:jc w:val="center"/>
              <w:rPr>
                <w:rFonts w:ascii="Times New Roman" w:hAnsi="Times New Roman" w:eastAsia="宋体" w:cs="Times New Roman"/>
                <w:color w:val="auto"/>
                <w:sz w:val="30"/>
                <w:szCs w:val="30"/>
                <w:highlight w:val="none"/>
              </w:rPr>
            </w:pPr>
            <w:r>
              <w:rPr>
                <w:rFonts w:hint="eastAsia" w:cs="Times New Roman"/>
                <w:color w:val="auto"/>
                <w:sz w:val="30"/>
                <w:szCs w:val="30"/>
                <w:highlight w:val="none"/>
                <w:lang w:eastAsia="zh-CN"/>
              </w:rPr>
              <w:t>福州市晋安区青鸟动物医院项目</w:t>
            </w:r>
          </w:p>
        </w:tc>
      </w:tr>
      <w:tr w14:paraId="6E629D77">
        <w:tblPrEx>
          <w:tblCellMar>
            <w:top w:w="0" w:type="dxa"/>
            <w:left w:w="108" w:type="dxa"/>
            <w:bottom w:w="0" w:type="dxa"/>
            <w:right w:w="108" w:type="dxa"/>
          </w:tblCellMar>
        </w:tblPrEx>
        <w:trPr>
          <w:trHeight w:val="737" w:hRule="atLeast"/>
        </w:trPr>
        <w:tc>
          <w:tcPr>
            <w:tcW w:w="2971" w:type="dxa"/>
            <w:tcBorders>
              <w:right w:val="nil"/>
            </w:tcBorders>
            <w:vAlign w:val="center"/>
          </w:tcPr>
          <w:p w14:paraId="36520591">
            <w:pPr>
              <w:widowControl/>
              <w:snapToGrid w:val="0"/>
              <w:spacing w:line="240" w:lineRule="auto"/>
              <w:jc w:val="center"/>
              <w:rPr>
                <w:rFonts w:hint="default" w:ascii="Times New Roman" w:hAnsi="Times New Roman" w:eastAsia="宋体" w:cs="Times New Roman"/>
                <w:color w:val="auto"/>
                <w:kern w:val="2"/>
                <w:sz w:val="30"/>
                <w:szCs w:val="30"/>
                <w:highlight w:val="none"/>
                <w:lang w:val="en-US" w:eastAsia="zh-CN" w:bidi="ar-SA"/>
              </w:rPr>
            </w:pPr>
            <w:r>
              <w:rPr>
                <w:rFonts w:hint="default" w:ascii="Times New Roman" w:hAnsi="Times New Roman" w:eastAsia="宋体" w:cs="Times New Roman"/>
                <w:color w:val="auto"/>
                <w:kern w:val="2"/>
                <w:sz w:val="30"/>
                <w:szCs w:val="30"/>
                <w:highlight w:val="none"/>
                <w:lang w:val="en-US" w:eastAsia="zh-CN" w:bidi="ar-SA"/>
              </w:rPr>
              <w:t>建设单位（盖章）</w:t>
            </w:r>
          </w:p>
        </w:tc>
        <w:tc>
          <w:tcPr>
            <w:tcW w:w="5551" w:type="dxa"/>
            <w:tcBorders>
              <w:top w:val="single" w:color="auto" w:sz="4" w:space="0"/>
              <w:left w:val="nil"/>
              <w:bottom w:val="single" w:color="auto" w:sz="4" w:space="0"/>
              <w:right w:val="nil"/>
            </w:tcBorders>
            <w:vAlign w:val="center"/>
          </w:tcPr>
          <w:p w14:paraId="39E9A5AB">
            <w:pPr>
              <w:widowControl/>
              <w:snapToGrid w:val="0"/>
              <w:spacing w:line="240" w:lineRule="auto"/>
              <w:jc w:val="center"/>
              <w:rPr>
                <w:rFonts w:hint="default" w:ascii="Times New Roman" w:hAnsi="Times New Roman" w:eastAsia="宋体" w:cs="Times New Roman"/>
                <w:color w:val="auto"/>
                <w:kern w:val="2"/>
                <w:sz w:val="30"/>
                <w:szCs w:val="30"/>
                <w:highlight w:val="none"/>
                <w:lang w:val="en-US" w:eastAsia="zh-CN" w:bidi="ar-SA"/>
              </w:rPr>
            </w:pPr>
            <w:r>
              <w:rPr>
                <w:rFonts w:hint="eastAsia" w:cs="Times New Roman"/>
                <w:color w:val="auto"/>
                <w:sz w:val="30"/>
                <w:szCs w:val="30"/>
                <w:highlight w:val="none"/>
                <w:lang w:eastAsia="zh-CN"/>
              </w:rPr>
              <w:t>福州市晋安区青鸟动物医院</w:t>
            </w:r>
          </w:p>
        </w:tc>
      </w:tr>
      <w:tr w14:paraId="7ED4083E">
        <w:tblPrEx>
          <w:tblCellMar>
            <w:top w:w="0" w:type="dxa"/>
            <w:left w:w="108" w:type="dxa"/>
            <w:bottom w:w="0" w:type="dxa"/>
            <w:right w:w="108" w:type="dxa"/>
          </w:tblCellMar>
        </w:tblPrEx>
        <w:trPr>
          <w:trHeight w:val="737" w:hRule="atLeast"/>
        </w:trPr>
        <w:tc>
          <w:tcPr>
            <w:tcW w:w="2971" w:type="dxa"/>
            <w:tcBorders>
              <w:right w:val="nil"/>
            </w:tcBorders>
            <w:vAlign w:val="center"/>
          </w:tcPr>
          <w:p w14:paraId="776DE621">
            <w:pPr>
              <w:widowControl/>
              <w:snapToGrid w:val="0"/>
              <w:spacing w:line="240" w:lineRule="auto"/>
              <w:jc w:val="center"/>
              <w:rPr>
                <w:rFonts w:hint="default" w:ascii="Times New Roman" w:hAnsi="Times New Roman" w:eastAsia="宋体" w:cs="Times New Roman"/>
                <w:color w:val="auto"/>
                <w:kern w:val="2"/>
                <w:sz w:val="30"/>
                <w:szCs w:val="30"/>
                <w:highlight w:val="none"/>
                <w:lang w:val="en-US" w:eastAsia="zh-CN" w:bidi="ar-SA"/>
              </w:rPr>
            </w:pPr>
            <w:r>
              <w:rPr>
                <w:rFonts w:hint="default" w:ascii="Times New Roman" w:hAnsi="Times New Roman" w:eastAsia="宋体" w:cs="Times New Roman"/>
                <w:color w:val="auto"/>
                <w:kern w:val="2"/>
                <w:sz w:val="30"/>
                <w:szCs w:val="30"/>
                <w:highlight w:val="none"/>
                <w:lang w:val="en-US" w:eastAsia="zh-CN" w:bidi="ar-SA"/>
              </w:rPr>
              <mc:AlternateContent>
                <mc:Choice Requires="wps">
                  <w:drawing>
                    <wp:anchor distT="0" distB="0" distL="114300" distR="114300" simplePos="0" relativeHeight="251667456" behindDoc="0" locked="0" layoutInCell="0" allowOverlap="1">
                      <wp:simplePos x="0" y="0"/>
                      <wp:positionH relativeFrom="column">
                        <wp:posOffset>2222500</wp:posOffset>
                      </wp:positionH>
                      <wp:positionV relativeFrom="paragraph">
                        <wp:posOffset>-1270</wp:posOffset>
                      </wp:positionV>
                      <wp:extent cx="635" cy="0"/>
                      <wp:effectExtent l="0" t="0" r="0" b="0"/>
                      <wp:wrapNone/>
                      <wp:docPr id="8" name="直接连接符 8"/>
                      <wp:cNvGraphicFramePr/>
                      <a:graphic xmlns:a="http://schemas.openxmlformats.org/drawingml/2006/main">
                        <a:graphicData uri="http://schemas.microsoft.com/office/word/2010/wordprocessingShape">
                          <wps:wsp>
                            <wps:cNvCnPr>
                              <a:cxnSpLocks noChangeShapeType="1"/>
                            </wps:cNvCnPr>
                            <wps:spPr bwMode="auto">
                              <a:xfrm>
                                <a:off x="0" y="0"/>
                                <a:ext cx="635"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75pt;margin-top:-0.1pt;height:0pt;width:0.05pt;z-index:251667456;mso-width-relative:page;mso-height-relative:page;" filled="f" stroked="t" coordsize="21600,21600" o:allowincell="f" o:gfxdata="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B6sjrNMAAAAHAQAA&#10;DwAAAAAAAAABACAAAAAiAAAAZHJzL2Rvd25yZXYueG1sUEsBAhQAFAAAAAgAh07iQJ65VS/lAQAA&#10;tAMAAA4AAAAAAAAAAQAgAAAAIgEAAGRycy9lMm9Eb2MueG1sUEsFBgAAAAAGAAYAWQEAAHkFAAAA&#10;AA==&#10;">
                      <v:fill on="f" focussize="0,0"/>
                      <v:stroke color="#000000" joinstyle="round"/>
                      <v:imagedata o:title=""/>
                      <o:lock v:ext="edit" aspectratio="f"/>
                    </v:line>
                  </w:pict>
                </mc:Fallback>
              </mc:AlternateContent>
            </w:r>
            <w:r>
              <w:rPr>
                <w:rFonts w:hint="default" w:ascii="Times New Roman" w:hAnsi="Times New Roman" w:eastAsia="宋体" w:cs="Times New Roman"/>
                <w:color w:val="auto"/>
                <w:kern w:val="2"/>
                <w:sz w:val="30"/>
                <w:szCs w:val="30"/>
                <w:highlight w:val="none"/>
                <w:lang w:val="en-US" w:eastAsia="zh-CN" w:bidi="ar-SA"/>
              </w:rPr>
              <w:t>编  制  日  期</w:t>
            </w:r>
          </w:p>
        </w:tc>
        <w:tc>
          <w:tcPr>
            <w:tcW w:w="5551" w:type="dxa"/>
            <w:tcBorders>
              <w:top w:val="single" w:color="auto" w:sz="4" w:space="0"/>
              <w:left w:val="nil"/>
              <w:bottom w:val="single" w:color="auto" w:sz="4" w:space="0"/>
              <w:right w:val="nil"/>
            </w:tcBorders>
            <w:vAlign w:val="center"/>
          </w:tcPr>
          <w:p w14:paraId="55ABD5AF">
            <w:pPr>
              <w:widowControl/>
              <w:snapToGrid w:val="0"/>
              <w:spacing w:line="240" w:lineRule="auto"/>
              <w:jc w:val="center"/>
              <w:rPr>
                <w:rFonts w:hint="default" w:ascii="Times New Roman" w:hAnsi="Times New Roman" w:eastAsia="宋体" w:cs="Times New Roman"/>
                <w:color w:val="auto"/>
                <w:kern w:val="2"/>
                <w:sz w:val="30"/>
                <w:szCs w:val="30"/>
                <w:highlight w:val="none"/>
                <w:lang w:val="en-US" w:eastAsia="zh-CN" w:bidi="ar-SA"/>
              </w:rPr>
            </w:pPr>
            <w:r>
              <w:rPr>
                <w:rFonts w:hint="eastAsia" w:cs="Times New Roman"/>
                <w:color w:val="auto"/>
                <w:kern w:val="2"/>
                <w:sz w:val="30"/>
                <w:szCs w:val="30"/>
                <w:highlight w:val="none"/>
                <w:lang w:val="en-US" w:eastAsia="zh-CN" w:bidi="ar-SA"/>
              </w:rPr>
              <w:t>2024年8月</w:t>
            </w:r>
          </w:p>
        </w:tc>
      </w:tr>
    </w:tbl>
    <w:p w14:paraId="16D091F8">
      <w:pPr>
        <w:tabs>
          <w:tab w:val="left" w:pos="426"/>
          <w:tab w:val="left" w:pos="8364"/>
        </w:tabs>
        <w:spacing w:line="480" w:lineRule="auto"/>
        <w:jc w:val="center"/>
        <w:rPr>
          <w:rFonts w:ascii="Times New Roman" w:hAnsi="Times New Roman" w:eastAsia="宋体" w:cs="Times New Roman"/>
          <w:color w:val="auto"/>
          <w:highlight w:val="none"/>
        </w:rPr>
      </w:pPr>
    </w:p>
    <w:p w14:paraId="1A2992B8">
      <w:pPr>
        <w:spacing w:line="480" w:lineRule="auto"/>
        <w:jc w:val="center"/>
        <w:rPr>
          <w:rFonts w:ascii="Times New Roman" w:hAnsi="Times New Roman" w:eastAsia="宋体" w:cs="Times New Roman"/>
          <w:color w:val="auto"/>
          <w:highlight w:val="none"/>
        </w:rPr>
      </w:pPr>
    </w:p>
    <w:p w14:paraId="2BA232AF">
      <w:pPr>
        <w:spacing w:line="480" w:lineRule="auto"/>
        <w:jc w:val="center"/>
        <w:rPr>
          <w:rFonts w:ascii="Times New Roman" w:hAnsi="Times New Roman" w:eastAsia="宋体" w:cs="Times New Roman"/>
          <w:color w:val="auto"/>
          <w:highlight w:val="none"/>
        </w:rPr>
      </w:pPr>
    </w:p>
    <w:p w14:paraId="25EAFB19">
      <w:pPr>
        <w:widowControl w:val="0"/>
        <w:spacing w:after="120" w:line="240" w:lineRule="auto"/>
        <w:ind w:left="480" w:leftChars="200" w:firstLine="480" w:firstLineChars="200"/>
        <w:jc w:val="both"/>
        <w:rPr>
          <w:rFonts w:ascii="Times New Roman" w:hAnsi="Times New Roman" w:eastAsia="宋体" w:cs="Times New Roman"/>
          <w:color w:val="auto"/>
          <w:kern w:val="2"/>
          <w:sz w:val="24"/>
          <w:szCs w:val="24"/>
          <w:highlight w:val="none"/>
          <w:lang w:val="en-US" w:eastAsia="zh-CN" w:bidi="ar-SA"/>
        </w:rPr>
      </w:pPr>
    </w:p>
    <w:p w14:paraId="5A8787F7">
      <w:pPr>
        <w:spacing w:line="360" w:lineRule="auto"/>
        <w:rPr>
          <w:rFonts w:ascii="Times New Roman" w:hAnsi="Times New Roman" w:eastAsia="宋体" w:cs="Times New Roman"/>
          <w:color w:val="auto"/>
          <w:highlight w:val="none"/>
        </w:rPr>
      </w:pPr>
    </w:p>
    <w:p w14:paraId="50ABEAFB">
      <w:pPr>
        <w:spacing w:line="360" w:lineRule="auto"/>
        <w:rPr>
          <w:rFonts w:ascii="Times New Roman" w:hAnsi="Times New Roman" w:eastAsia="宋体" w:cs="Times New Roman"/>
          <w:color w:val="auto"/>
          <w:highlight w:val="none"/>
        </w:rPr>
      </w:pPr>
    </w:p>
    <w:p w14:paraId="02272EC1">
      <w:pPr>
        <w:spacing w:line="360" w:lineRule="auto"/>
        <w:rPr>
          <w:rFonts w:ascii="Times New Roman" w:hAnsi="Times New Roman" w:eastAsia="宋体" w:cs="Times New Roman"/>
          <w:color w:val="auto"/>
          <w:highlight w:val="none"/>
        </w:rPr>
      </w:pPr>
    </w:p>
    <w:p w14:paraId="0BE880E9">
      <w:pPr>
        <w:jc w:val="center"/>
        <w:rPr>
          <w:rFonts w:ascii="Times New Roman" w:hAnsi="Times New Roman" w:eastAsia="楷体_GB2312" w:cs="Times New Roman"/>
          <w:color w:val="auto"/>
          <w:sz w:val="36"/>
          <w:szCs w:val="36"/>
          <w:highlight w:val="none"/>
        </w:rPr>
      </w:pPr>
    </w:p>
    <w:p w14:paraId="159AC582">
      <w:pPr>
        <w:jc w:val="center"/>
        <w:rPr>
          <w:rFonts w:ascii="Times New Roman" w:hAnsi="Times New Roman" w:eastAsia="楷体_GB2312" w:cs="Times New Roman"/>
          <w:color w:val="auto"/>
          <w:sz w:val="36"/>
          <w:szCs w:val="36"/>
          <w:highlight w:val="none"/>
        </w:rPr>
      </w:pPr>
    </w:p>
    <w:p w14:paraId="5E372442">
      <w:pPr>
        <w:jc w:val="center"/>
        <w:rPr>
          <w:rFonts w:ascii="Times New Roman" w:hAnsi="Times New Roman" w:eastAsia="楷体_GB2312" w:cs="Times New Roman"/>
          <w:color w:val="auto"/>
          <w:sz w:val="36"/>
          <w:szCs w:val="36"/>
          <w:highlight w:val="none"/>
        </w:rPr>
      </w:pPr>
    </w:p>
    <w:p w14:paraId="1EC012D1">
      <w:pPr>
        <w:pStyle w:val="20"/>
        <w:rPr>
          <w:rFonts w:ascii="Times New Roman" w:hAnsi="Times New Roman" w:eastAsia="楷体_GB2312" w:cs="Times New Roman"/>
          <w:color w:val="auto"/>
          <w:sz w:val="36"/>
          <w:szCs w:val="36"/>
          <w:highlight w:val="none"/>
        </w:rPr>
      </w:pPr>
    </w:p>
    <w:p w14:paraId="5C51BB94">
      <w:pPr>
        <w:pStyle w:val="12"/>
        <w:rPr>
          <w:color w:val="auto"/>
          <w:highlight w:val="none"/>
        </w:rPr>
      </w:pPr>
    </w:p>
    <w:p w14:paraId="41DE6ACA">
      <w:pPr>
        <w:jc w:val="center"/>
        <w:rPr>
          <w:rFonts w:ascii="Times New Roman" w:hAnsi="Times New Roman" w:eastAsia="楷体_GB2312" w:cs="Times New Roman"/>
          <w:color w:val="auto"/>
          <w:sz w:val="36"/>
          <w:szCs w:val="36"/>
          <w:highlight w:val="none"/>
        </w:rPr>
      </w:pPr>
    </w:p>
    <w:p w14:paraId="630F9FA1">
      <w:pPr>
        <w:jc w:val="center"/>
        <w:rPr>
          <w:rFonts w:ascii="Times New Roman" w:hAnsi="Times New Roman" w:eastAsia="楷体_GB2312" w:cs="Times New Roman"/>
          <w:color w:val="auto"/>
          <w:sz w:val="36"/>
          <w:szCs w:val="36"/>
          <w:highlight w:val="none"/>
        </w:rPr>
        <w:sectPr>
          <w:headerReference r:id="rId3" w:type="default"/>
          <w:footerReference r:id="rId4" w:type="default"/>
          <w:pgSz w:w="11906" w:h="16838"/>
          <w:pgMar w:top="1418" w:right="1134" w:bottom="1418" w:left="1134" w:header="851" w:footer="992" w:gutter="0"/>
          <w:pgBorders>
            <w:top w:val="none" w:sz="0" w:space="0"/>
            <w:left w:val="none" w:sz="0" w:space="0"/>
            <w:bottom w:val="none" w:sz="0" w:space="0"/>
            <w:right w:val="none" w:sz="0" w:space="0"/>
          </w:pgBorders>
          <w:pgNumType w:fmt="decimal" w:start="1"/>
          <w:cols w:space="720" w:num="1"/>
          <w:docGrid w:linePitch="367" w:charSpace="915"/>
        </w:sectPr>
      </w:pPr>
      <w:r>
        <w:rPr>
          <w:rFonts w:ascii="Times New Roman" w:hAnsi="Times New Roman" w:eastAsia="楷体_GB2312" w:cs="Times New Roman"/>
          <w:color w:val="auto"/>
          <w:sz w:val="36"/>
          <w:szCs w:val="36"/>
          <w:highlight w:val="none"/>
        </w:rPr>
        <w:t>中华人民共和国生态环境部制</w:t>
      </w:r>
    </w:p>
    <w:p w14:paraId="38B04246">
      <w:pPr>
        <w:pStyle w:val="2"/>
        <w:keepNext/>
        <w:keepLines/>
        <w:pageBreakBefore w:val="0"/>
        <w:widowControl w:val="0"/>
        <w:kinsoku/>
        <w:wordWrap/>
        <w:overflowPunct/>
        <w:topLinePunct w:val="0"/>
        <w:autoSpaceDE/>
        <w:autoSpaceDN/>
        <w:bidi w:val="0"/>
        <w:adjustRightInd w:val="0"/>
        <w:snapToGrid w:val="0"/>
        <w:ind w:left="0" w:leftChars="0" w:firstLine="0" w:firstLineChars="0"/>
        <w:textAlignment w:val="auto"/>
        <w:rPr>
          <w:color w:val="auto"/>
          <w:highlight w:val="none"/>
        </w:rPr>
      </w:pPr>
      <w:r>
        <w:rPr>
          <w:color w:val="auto"/>
          <w:highlight w:val="none"/>
        </w:rPr>
        <w:t>建设项目基本情况</w:t>
      </w:r>
      <w:bookmarkEnd w:id="0"/>
      <w:bookmarkEnd w:id="1"/>
      <w:bookmarkEnd w:id="2"/>
    </w:p>
    <w:tbl>
      <w:tblPr>
        <w:tblStyle w:val="50"/>
        <w:tblW w:w="98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287"/>
        <w:gridCol w:w="687"/>
        <w:gridCol w:w="2615"/>
        <w:gridCol w:w="1567"/>
        <w:gridCol w:w="3688"/>
      </w:tblGrid>
      <w:tr w14:paraId="1AC8C2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14:paraId="45F2E82A">
            <w:pPr>
              <w:adjustRightInd w:val="0"/>
              <w:snapToGrid w:val="0"/>
              <w:jc w:val="center"/>
              <w:rPr>
                <w:color w:val="auto"/>
                <w:highlight w:val="none"/>
              </w:rPr>
            </w:pPr>
            <w:r>
              <w:rPr>
                <w:color w:val="auto"/>
                <w:highlight w:val="none"/>
              </w:rPr>
              <w:t>建设项目名称</w:t>
            </w:r>
          </w:p>
        </w:tc>
        <w:tc>
          <w:tcPr>
            <w:tcW w:w="7870" w:type="dxa"/>
            <w:gridSpan w:val="3"/>
            <w:vAlign w:val="center"/>
          </w:tcPr>
          <w:p w14:paraId="213949B0">
            <w:pPr>
              <w:adjustRightInd w:val="0"/>
              <w:snapToGrid w:val="0"/>
              <w:jc w:val="center"/>
              <w:rPr>
                <w:color w:val="auto"/>
                <w:highlight w:val="none"/>
              </w:rPr>
            </w:pPr>
            <w:r>
              <w:rPr>
                <w:rFonts w:hint="eastAsia"/>
                <w:color w:val="auto"/>
                <w:highlight w:val="none"/>
                <w:lang w:eastAsia="zh-CN"/>
              </w:rPr>
              <w:t>福州市晋安区青鸟动物医院项目</w:t>
            </w:r>
          </w:p>
        </w:tc>
      </w:tr>
      <w:tr w14:paraId="5DB987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14:paraId="4EA3EEF5">
            <w:pPr>
              <w:adjustRightInd w:val="0"/>
              <w:snapToGrid w:val="0"/>
              <w:jc w:val="center"/>
              <w:rPr>
                <w:color w:val="auto"/>
                <w:szCs w:val="21"/>
                <w:highlight w:val="none"/>
              </w:rPr>
            </w:pPr>
            <w:r>
              <w:rPr>
                <w:color w:val="auto"/>
                <w:szCs w:val="21"/>
                <w:highlight w:val="none"/>
              </w:rPr>
              <w:t>项目代码</w:t>
            </w:r>
          </w:p>
        </w:tc>
        <w:tc>
          <w:tcPr>
            <w:tcW w:w="7870" w:type="dxa"/>
            <w:gridSpan w:val="3"/>
            <w:vAlign w:val="center"/>
          </w:tcPr>
          <w:p w14:paraId="18349444">
            <w:pPr>
              <w:adjustRightInd w:val="0"/>
              <w:snapToGrid w:val="0"/>
              <w:jc w:val="center"/>
              <w:rPr>
                <w:color w:val="auto"/>
                <w:szCs w:val="21"/>
                <w:highlight w:val="none"/>
              </w:rPr>
            </w:pPr>
            <w:r>
              <w:rPr>
                <w:color w:val="auto"/>
                <w:highlight w:val="none"/>
              </w:rPr>
              <w:t>/</w:t>
            </w:r>
          </w:p>
        </w:tc>
      </w:tr>
      <w:tr w14:paraId="24F8F7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974" w:type="dxa"/>
            <w:gridSpan w:val="2"/>
            <w:tcMar>
              <w:top w:w="16" w:type="dxa"/>
              <w:left w:w="16" w:type="dxa"/>
              <w:right w:w="16" w:type="dxa"/>
            </w:tcMar>
            <w:vAlign w:val="center"/>
          </w:tcPr>
          <w:p w14:paraId="45543D21">
            <w:pPr>
              <w:adjustRightInd w:val="0"/>
              <w:snapToGrid w:val="0"/>
              <w:jc w:val="center"/>
              <w:rPr>
                <w:color w:val="auto"/>
                <w:szCs w:val="21"/>
                <w:highlight w:val="none"/>
              </w:rPr>
            </w:pPr>
            <w:r>
              <w:rPr>
                <w:color w:val="auto"/>
                <w:szCs w:val="21"/>
                <w:highlight w:val="none"/>
              </w:rPr>
              <w:t>建设单位联系人</w:t>
            </w:r>
          </w:p>
        </w:tc>
        <w:tc>
          <w:tcPr>
            <w:tcW w:w="2615" w:type="dxa"/>
            <w:vAlign w:val="center"/>
          </w:tcPr>
          <w:p w14:paraId="27F9DE3D">
            <w:pPr>
              <w:adjustRightInd w:val="0"/>
              <w:snapToGrid w:val="0"/>
              <w:jc w:val="center"/>
              <w:rPr>
                <w:rFonts w:hint="default" w:eastAsia="宋体"/>
                <w:color w:val="auto"/>
                <w:szCs w:val="21"/>
                <w:highlight w:val="none"/>
                <w:lang w:val="en-US" w:eastAsia="zh-CN"/>
              </w:rPr>
            </w:pPr>
            <w:r>
              <w:rPr>
                <w:rFonts w:hint="eastAsia"/>
                <w:color w:val="auto"/>
                <w:highlight w:val="none"/>
                <w:lang w:val="en-US" w:eastAsia="zh-CN"/>
              </w:rPr>
              <w:t>郑德明</w:t>
            </w:r>
          </w:p>
        </w:tc>
        <w:tc>
          <w:tcPr>
            <w:tcW w:w="1567" w:type="dxa"/>
            <w:vAlign w:val="center"/>
          </w:tcPr>
          <w:p w14:paraId="31B426E0">
            <w:pPr>
              <w:adjustRightInd w:val="0"/>
              <w:snapToGrid w:val="0"/>
              <w:jc w:val="center"/>
              <w:rPr>
                <w:color w:val="auto"/>
                <w:szCs w:val="21"/>
                <w:highlight w:val="none"/>
              </w:rPr>
            </w:pPr>
            <w:r>
              <w:rPr>
                <w:color w:val="auto"/>
                <w:highlight w:val="none"/>
              </w:rPr>
              <w:t>联系方式</w:t>
            </w:r>
          </w:p>
        </w:tc>
        <w:tc>
          <w:tcPr>
            <w:tcW w:w="3688" w:type="dxa"/>
            <w:vAlign w:val="center"/>
          </w:tcPr>
          <w:p w14:paraId="6097AE4E">
            <w:pPr>
              <w:adjustRightInd w:val="0"/>
              <w:snapToGrid w:val="0"/>
              <w:jc w:val="center"/>
              <w:rPr>
                <w:rFonts w:hint="eastAsia" w:eastAsia="宋体"/>
                <w:color w:val="auto"/>
                <w:szCs w:val="21"/>
                <w:highlight w:val="none"/>
                <w:lang w:eastAsia="zh-CN"/>
              </w:rPr>
            </w:pPr>
            <w:r>
              <w:rPr>
                <w:rFonts w:hint="eastAsia"/>
                <w:color w:val="auto"/>
                <w:kern w:val="0"/>
                <w:szCs w:val="21"/>
                <w:highlight w:val="none"/>
                <w:lang w:val="en-US" w:eastAsia="zh-CN"/>
              </w:rPr>
              <w:t>17759303903</w:t>
            </w:r>
          </w:p>
        </w:tc>
      </w:tr>
      <w:tr w14:paraId="60DDDE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14:paraId="180CC3E0">
            <w:pPr>
              <w:adjustRightInd w:val="0"/>
              <w:snapToGrid w:val="0"/>
              <w:jc w:val="center"/>
              <w:rPr>
                <w:color w:val="auto"/>
                <w:szCs w:val="21"/>
                <w:highlight w:val="none"/>
              </w:rPr>
            </w:pPr>
            <w:r>
              <w:rPr>
                <w:color w:val="auto"/>
                <w:szCs w:val="21"/>
                <w:highlight w:val="none"/>
              </w:rPr>
              <w:t>建设地点</w:t>
            </w:r>
          </w:p>
        </w:tc>
        <w:tc>
          <w:tcPr>
            <w:tcW w:w="7870" w:type="dxa"/>
            <w:gridSpan w:val="3"/>
            <w:vAlign w:val="center"/>
          </w:tcPr>
          <w:p w14:paraId="1792955E">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福建省福州市晋安区玉井路99号蓝光公馆8#楼1层20商业（餐饮）</w:t>
            </w:r>
          </w:p>
        </w:tc>
      </w:tr>
      <w:tr w14:paraId="3A4A5C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14:paraId="7EDC3026">
            <w:pPr>
              <w:adjustRightInd w:val="0"/>
              <w:snapToGrid w:val="0"/>
              <w:jc w:val="center"/>
              <w:rPr>
                <w:color w:val="auto"/>
                <w:szCs w:val="21"/>
                <w:highlight w:val="none"/>
              </w:rPr>
            </w:pPr>
            <w:r>
              <w:rPr>
                <w:color w:val="auto"/>
                <w:szCs w:val="21"/>
                <w:highlight w:val="none"/>
              </w:rPr>
              <w:t>地理坐标</w:t>
            </w:r>
          </w:p>
        </w:tc>
        <w:tc>
          <w:tcPr>
            <w:tcW w:w="7870" w:type="dxa"/>
            <w:gridSpan w:val="3"/>
            <w:vAlign w:val="center"/>
          </w:tcPr>
          <w:p w14:paraId="4EDDC135">
            <w:pPr>
              <w:snapToGrid w:val="0"/>
              <w:jc w:val="center"/>
              <w:rPr>
                <w:color w:val="auto"/>
                <w:szCs w:val="21"/>
                <w:highlight w:val="none"/>
              </w:rPr>
            </w:pPr>
            <w:r>
              <w:rPr>
                <w:color w:val="auto"/>
                <w:highlight w:val="none"/>
              </w:rPr>
              <w:t xml:space="preserve">（ </w:t>
            </w:r>
            <w:r>
              <w:rPr>
                <w:color w:val="auto"/>
                <w:highlight w:val="none"/>
                <w:u w:val="single"/>
              </w:rPr>
              <w:t xml:space="preserve">119 </w:t>
            </w:r>
            <w:r>
              <w:rPr>
                <w:color w:val="auto"/>
                <w:highlight w:val="none"/>
              </w:rPr>
              <w:t>度</w:t>
            </w:r>
            <w:r>
              <w:rPr>
                <w:color w:val="auto"/>
                <w:highlight w:val="none"/>
                <w:u w:val="single"/>
              </w:rPr>
              <w:t xml:space="preserve"> </w:t>
            </w:r>
            <w:r>
              <w:rPr>
                <w:rFonts w:hint="eastAsia"/>
                <w:color w:val="auto"/>
                <w:highlight w:val="none"/>
                <w:u w:val="single"/>
                <w:lang w:val="en-US" w:eastAsia="zh-CN"/>
              </w:rPr>
              <w:t>20</w:t>
            </w:r>
            <w:r>
              <w:rPr>
                <w:color w:val="auto"/>
                <w:highlight w:val="none"/>
                <w:u w:val="single"/>
              </w:rPr>
              <w:t xml:space="preserve"> </w:t>
            </w:r>
            <w:r>
              <w:rPr>
                <w:color w:val="auto"/>
                <w:highlight w:val="none"/>
              </w:rPr>
              <w:t>分</w:t>
            </w:r>
            <w:r>
              <w:rPr>
                <w:rFonts w:hint="eastAsia"/>
                <w:color w:val="auto"/>
                <w:highlight w:val="none"/>
                <w:u w:val="single"/>
                <w:lang w:val="en-US" w:eastAsia="zh-CN"/>
              </w:rPr>
              <w:t>52.549</w:t>
            </w:r>
            <w:r>
              <w:rPr>
                <w:color w:val="auto"/>
                <w:highlight w:val="none"/>
              </w:rPr>
              <w:t>秒，</w:t>
            </w:r>
            <w:r>
              <w:rPr>
                <w:color w:val="auto"/>
                <w:highlight w:val="none"/>
                <w:u w:val="single"/>
              </w:rPr>
              <w:t xml:space="preserve">  26  </w:t>
            </w:r>
            <w:r>
              <w:rPr>
                <w:color w:val="auto"/>
                <w:highlight w:val="none"/>
              </w:rPr>
              <w:t>度</w:t>
            </w:r>
            <w:r>
              <w:rPr>
                <w:color w:val="auto"/>
                <w:highlight w:val="none"/>
                <w:u w:val="single"/>
              </w:rPr>
              <w:t xml:space="preserve">  </w:t>
            </w:r>
            <w:r>
              <w:rPr>
                <w:rFonts w:hint="eastAsia"/>
                <w:color w:val="auto"/>
                <w:highlight w:val="none"/>
                <w:u w:val="single"/>
                <w:lang w:val="en-US" w:eastAsia="zh-CN"/>
              </w:rPr>
              <w:t>5</w:t>
            </w:r>
            <w:r>
              <w:rPr>
                <w:color w:val="auto"/>
                <w:highlight w:val="none"/>
                <w:u w:val="single"/>
              </w:rPr>
              <w:t xml:space="preserve"> </w:t>
            </w:r>
            <w:r>
              <w:rPr>
                <w:rFonts w:hint="eastAsia"/>
                <w:color w:val="auto"/>
                <w:highlight w:val="none"/>
                <w:u w:val="single"/>
              </w:rPr>
              <w:t xml:space="preserve"> </w:t>
            </w:r>
            <w:r>
              <w:rPr>
                <w:color w:val="auto"/>
                <w:highlight w:val="none"/>
              </w:rPr>
              <w:t>分</w:t>
            </w:r>
            <w:r>
              <w:rPr>
                <w:rFonts w:hint="eastAsia"/>
                <w:color w:val="auto"/>
                <w:highlight w:val="none"/>
                <w:u w:val="single"/>
                <w:lang w:val="en-US" w:eastAsia="zh-CN"/>
              </w:rPr>
              <w:t>35.025</w:t>
            </w:r>
            <w:r>
              <w:rPr>
                <w:color w:val="auto"/>
                <w:highlight w:val="none"/>
              </w:rPr>
              <w:t>秒）</w:t>
            </w:r>
          </w:p>
        </w:tc>
      </w:tr>
      <w:tr w14:paraId="209F57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74" w:type="dxa"/>
            <w:gridSpan w:val="2"/>
            <w:tcMar>
              <w:top w:w="16" w:type="dxa"/>
              <w:left w:w="16" w:type="dxa"/>
              <w:right w:w="16" w:type="dxa"/>
            </w:tcMar>
            <w:vAlign w:val="center"/>
          </w:tcPr>
          <w:p w14:paraId="5142D49A">
            <w:pPr>
              <w:adjustRightInd w:val="0"/>
              <w:snapToGrid w:val="0"/>
              <w:jc w:val="center"/>
              <w:rPr>
                <w:color w:val="auto"/>
                <w:szCs w:val="21"/>
                <w:highlight w:val="none"/>
              </w:rPr>
            </w:pPr>
            <w:r>
              <w:rPr>
                <w:color w:val="auto"/>
                <w:szCs w:val="21"/>
                <w:highlight w:val="none"/>
              </w:rPr>
              <w:t>国民经济</w:t>
            </w:r>
          </w:p>
          <w:p w14:paraId="68676009">
            <w:pPr>
              <w:adjustRightInd w:val="0"/>
              <w:snapToGrid w:val="0"/>
              <w:jc w:val="center"/>
              <w:rPr>
                <w:color w:val="auto"/>
                <w:szCs w:val="21"/>
                <w:highlight w:val="none"/>
              </w:rPr>
            </w:pPr>
            <w:r>
              <w:rPr>
                <w:color w:val="auto"/>
                <w:szCs w:val="21"/>
                <w:highlight w:val="none"/>
              </w:rPr>
              <w:t>行业类别</w:t>
            </w:r>
          </w:p>
        </w:tc>
        <w:tc>
          <w:tcPr>
            <w:tcW w:w="2615" w:type="dxa"/>
            <w:vAlign w:val="center"/>
          </w:tcPr>
          <w:p w14:paraId="7D52C2FE">
            <w:pPr>
              <w:adjustRightInd w:val="0"/>
              <w:snapToGrid w:val="0"/>
              <w:jc w:val="center"/>
              <w:rPr>
                <w:color w:val="auto"/>
                <w:szCs w:val="21"/>
                <w:highlight w:val="none"/>
              </w:rPr>
            </w:pPr>
            <w:r>
              <w:rPr>
                <w:color w:val="auto"/>
                <w:highlight w:val="none"/>
              </w:rPr>
              <w:t>O8222宠物医院服务</w:t>
            </w:r>
          </w:p>
        </w:tc>
        <w:tc>
          <w:tcPr>
            <w:tcW w:w="1567" w:type="dxa"/>
            <w:vAlign w:val="center"/>
          </w:tcPr>
          <w:p w14:paraId="37660BBA">
            <w:pPr>
              <w:adjustRightInd w:val="0"/>
              <w:snapToGrid w:val="0"/>
              <w:jc w:val="center"/>
              <w:rPr>
                <w:color w:val="auto"/>
                <w:highlight w:val="none"/>
              </w:rPr>
            </w:pPr>
            <w:r>
              <w:rPr>
                <w:color w:val="auto"/>
                <w:highlight w:val="none"/>
              </w:rPr>
              <w:t>建设项目</w:t>
            </w:r>
          </w:p>
          <w:p w14:paraId="2EAD160E">
            <w:pPr>
              <w:adjustRightInd w:val="0"/>
              <w:snapToGrid w:val="0"/>
              <w:jc w:val="center"/>
              <w:rPr>
                <w:color w:val="auto"/>
                <w:szCs w:val="21"/>
                <w:highlight w:val="none"/>
              </w:rPr>
            </w:pPr>
            <w:r>
              <w:rPr>
                <w:color w:val="auto"/>
                <w:highlight w:val="none"/>
              </w:rPr>
              <w:t>行业类别</w:t>
            </w:r>
          </w:p>
        </w:tc>
        <w:tc>
          <w:tcPr>
            <w:tcW w:w="3688" w:type="dxa"/>
            <w:vAlign w:val="center"/>
          </w:tcPr>
          <w:p w14:paraId="7DBF6F59">
            <w:pPr>
              <w:adjustRightInd w:val="0"/>
              <w:snapToGrid w:val="0"/>
              <w:jc w:val="center"/>
              <w:rPr>
                <w:color w:val="auto"/>
                <w:szCs w:val="21"/>
                <w:highlight w:val="none"/>
              </w:rPr>
            </w:pPr>
            <w:r>
              <w:rPr>
                <w:color w:val="auto"/>
                <w:highlight w:val="none"/>
              </w:rPr>
              <w:t>五十、社会事业与服务业123、动物医院</w:t>
            </w:r>
          </w:p>
        </w:tc>
      </w:tr>
      <w:tr w14:paraId="27B0E9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74" w:type="dxa"/>
            <w:gridSpan w:val="2"/>
            <w:tcMar>
              <w:top w:w="16" w:type="dxa"/>
              <w:left w:w="16" w:type="dxa"/>
              <w:right w:w="16" w:type="dxa"/>
            </w:tcMar>
            <w:vAlign w:val="center"/>
          </w:tcPr>
          <w:p w14:paraId="3C32877C">
            <w:pPr>
              <w:adjustRightInd w:val="0"/>
              <w:snapToGrid w:val="0"/>
              <w:jc w:val="center"/>
              <w:rPr>
                <w:color w:val="auto"/>
                <w:szCs w:val="21"/>
                <w:highlight w:val="none"/>
              </w:rPr>
            </w:pPr>
            <w:r>
              <w:rPr>
                <w:color w:val="auto"/>
                <w:szCs w:val="21"/>
                <w:highlight w:val="none"/>
              </w:rPr>
              <w:t>建设性质</w:t>
            </w:r>
          </w:p>
        </w:tc>
        <w:tc>
          <w:tcPr>
            <w:tcW w:w="2615" w:type="dxa"/>
            <w:vAlign w:val="center"/>
          </w:tcPr>
          <w:p w14:paraId="11DC3A38">
            <w:pPr>
              <w:snapToGrid w:val="0"/>
              <w:jc w:val="left"/>
              <w:rPr>
                <w:color w:val="auto"/>
                <w:highlight w:val="none"/>
              </w:rPr>
            </w:pPr>
            <w:r>
              <w:rPr>
                <w:color w:val="auto"/>
                <w:highlight w:val="none"/>
              </w:rPr>
              <w:sym w:font="Wingdings 2" w:char="0052"/>
            </w:r>
            <w:r>
              <w:rPr>
                <w:color w:val="auto"/>
                <w:highlight w:val="none"/>
              </w:rPr>
              <w:t>新建（迁建）</w:t>
            </w:r>
          </w:p>
          <w:p w14:paraId="3BC07A21">
            <w:pPr>
              <w:snapToGrid w:val="0"/>
              <w:jc w:val="left"/>
              <w:rPr>
                <w:color w:val="auto"/>
                <w:highlight w:val="none"/>
              </w:rPr>
            </w:pPr>
            <w:r>
              <w:rPr>
                <w:color w:val="auto"/>
                <w:highlight w:val="none"/>
              </w:rPr>
              <w:sym w:font="Wingdings 2" w:char="00A3"/>
            </w:r>
            <w:r>
              <w:rPr>
                <w:color w:val="auto"/>
                <w:highlight w:val="none"/>
              </w:rPr>
              <w:t>改建</w:t>
            </w:r>
          </w:p>
          <w:p w14:paraId="3B4285C6">
            <w:pPr>
              <w:snapToGrid w:val="0"/>
              <w:jc w:val="left"/>
              <w:rPr>
                <w:color w:val="auto"/>
                <w:highlight w:val="none"/>
              </w:rPr>
            </w:pPr>
            <w:r>
              <w:rPr>
                <w:color w:val="auto"/>
                <w:highlight w:val="none"/>
              </w:rPr>
              <w:sym w:font="Wingdings 2" w:char="00A3"/>
            </w:r>
            <w:r>
              <w:rPr>
                <w:color w:val="auto"/>
                <w:highlight w:val="none"/>
              </w:rPr>
              <w:t>扩建</w:t>
            </w:r>
          </w:p>
          <w:p w14:paraId="7C7715CE">
            <w:pPr>
              <w:snapToGrid w:val="0"/>
              <w:jc w:val="left"/>
              <w:rPr>
                <w:color w:val="auto"/>
                <w:szCs w:val="21"/>
                <w:highlight w:val="none"/>
              </w:rPr>
            </w:pPr>
            <w:r>
              <w:rPr>
                <w:color w:val="auto"/>
                <w:highlight w:val="none"/>
              </w:rPr>
              <w:sym w:font="Wingdings 2" w:char="00A3"/>
            </w:r>
            <w:r>
              <w:rPr>
                <w:color w:val="auto"/>
                <w:highlight w:val="none"/>
              </w:rPr>
              <w:t>技术改造</w:t>
            </w:r>
          </w:p>
        </w:tc>
        <w:tc>
          <w:tcPr>
            <w:tcW w:w="1567" w:type="dxa"/>
            <w:vAlign w:val="center"/>
          </w:tcPr>
          <w:p w14:paraId="44D682E4">
            <w:pPr>
              <w:adjustRightInd w:val="0"/>
              <w:snapToGrid w:val="0"/>
              <w:jc w:val="center"/>
              <w:rPr>
                <w:color w:val="auto"/>
                <w:highlight w:val="none"/>
              </w:rPr>
            </w:pPr>
            <w:r>
              <w:rPr>
                <w:color w:val="auto"/>
                <w:highlight w:val="none"/>
              </w:rPr>
              <w:t>建设项目</w:t>
            </w:r>
          </w:p>
          <w:p w14:paraId="72D8011E">
            <w:pPr>
              <w:adjustRightInd w:val="0"/>
              <w:snapToGrid w:val="0"/>
              <w:jc w:val="center"/>
              <w:rPr>
                <w:color w:val="auto"/>
                <w:szCs w:val="21"/>
                <w:highlight w:val="none"/>
              </w:rPr>
            </w:pPr>
            <w:r>
              <w:rPr>
                <w:color w:val="auto"/>
                <w:highlight w:val="none"/>
              </w:rPr>
              <w:t>申报情形</w:t>
            </w:r>
          </w:p>
        </w:tc>
        <w:tc>
          <w:tcPr>
            <w:tcW w:w="3688" w:type="dxa"/>
            <w:vAlign w:val="center"/>
          </w:tcPr>
          <w:p w14:paraId="2B9EFE08">
            <w:pPr>
              <w:snapToGrid w:val="0"/>
              <w:jc w:val="left"/>
              <w:rPr>
                <w:color w:val="auto"/>
                <w:highlight w:val="none"/>
              </w:rPr>
            </w:pPr>
            <w:r>
              <w:rPr>
                <w:color w:val="auto"/>
                <w:highlight w:val="none"/>
              </w:rPr>
              <w:sym w:font="Wingdings 2" w:char="0052"/>
            </w:r>
            <w:r>
              <w:rPr>
                <w:color w:val="auto"/>
                <w:highlight w:val="none"/>
              </w:rPr>
              <w:t xml:space="preserve">首次申报项目             </w:t>
            </w:r>
          </w:p>
          <w:p w14:paraId="12E72FAD">
            <w:pPr>
              <w:snapToGrid w:val="0"/>
              <w:jc w:val="left"/>
              <w:rPr>
                <w:color w:val="auto"/>
                <w:highlight w:val="none"/>
              </w:rPr>
            </w:pPr>
            <w:r>
              <w:rPr>
                <w:color w:val="auto"/>
                <w:highlight w:val="none"/>
              </w:rPr>
              <w:sym w:font="Wingdings 2" w:char="00A3"/>
            </w:r>
            <w:r>
              <w:rPr>
                <w:color w:val="auto"/>
                <w:highlight w:val="none"/>
              </w:rPr>
              <w:t>不予批准后再次申报项目</w:t>
            </w:r>
          </w:p>
          <w:p w14:paraId="7CD62236">
            <w:pPr>
              <w:snapToGrid w:val="0"/>
              <w:jc w:val="left"/>
              <w:rPr>
                <w:color w:val="auto"/>
                <w:highlight w:val="none"/>
              </w:rPr>
            </w:pPr>
            <w:r>
              <w:rPr>
                <w:color w:val="auto"/>
                <w:highlight w:val="none"/>
              </w:rPr>
              <w:sym w:font="Wingdings 2" w:char="00A3"/>
            </w:r>
            <w:r>
              <w:rPr>
                <w:color w:val="auto"/>
                <w:highlight w:val="none"/>
              </w:rPr>
              <w:t xml:space="preserve">超五年重新审核项目     </w:t>
            </w:r>
          </w:p>
          <w:p w14:paraId="1B1F884A">
            <w:pPr>
              <w:snapToGrid w:val="0"/>
              <w:jc w:val="left"/>
              <w:rPr>
                <w:color w:val="auto"/>
                <w:szCs w:val="21"/>
                <w:highlight w:val="none"/>
              </w:rPr>
            </w:pPr>
            <w:r>
              <w:rPr>
                <w:color w:val="auto"/>
                <w:highlight w:val="none"/>
              </w:rPr>
              <w:sym w:font="Wingdings 2" w:char="00A3"/>
            </w:r>
            <w:r>
              <w:rPr>
                <w:color w:val="auto"/>
                <w:highlight w:val="none"/>
              </w:rPr>
              <w:t>重大变动重新报批项目</w:t>
            </w:r>
          </w:p>
        </w:tc>
      </w:tr>
      <w:tr w14:paraId="13CA30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74" w:type="dxa"/>
            <w:gridSpan w:val="2"/>
            <w:tcMar>
              <w:top w:w="16" w:type="dxa"/>
              <w:left w:w="16" w:type="dxa"/>
              <w:right w:w="16" w:type="dxa"/>
            </w:tcMar>
            <w:vAlign w:val="center"/>
          </w:tcPr>
          <w:p w14:paraId="68615E1B">
            <w:pPr>
              <w:adjustRightInd w:val="0"/>
              <w:snapToGrid w:val="0"/>
              <w:jc w:val="center"/>
              <w:rPr>
                <w:color w:val="auto"/>
                <w:szCs w:val="21"/>
                <w:highlight w:val="none"/>
              </w:rPr>
            </w:pPr>
            <w:r>
              <w:rPr>
                <w:color w:val="auto"/>
                <w:szCs w:val="21"/>
                <w:highlight w:val="none"/>
              </w:rPr>
              <w:t>项目审批（核准/</w:t>
            </w:r>
          </w:p>
          <w:p w14:paraId="7F90634B">
            <w:pPr>
              <w:adjustRightInd w:val="0"/>
              <w:snapToGrid w:val="0"/>
              <w:jc w:val="center"/>
              <w:rPr>
                <w:color w:val="auto"/>
                <w:szCs w:val="21"/>
                <w:highlight w:val="none"/>
              </w:rPr>
            </w:pPr>
            <w:r>
              <w:rPr>
                <w:color w:val="auto"/>
                <w:szCs w:val="21"/>
                <w:highlight w:val="none"/>
              </w:rPr>
              <w:t>备案）部门（选填）</w:t>
            </w:r>
          </w:p>
        </w:tc>
        <w:tc>
          <w:tcPr>
            <w:tcW w:w="2615" w:type="dxa"/>
            <w:vAlign w:val="center"/>
          </w:tcPr>
          <w:p w14:paraId="439A094B">
            <w:pPr>
              <w:adjustRightInd w:val="0"/>
              <w:snapToGrid w:val="0"/>
              <w:jc w:val="center"/>
              <w:rPr>
                <w:color w:val="auto"/>
                <w:szCs w:val="21"/>
                <w:highlight w:val="none"/>
              </w:rPr>
            </w:pPr>
            <w:r>
              <w:rPr>
                <w:color w:val="auto"/>
                <w:highlight w:val="none"/>
              </w:rPr>
              <w:t>/</w:t>
            </w:r>
          </w:p>
        </w:tc>
        <w:tc>
          <w:tcPr>
            <w:tcW w:w="1567" w:type="dxa"/>
            <w:vAlign w:val="center"/>
          </w:tcPr>
          <w:p w14:paraId="3B8CB6E0">
            <w:pPr>
              <w:adjustRightInd w:val="0"/>
              <w:snapToGrid w:val="0"/>
              <w:jc w:val="center"/>
              <w:rPr>
                <w:color w:val="auto"/>
                <w:szCs w:val="21"/>
                <w:highlight w:val="none"/>
              </w:rPr>
            </w:pPr>
            <w:r>
              <w:rPr>
                <w:color w:val="auto"/>
                <w:highlight w:val="none"/>
              </w:rPr>
              <w:t>项目审批（核准/备案）文号（选填）</w:t>
            </w:r>
          </w:p>
        </w:tc>
        <w:tc>
          <w:tcPr>
            <w:tcW w:w="3688" w:type="dxa"/>
            <w:shd w:val="clear" w:color="auto" w:fill="auto"/>
            <w:vAlign w:val="center"/>
          </w:tcPr>
          <w:p w14:paraId="0AD90BB2">
            <w:pPr>
              <w:adjustRightInd w:val="0"/>
              <w:snapToGrid w:val="0"/>
              <w:jc w:val="center"/>
              <w:rPr>
                <w:color w:val="auto"/>
                <w:szCs w:val="21"/>
                <w:highlight w:val="none"/>
              </w:rPr>
            </w:pPr>
            <w:r>
              <w:rPr>
                <w:color w:val="auto"/>
                <w:highlight w:val="none"/>
              </w:rPr>
              <w:t>/</w:t>
            </w:r>
          </w:p>
        </w:tc>
      </w:tr>
      <w:tr w14:paraId="5FFFB0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14:paraId="76B67200">
            <w:pPr>
              <w:adjustRightInd w:val="0"/>
              <w:snapToGrid w:val="0"/>
              <w:jc w:val="center"/>
              <w:rPr>
                <w:color w:val="auto"/>
                <w:szCs w:val="21"/>
                <w:highlight w:val="none"/>
              </w:rPr>
            </w:pPr>
            <w:r>
              <w:rPr>
                <w:color w:val="auto"/>
                <w:szCs w:val="21"/>
                <w:highlight w:val="none"/>
              </w:rPr>
              <w:t>总投资（万元）</w:t>
            </w:r>
          </w:p>
        </w:tc>
        <w:tc>
          <w:tcPr>
            <w:tcW w:w="2615" w:type="dxa"/>
            <w:vAlign w:val="center"/>
          </w:tcPr>
          <w:p w14:paraId="417B6E0B">
            <w:pPr>
              <w:adjustRightInd w:val="0"/>
              <w:snapToGrid w:val="0"/>
              <w:jc w:val="center"/>
              <w:rPr>
                <w:rFonts w:hint="default" w:eastAsia="宋体"/>
                <w:color w:val="auto"/>
                <w:szCs w:val="21"/>
                <w:highlight w:val="none"/>
                <w:lang w:val="en-US" w:eastAsia="zh-CN"/>
              </w:rPr>
            </w:pPr>
            <w:r>
              <w:rPr>
                <w:rFonts w:hint="eastAsia"/>
                <w:color w:val="auto"/>
                <w:highlight w:val="none"/>
                <w:lang w:val="en-US" w:eastAsia="zh-CN"/>
              </w:rPr>
              <w:t>90</w:t>
            </w:r>
          </w:p>
        </w:tc>
        <w:tc>
          <w:tcPr>
            <w:tcW w:w="1567" w:type="dxa"/>
            <w:tcMar>
              <w:top w:w="16" w:type="dxa"/>
              <w:left w:w="16" w:type="dxa"/>
              <w:right w:w="16" w:type="dxa"/>
            </w:tcMar>
            <w:vAlign w:val="center"/>
          </w:tcPr>
          <w:p w14:paraId="0A93D754">
            <w:pPr>
              <w:adjustRightInd w:val="0"/>
              <w:snapToGrid w:val="0"/>
              <w:jc w:val="center"/>
              <w:rPr>
                <w:color w:val="auto"/>
                <w:szCs w:val="21"/>
                <w:highlight w:val="none"/>
              </w:rPr>
            </w:pPr>
            <w:r>
              <w:rPr>
                <w:color w:val="auto"/>
                <w:highlight w:val="none"/>
              </w:rPr>
              <w:t>环保投资（万元）</w:t>
            </w:r>
          </w:p>
        </w:tc>
        <w:tc>
          <w:tcPr>
            <w:tcW w:w="3688" w:type="dxa"/>
            <w:shd w:val="clear" w:color="auto" w:fill="auto"/>
            <w:vAlign w:val="center"/>
          </w:tcPr>
          <w:p w14:paraId="01010D78">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4</w:t>
            </w:r>
          </w:p>
        </w:tc>
      </w:tr>
      <w:tr w14:paraId="10BCF9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14:paraId="686B0D3F">
            <w:pPr>
              <w:adjustRightInd w:val="0"/>
              <w:snapToGrid w:val="0"/>
              <w:jc w:val="center"/>
              <w:rPr>
                <w:color w:val="auto"/>
                <w:szCs w:val="21"/>
                <w:highlight w:val="none"/>
              </w:rPr>
            </w:pPr>
            <w:r>
              <w:rPr>
                <w:color w:val="auto"/>
                <w:szCs w:val="21"/>
                <w:highlight w:val="none"/>
              </w:rPr>
              <w:t>环保投资占比（%）</w:t>
            </w:r>
          </w:p>
        </w:tc>
        <w:tc>
          <w:tcPr>
            <w:tcW w:w="2615" w:type="dxa"/>
            <w:vAlign w:val="center"/>
          </w:tcPr>
          <w:p w14:paraId="4B31043A">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4.44</w:t>
            </w:r>
          </w:p>
        </w:tc>
        <w:tc>
          <w:tcPr>
            <w:tcW w:w="1567" w:type="dxa"/>
            <w:tcMar>
              <w:top w:w="16" w:type="dxa"/>
              <w:left w:w="16" w:type="dxa"/>
              <w:right w:w="16" w:type="dxa"/>
            </w:tcMar>
            <w:vAlign w:val="center"/>
          </w:tcPr>
          <w:p w14:paraId="01D103A9">
            <w:pPr>
              <w:adjustRightInd w:val="0"/>
              <w:snapToGrid w:val="0"/>
              <w:jc w:val="center"/>
              <w:rPr>
                <w:color w:val="auto"/>
                <w:szCs w:val="21"/>
                <w:highlight w:val="none"/>
              </w:rPr>
            </w:pPr>
            <w:r>
              <w:rPr>
                <w:color w:val="auto"/>
                <w:highlight w:val="none"/>
              </w:rPr>
              <w:t>施工工期</w:t>
            </w:r>
          </w:p>
        </w:tc>
        <w:tc>
          <w:tcPr>
            <w:tcW w:w="3688" w:type="dxa"/>
            <w:shd w:val="clear" w:color="auto" w:fill="auto"/>
            <w:vAlign w:val="center"/>
          </w:tcPr>
          <w:p w14:paraId="6C3F4717">
            <w:pPr>
              <w:adjustRightInd w:val="0"/>
              <w:snapToGrid w:val="0"/>
              <w:jc w:val="center"/>
              <w:rPr>
                <w:color w:val="auto"/>
                <w:szCs w:val="21"/>
                <w:highlight w:val="none"/>
              </w:rPr>
            </w:pPr>
            <w:r>
              <w:rPr>
                <w:rFonts w:hint="eastAsia"/>
                <w:color w:val="auto"/>
                <w:highlight w:val="none"/>
                <w:lang w:val="en-US" w:eastAsia="zh-CN"/>
              </w:rPr>
              <w:t>1</w:t>
            </w:r>
            <w:r>
              <w:rPr>
                <w:color w:val="auto"/>
                <w:highlight w:val="none"/>
              </w:rPr>
              <w:t>个月</w:t>
            </w:r>
          </w:p>
        </w:tc>
      </w:tr>
      <w:tr w14:paraId="301FDE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74" w:type="dxa"/>
            <w:gridSpan w:val="2"/>
            <w:tcMar>
              <w:top w:w="16" w:type="dxa"/>
              <w:left w:w="16" w:type="dxa"/>
              <w:right w:w="16" w:type="dxa"/>
            </w:tcMar>
            <w:vAlign w:val="center"/>
          </w:tcPr>
          <w:p w14:paraId="50FEE74E">
            <w:pPr>
              <w:adjustRightInd w:val="0"/>
              <w:snapToGrid w:val="0"/>
              <w:jc w:val="center"/>
              <w:rPr>
                <w:color w:val="auto"/>
                <w:szCs w:val="21"/>
                <w:highlight w:val="none"/>
              </w:rPr>
            </w:pPr>
            <w:r>
              <w:rPr>
                <w:color w:val="auto"/>
                <w:szCs w:val="21"/>
                <w:highlight w:val="none"/>
              </w:rPr>
              <w:t>是否开工建设</w:t>
            </w:r>
          </w:p>
        </w:tc>
        <w:tc>
          <w:tcPr>
            <w:tcW w:w="2615" w:type="dxa"/>
            <w:vAlign w:val="center"/>
          </w:tcPr>
          <w:p w14:paraId="02D4C189">
            <w:pPr>
              <w:adjustRightInd w:val="0"/>
              <w:snapToGrid w:val="0"/>
              <w:rPr>
                <w:color w:val="auto"/>
                <w:highlight w:val="none"/>
              </w:rPr>
            </w:pPr>
            <w:r>
              <w:rPr>
                <w:color w:val="auto"/>
                <w:highlight w:val="none"/>
              </w:rPr>
              <w:sym w:font="Wingdings 2" w:char="0052"/>
            </w:r>
            <w:r>
              <w:rPr>
                <w:color w:val="auto"/>
                <w:highlight w:val="none"/>
              </w:rPr>
              <w:t>否</w:t>
            </w:r>
          </w:p>
          <w:p w14:paraId="738F3DC6">
            <w:pPr>
              <w:adjustRightInd w:val="0"/>
              <w:snapToGrid w:val="0"/>
              <w:rPr>
                <w:color w:val="auto"/>
                <w:szCs w:val="21"/>
                <w:highlight w:val="none"/>
              </w:rPr>
            </w:pPr>
            <w:r>
              <w:rPr>
                <w:color w:val="auto"/>
                <w:highlight w:val="none"/>
              </w:rPr>
              <w:sym w:font="Wingdings 2" w:char="00A3"/>
            </w:r>
            <w:r>
              <w:rPr>
                <w:color w:val="auto"/>
                <w:highlight w:val="none"/>
              </w:rPr>
              <w:t>是：</w:t>
            </w:r>
          </w:p>
        </w:tc>
        <w:tc>
          <w:tcPr>
            <w:tcW w:w="1567" w:type="dxa"/>
            <w:tcMar>
              <w:top w:w="16" w:type="dxa"/>
              <w:left w:w="16" w:type="dxa"/>
              <w:right w:w="16" w:type="dxa"/>
            </w:tcMar>
            <w:vAlign w:val="center"/>
          </w:tcPr>
          <w:p w14:paraId="7809A745">
            <w:pPr>
              <w:adjustRightInd w:val="0"/>
              <w:snapToGrid w:val="0"/>
              <w:jc w:val="center"/>
              <w:rPr>
                <w:color w:val="auto"/>
                <w:szCs w:val="21"/>
                <w:highlight w:val="none"/>
              </w:rPr>
            </w:pPr>
            <w:r>
              <w:rPr>
                <w:color w:val="auto"/>
                <w:spacing w:val="-6"/>
                <w:highlight w:val="none"/>
              </w:rPr>
              <w:t>用地（用海）面积（m</w:t>
            </w:r>
            <w:r>
              <w:rPr>
                <w:color w:val="auto"/>
                <w:spacing w:val="-6"/>
                <w:highlight w:val="none"/>
                <w:vertAlign w:val="superscript"/>
              </w:rPr>
              <w:t>2</w:t>
            </w:r>
            <w:r>
              <w:rPr>
                <w:color w:val="auto"/>
                <w:spacing w:val="-6"/>
                <w:highlight w:val="none"/>
              </w:rPr>
              <w:t>）</w:t>
            </w:r>
          </w:p>
        </w:tc>
        <w:tc>
          <w:tcPr>
            <w:tcW w:w="3688" w:type="dxa"/>
            <w:vAlign w:val="center"/>
          </w:tcPr>
          <w:p w14:paraId="106E87BB">
            <w:pPr>
              <w:adjustRightInd w:val="0"/>
              <w:snapToGrid w:val="0"/>
              <w:jc w:val="center"/>
              <w:rPr>
                <w:rFonts w:hint="default" w:eastAsia="宋体"/>
                <w:color w:val="auto"/>
                <w:szCs w:val="21"/>
                <w:highlight w:val="none"/>
                <w:lang w:val="en-US" w:eastAsia="zh-CN"/>
              </w:rPr>
            </w:pPr>
            <w:r>
              <w:rPr>
                <w:rFonts w:hint="eastAsia"/>
                <w:color w:val="auto"/>
                <w:highlight w:val="none"/>
                <w:lang w:val="en-US" w:eastAsia="zh-CN"/>
              </w:rPr>
              <w:t>147</w:t>
            </w:r>
          </w:p>
        </w:tc>
      </w:tr>
      <w:tr w14:paraId="53FBE1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1974" w:type="dxa"/>
            <w:gridSpan w:val="2"/>
            <w:vAlign w:val="center"/>
          </w:tcPr>
          <w:p w14:paraId="246B48BE">
            <w:pPr>
              <w:autoSpaceDE w:val="0"/>
              <w:autoSpaceDN w:val="0"/>
              <w:adjustRightInd w:val="0"/>
              <w:snapToGrid w:val="0"/>
              <w:jc w:val="center"/>
              <w:rPr>
                <w:color w:val="auto"/>
                <w:kern w:val="0"/>
                <w:szCs w:val="21"/>
                <w:highlight w:val="none"/>
              </w:rPr>
            </w:pPr>
            <w:r>
              <w:rPr>
                <w:color w:val="auto"/>
                <w:kern w:val="0"/>
                <w:szCs w:val="21"/>
                <w:highlight w:val="none"/>
              </w:rPr>
              <w:t>专项评价设置情况</w:t>
            </w:r>
          </w:p>
        </w:tc>
        <w:tc>
          <w:tcPr>
            <w:tcW w:w="7870" w:type="dxa"/>
            <w:gridSpan w:val="3"/>
            <w:vAlign w:val="center"/>
          </w:tcPr>
          <w:p w14:paraId="36AE1189">
            <w:pPr>
              <w:widowControl/>
              <w:numPr>
                <w:ilvl w:val="255"/>
                <w:numId w:val="0"/>
              </w:numPr>
              <w:autoSpaceDE w:val="0"/>
              <w:autoSpaceDN w:val="0"/>
              <w:adjustRightInd w:val="0"/>
              <w:snapToGrid w:val="0"/>
              <w:spacing w:beforeLines="50"/>
              <w:ind w:firstLine="480" w:firstLineChars="200"/>
              <w:jc w:val="left"/>
              <w:rPr>
                <w:kern w:val="0"/>
                <w:szCs w:val="21"/>
                <w:highlight w:val="none"/>
              </w:rPr>
            </w:pPr>
            <w:r>
              <w:rPr>
                <w:kern w:val="0"/>
                <w:szCs w:val="21"/>
                <w:highlight w:val="none"/>
              </w:rPr>
              <w:t>项目无需设置大气、地表水、环境风险、生态及海洋专项评价，具体判定见表</w:t>
            </w:r>
            <w:r>
              <w:rPr>
                <w:rFonts w:hint="eastAsia"/>
                <w:kern w:val="0"/>
                <w:szCs w:val="21"/>
                <w:highlight w:val="none"/>
                <w:lang w:val="en-US" w:eastAsia="zh-CN"/>
              </w:rPr>
              <w:t>1-1</w:t>
            </w:r>
            <w:r>
              <w:rPr>
                <w:kern w:val="0"/>
                <w:szCs w:val="21"/>
                <w:highlight w:val="none"/>
              </w:rPr>
              <w:t>。</w:t>
            </w:r>
          </w:p>
          <w:p w14:paraId="654829F4">
            <w:pPr>
              <w:jc w:val="center"/>
              <w:rPr>
                <w:b/>
                <w:highlight w:val="none"/>
              </w:rPr>
            </w:pPr>
            <w:r>
              <w:rPr>
                <w:b/>
                <w:highlight w:val="none"/>
              </w:rPr>
              <w:t>表1-1  编制技术指南专项设置要求对照表</w:t>
            </w:r>
          </w:p>
          <w:tbl>
            <w:tblPr>
              <w:tblStyle w:val="5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4097"/>
              <w:gridCol w:w="2106"/>
              <w:gridCol w:w="722"/>
            </w:tblGrid>
            <w:tr w14:paraId="689C4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5" w:hRule="atLeast"/>
              </w:trPr>
              <w:tc>
                <w:tcPr>
                  <w:tcW w:w="470" w:type="pct"/>
                  <w:shd w:val="clear" w:color="auto" w:fill="auto"/>
                  <w:vAlign w:val="center"/>
                </w:tcPr>
                <w:p w14:paraId="57D47BD2">
                  <w:pPr>
                    <w:widowControl/>
                    <w:adjustRightInd w:val="0"/>
                    <w:snapToGrid w:val="0"/>
                    <w:jc w:val="center"/>
                    <w:rPr>
                      <w:b/>
                      <w:bCs/>
                      <w:sz w:val="21"/>
                      <w:szCs w:val="18"/>
                      <w:highlight w:val="none"/>
                    </w:rPr>
                  </w:pPr>
                  <w:r>
                    <w:rPr>
                      <w:b/>
                      <w:bCs/>
                      <w:sz w:val="21"/>
                      <w:szCs w:val="18"/>
                      <w:highlight w:val="none"/>
                    </w:rPr>
                    <w:t>专项评价类别</w:t>
                  </w:r>
                </w:p>
              </w:tc>
              <w:tc>
                <w:tcPr>
                  <w:tcW w:w="2679" w:type="pct"/>
                  <w:shd w:val="clear" w:color="auto" w:fill="auto"/>
                  <w:vAlign w:val="center"/>
                </w:tcPr>
                <w:p w14:paraId="59807BC9">
                  <w:pPr>
                    <w:widowControl/>
                    <w:adjustRightInd w:val="0"/>
                    <w:snapToGrid w:val="0"/>
                    <w:jc w:val="center"/>
                    <w:rPr>
                      <w:b/>
                      <w:bCs/>
                      <w:sz w:val="21"/>
                      <w:szCs w:val="18"/>
                      <w:highlight w:val="none"/>
                    </w:rPr>
                  </w:pPr>
                  <w:r>
                    <w:rPr>
                      <w:b/>
                      <w:bCs/>
                      <w:sz w:val="21"/>
                      <w:szCs w:val="18"/>
                      <w:highlight w:val="none"/>
                    </w:rPr>
                    <w:t>设置原则</w:t>
                  </w:r>
                </w:p>
              </w:tc>
              <w:tc>
                <w:tcPr>
                  <w:tcW w:w="1377" w:type="pct"/>
                  <w:shd w:val="clear" w:color="auto" w:fill="auto"/>
                  <w:vAlign w:val="center"/>
                </w:tcPr>
                <w:p w14:paraId="4F10BA12">
                  <w:pPr>
                    <w:widowControl/>
                    <w:adjustRightInd w:val="0"/>
                    <w:snapToGrid w:val="0"/>
                    <w:jc w:val="center"/>
                    <w:rPr>
                      <w:rFonts w:hint="eastAsia" w:eastAsia="宋体"/>
                      <w:b/>
                      <w:bCs/>
                      <w:sz w:val="21"/>
                      <w:szCs w:val="18"/>
                      <w:highlight w:val="none"/>
                      <w:lang w:eastAsia="zh-CN"/>
                    </w:rPr>
                  </w:pPr>
                  <w:r>
                    <w:rPr>
                      <w:rFonts w:hint="eastAsia"/>
                      <w:b/>
                      <w:bCs/>
                      <w:sz w:val="21"/>
                      <w:szCs w:val="18"/>
                      <w:highlight w:val="none"/>
                      <w:lang w:eastAsia="zh-CN"/>
                    </w:rPr>
                    <w:t>项目</w:t>
                  </w:r>
                </w:p>
              </w:tc>
              <w:tc>
                <w:tcPr>
                  <w:tcW w:w="472" w:type="pct"/>
                  <w:shd w:val="clear" w:color="auto" w:fill="auto"/>
                  <w:vAlign w:val="center"/>
                </w:tcPr>
                <w:p w14:paraId="4DC9C607">
                  <w:pPr>
                    <w:widowControl/>
                    <w:adjustRightInd w:val="0"/>
                    <w:snapToGrid w:val="0"/>
                    <w:jc w:val="center"/>
                    <w:rPr>
                      <w:b/>
                      <w:bCs/>
                      <w:sz w:val="21"/>
                      <w:szCs w:val="18"/>
                      <w:highlight w:val="none"/>
                    </w:rPr>
                  </w:pPr>
                  <w:r>
                    <w:rPr>
                      <w:b/>
                      <w:bCs/>
                      <w:sz w:val="21"/>
                      <w:szCs w:val="18"/>
                      <w:highlight w:val="none"/>
                    </w:rPr>
                    <w:t>是否设置专项</w:t>
                  </w:r>
                </w:p>
              </w:tc>
            </w:tr>
            <w:tr w14:paraId="54848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0" w:type="pct"/>
                  <w:shd w:val="clear" w:color="auto" w:fill="auto"/>
                  <w:vAlign w:val="center"/>
                </w:tcPr>
                <w:p w14:paraId="2D2E81D5">
                  <w:pPr>
                    <w:widowControl/>
                    <w:adjustRightInd w:val="0"/>
                    <w:snapToGrid w:val="0"/>
                    <w:jc w:val="center"/>
                    <w:rPr>
                      <w:sz w:val="21"/>
                      <w:szCs w:val="18"/>
                      <w:highlight w:val="none"/>
                    </w:rPr>
                  </w:pPr>
                  <w:r>
                    <w:rPr>
                      <w:sz w:val="21"/>
                      <w:szCs w:val="18"/>
                      <w:highlight w:val="none"/>
                    </w:rPr>
                    <w:t>大气</w:t>
                  </w:r>
                </w:p>
              </w:tc>
              <w:tc>
                <w:tcPr>
                  <w:tcW w:w="2679" w:type="pct"/>
                  <w:shd w:val="clear" w:color="auto" w:fill="auto"/>
                  <w:vAlign w:val="center"/>
                </w:tcPr>
                <w:p w14:paraId="6D1794CC">
                  <w:pPr>
                    <w:widowControl/>
                    <w:adjustRightInd w:val="0"/>
                    <w:snapToGrid w:val="0"/>
                    <w:jc w:val="left"/>
                    <w:rPr>
                      <w:sz w:val="21"/>
                      <w:szCs w:val="18"/>
                      <w:highlight w:val="none"/>
                    </w:rPr>
                  </w:pPr>
                  <w:r>
                    <w:rPr>
                      <w:sz w:val="21"/>
                      <w:szCs w:val="18"/>
                      <w:highlight w:val="none"/>
                    </w:rPr>
                    <w:t>排放废气含有毒有害污染物、二噁英、苯并芘[a]、氰化物、氯气且厂界外500米范围内有环境空气保护目标的建设项目。</w:t>
                  </w:r>
                </w:p>
              </w:tc>
              <w:tc>
                <w:tcPr>
                  <w:tcW w:w="1377" w:type="pct"/>
                  <w:shd w:val="clear" w:color="auto" w:fill="auto"/>
                  <w:vAlign w:val="center"/>
                </w:tcPr>
                <w:p w14:paraId="599467F9">
                  <w:pPr>
                    <w:widowControl/>
                    <w:adjustRightInd w:val="0"/>
                    <w:snapToGrid w:val="0"/>
                    <w:jc w:val="left"/>
                    <w:rPr>
                      <w:sz w:val="21"/>
                      <w:szCs w:val="18"/>
                      <w:highlight w:val="none"/>
                    </w:rPr>
                  </w:pPr>
                  <w:r>
                    <w:rPr>
                      <w:sz w:val="21"/>
                      <w:szCs w:val="18"/>
                      <w:highlight w:val="none"/>
                    </w:rPr>
                    <w:t>项目不涉及排放有毒有害污染物、二噁英、苯并芘[a]、氰化物、氯气。</w:t>
                  </w:r>
                </w:p>
              </w:tc>
              <w:tc>
                <w:tcPr>
                  <w:tcW w:w="472" w:type="pct"/>
                  <w:shd w:val="clear" w:color="auto" w:fill="auto"/>
                  <w:vAlign w:val="center"/>
                </w:tcPr>
                <w:p w14:paraId="54961A75">
                  <w:pPr>
                    <w:widowControl/>
                    <w:adjustRightInd w:val="0"/>
                    <w:snapToGrid w:val="0"/>
                    <w:jc w:val="center"/>
                    <w:rPr>
                      <w:sz w:val="21"/>
                      <w:szCs w:val="18"/>
                      <w:highlight w:val="none"/>
                    </w:rPr>
                  </w:pPr>
                  <w:r>
                    <w:rPr>
                      <w:sz w:val="21"/>
                      <w:szCs w:val="18"/>
                      <w:highlight w:val="none"/>
                    </w:rPr>
                    <w:t>否</w:t>
                  </w:r>
                </w:p>
              </w:tc>
            </w:tr>
            <w:tr w14:paraId="55515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shd w:val="clear" w:color="auto" w:fill="auto"/>
                  <w:vAlign w:val="center"/>
                </w:tcPr>
                <w:p w14:paraId="7A32149C">
                  <w:pPr>
                    <w:widowControl/>
                    <w:adjustRightInd w:val="0"/>
                    <w:snapToGrid w:val="0"/>
                    <w:jc w:val="center"/>
                    <w:rPr>
                      <w:sz w:val="21"/>
                      <w:szCs w:val="18"/>
                      <w:highlight w:val="none"/>
                    </w:rPr>
                  </w:pPr>
                  <w:r>
                    <w:rPr>
                      <w:sz w:val="21"/>
                      <w:szCs w:val="18"/>
                      <w:highlight w:val="none"/>
                    </w:rPr>
                    <w:t>地表水</w:t>
                  </w:r>
                </w:p>
              </w:tc>
              <w:tc>
                <w:tcPr>
                  <w:tcW w:w="2679" w:type="pct"/>
                  <w:shd w:val="clear" w:color="auto" w:fill="auto"/>
                  <w:vAlign w:val="center"/>
                </w:tcPr>
                <w:p w14:paraId="64C0F9DB">
                  <w:pPr>
                    <w:widowControl/>
                    <w:adjustRightInd w:val="0"/>
                    <w:snapToGrid w:val="0"/>
                    <w:jc w:val="left"/>
                    <w:rPr>
                      <w:sz w:val="21"/>
                      <w:szCs w:val="18"/>
                      <w:highlight w:val="none"/>
                    </w:rPr>
                  </w:pPr>
                  <w:r>
                    <w:rPr>
                      <w:sz w:val="21"/>
                      <w:szCs w:val="18"/>
                      <w:highlight w:val="none"/>
                    </w:rPr>
                    <w:t>新增</w:t>
                  </w:r>
                  <w:r>
                    <w:rPr>
                      <w:rFonts w:hint="eastAsia"/>
                      <w:sz w:val="21"/>
                      <w:szCs w:val="18"/>
                      <w:highlight w:val="none"/>
                    </w:rPr>
                    <w:t>工业</w:t>
                  </w:r>
                  <w:r>
                    <w:rPr>
                      <w:sz w:val="21"/>
                      <w:szCs w:val="18"/>
                      <w:highlight w:val="none"/>
                    </w:rPr>
                    <w:t>废水直排建设项目（槽罐车外送污水处理厂的除外）；新增废水直排的污水集中处理厂。</w:t>
                  </w:r>
                </w:p>
              </w:tc>
              <w:tc>
                <w:tcPr>
                  <w:tcW w:w="1377" w:type="pct"/>
                  <w:shd w:val="clear" w:color="auto" w:fill="auto"/>
                  <w:vAlign w:val="center"/>
                </w:tcPr>
                <w:p w14:paraId="64C8D723">
                  <w:pPr>
                    <w:widowControl/>
                    <w:adjustRightInd w:val="0"/>
                    <w:snapToGrid w:val="0"/>
                    <w:jc w:val="left"/>
                    <w:rPr>
                      <w:sz w:val="21"/>
                      <w:szCs w:val="18"/>
                      <w:highlight w:val="none"/>
                    </w:rPr>
                  </w:pPr>
                  <w:r>
                    <w:rPr>
                      <w:sz w:val="21"/>
                      <w:szCs w:val="18"/>
                      <w:highlight w:val="none"/>
                    </w:rPr>
                    <w:t>项目废水不直接排入外环境。</w:t>
                  </w:r>
                </w:p>
              </w:tc>
              <w:tc>
                <w:tcPr>
                  <w:tcW w:w="472" w:type="pct"/>
                  <w:shd w:val="clear" w:color="auto" w:fill="auto"/>
                  <w:vAlign w:val="center"/>
                </w:tcPr>
                <w:p w14:paraId="5D4F4853">
                  <w:pPr>
                    <w:widowControl/>
                    <w:adjustRightInd w:val="0"/>
                    <w:snapToGrid w:val="0"/>
                    <w:jc w:val="center"/>
                    <w:rPr>
                      <w:sz w:val="21"/>
                      <w:szCs w:val="18"/>
                      <w:highlight w:val="none"/>
                    </w:rPr>
                  </w:pPr>
                  <w:r>
                    <w:rPr>
                      <w:sz w:val="21"/>
                      <w:szCs w:val="18"/>
                      <w:highlight w:val="none"/>
                    </w:rPr>
                    <w:t>否</w:t>
                  </w:r>
                </w:p>
              </w:tc>
            </w:tr>
            <w:tr w14:paraId="68D43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shd w:val="clear" w:color="auto" w:fill="auto"/>
                  <w:vAlign w:val="center"/>
                </w:tcPr>
                <w:p w14:paraId="22A171B8">
                  <w:pPr>
                    <w:widowControl/>
                    <w:adjustRightInd w:val="0"/>
                    <w:snapToGrid w:val="0"/>
                    <w:jc w:val="center"/>
                    <w:rPr>
                      <w:sz w:val="21"/>
                      <w:szCs w:val="18"/>
                      <w:highlight w:val="none"/>
                    </w:rPr>
                  </w:pPr>
                  <w:r>
                    <w:rPr>
                      <w:sz w:val="21"/>
                      <w:szCs w:val="18"/>
                      <w:highlight w:val="none"/>
                    </w:rPr>
                    <w:t>环境风险</w:t>
                  </w:r>
                </w:p>
              </w:tc>
              <w:tc>
                <w:tcPr>
                  <w:tcW w:w="2679" w:type="pct"/>
                  <w:shd w:val="clear" w:color="auto" w:fill="auto"/>
                  <w:vAlign w:val="center"/>
                </w:tcPr>
                <w:p w14:paraId="7DCB9E09">
                  <w:pPr>
                    <w:widowControl/>
                    <w:adjustRightInd w:val="0"/>
                    <w:snapToGrid w:val="0"/>
                    <w:jc w:val="left"/>
                    <w:rPr>
                      <w:sz w:val="21"/>
                      <w:szCs w:val="18"/>
                      <w:highlight w:val="none"/>
                    </w:rPr>
                  </w:pPr>
                  <w:r>
                    <w:rPr>
                      <w:sz w:val="21"/>
                      <w:szCs w:val="18"/>
                      <w:highlight w:val="none"/>
                    </w:rPr>
                    <w:t>有毒有害和易燃易爆危险物质存储量超过临界量的建设项目。</w:t>
                  </w:r>
                </w:p>
              </w:tc>
              <w:tc>
                <w:tcPr>
                  <w:tcW w:w="1377" w:type="pct"/>
                  <w:shd w:val="clear" w:color="auto" w:fill="auto"/>
                  <w:vAlign w:val="center"/>
                </w:tcPr>
                <w:p w14:paraId="53A5F664">
                  <w:pPr>
                    <w:widowControl/>
                    <w:adjustRightInd w:val="0"/>
                    <w:snapToGrid w:val="0"/>
                    <w:jc w:val="left"/>
                    <w:rPr>
                      <w:sz w:val="21"/>
                      <w:szCs w:val="18"/>
                      <w:highlight w:val="none"/>
                    </w:rPr>
                  </w:pPr>
                  <w:r>
                    <w:rPr>
                      <w:sz w:val="21"/>
                      <w:szCs w:val="18"/>
                      <w:highlight w:val="none"/>
                    </w:rPr>
                    <w:t>项目涉及的环境风险物质存储量未超过临界量。</w:t>
                  </w:r>
                </w:p>
              </w:tc>
              <w:tc>
                <w:tcPr>
                  <w:tcW w:w="472" w:type="pct"/>
                  <w:shd w:val="clear" w:color="auto" w:fill="auto"/>
                  <w:vAlign w:val="center"/>
                </w:tcPr>
                <w:p w14:paraId="0CB7B6A9">
                  <w:pPr>
                    <w:widowControl/>
                    <w:adjustRightInd w:val="0"/>
                    <w:snapToGrid w:val="0"/>
                    <w:jc w:val="center"/>
                    <w:rPr>
                      <w:sz w:val="21"/>
                      <w:szCs w:val="18"/>
                      <w:highlight w:val="none"/>
                    </w:rPr>
                  </w:pPr>
                  <w:r>
                    <w:rPr>
                      <w:sz w:val="21"/>
                      <w:szCs w:val="18"/>
                      <w:highlight w:val="none"/>
                    </w:rPr>
                    <w:t>否</w:t>
                  </w:r>
                </w:p>
              </w:tc>
            </w:tr>
            <w:tr w14:paraId="41853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shd w:val="clear" w:color="auto" w:fill="auto"/>
                  <w:vAlign w:val="center"/>
                </w:tcPr>
                <w:p w14:paraId="0E01631C">
                  <w:pPr>
                    <w:widowControl/>
                    <w:adjustRightInd w:val="0"/>
                    <w:snapToGrid w:val="0"/>
                    <w:jc w:val="center"/>
                    <w:rPr>
                      <w:sz w:val="21"/>
                      <w:szCs w:val="18"/>
                      <w:highlight w:val="none"/>
                    </w:rPr>
                  </w:pPr>
                  <w:r>
                    <w:rPr>
                      <w:sz w:val="21"/>
                      <w:szCs w:val="18"/>
                      <w:highlight w:val="none"/>
                    </w:rPr>
                    <w:t>生态</w:t>
                  </w:r>
                </w:p>
              </w:tc>
              <w:tc>
                <w:tcPr>
                  <w:tcW w:w="2679" w:type="pct"/>
                  <w:shd w:val="clear" w:color="auto" w:fill="auto"/>
                  <w:vAlign w:val="center"/>
                </w:tcPr>
                <w:p w14:paraId="1554C550">
                  <w:pPr>
                    <w:widowControl/>
                    <w:adjustRightInd w:val="0"/>
                    <w:snapToGrid w:val="0"/>
                    <w:jc w:val="left"/>
                    <w:rPr>
                      <w:sz w:val="21"/>
                      <w:szCs w:val="18"/>
                      <w:highlight w:val="none"/>
                    </w:rPr>
                  </w:pPr>
                  <w:r>
                    <w:rPr>
                      <w:sz w:val="21"/>
                      <w:szCs w:val="18"/>
                      <w:highlight w:val="none"/>
                    </w:rPr>
                    <w:t>取水口下游500米范围内有重要水生生物的自然产卵场、索饵场、越冬场和洄游通道的新增河道取水的污染类建设项目。</w:t>
                  </w:r>
                </w:p>
              </w:tc>
              <w:tc>
                <w:tcPr>
                  <w:tcW w:w="1377" w:type="pct"/>
                  <w:shd w:val="clear" w:color="auto" w:fill="auto"/>
                  <w:vAlign w:val="center"/>
                </w:tcPr>
                <w:p w14:paraId="50942425">
                  <w:pPr>
                    <w:widowControl/>
                    <w:adjustRightInd w:val="0"/>
                    <w:snapToGrid w:val="0"/>
                    <w:jc w:val="left"/>
                    <w:rPr>
                      <w:sz w:val="21"/>
                      <w:szCs w:val="18"/>
                      <w:highlight w:val="none"/>
                    </w:rPr>
                  </w:pPr>
                  <w:r>
                    <w:rPr>
                      <w:sz w:val="21"/>
                      <w:szCs w:val="18"/>
                      <w:highlight w:val="none"/>
                    </w:rPr>
                    <w:t>项目用水由市政自来水管网供应。</w:t>
                  </w:r>
                </w:p>
              </w:tc>
              <w:tc>
                <w:tcPr>
                  <w:tcW w:w="472" w:type="pct"/>
                  <w:shd w:val="clear" w:color="auto" w:fill="auto"/>
                  <w:vAlign w:val="center"/>
                </w:tcPr>
                <w:p w14:paraId="79DF84AF">
                  <w:pPr>
                    <w:widowControl/>
                    <w:adjustRightInd w:val="0"/>
                    <w:snapToGrid w:val="0"/>
                    <w:jc w:val="center"/>
                    <w:rPr>
                      <w:sz w:val="21"/>
                      <w:szCs w:val="18"/>
                      <w:highlight w:val="none"/>
                    </w:rPr>
                  </w:pPr>
                  <w:r>
                    <w:rPr>
                      <w:sz w:val="21"/>
                      <w:szCs w:val="18"/>
                      <w:highlight w:val="none"/>
                    </w:rPr>
                    <w:t>否</w:t>
                  </w:r>
                </w:p>
              </w:tc>
            </w:tr>
            <w:tr w14:paraId="0EEBF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shd w:val="clear" w:color="auto" w:fill="auto"/>
                  <w:vAlign w:val="center"/>
                </w:tcPr>
                <w:p w14:paraId="55F129C7">
                  <w:pPr>
                    <w:widowControl/>
                    <w:adjustRightInd w:val="0"/>
                    <w:snapToGrid w:val="0"/>
                    <w:jc w:val="center"/>
                    <w:rPr>
                      <w:sz w:val="21"/>
                      <w:szCs w:val="18"/>
                      <w:highlight w:val="none"/>
                    </w:rPr>
                  </w:pPr>
                  <w:r>
                    <w:rPr>
                      <w:sz w:val="21"/>
                      <w:szCs w:val="18"/>
                      <w:highlight w:val="none"/>
                    </w:rPr>
                    <w:t>海洋</w:t>
                  </w:r>
                </w:p>
              </w:tc>
              <w:tc>
                <w:tcPr>
                  <w:tcW w:w="2679" w:type="pct"/>
                  <w:shd w:val="clear" w:color="auto" w:fill="auto"/>
                  <w:vAlign w:val="center"/>
                </w:tcPr>
                <w:p w14:paraId="7CFE0E5D">
                  <w:pPr>
                    <w:widowControl/>
                    <w:adjustRightInd w:val="0"/>
                    <w:snapToGrid w:val="0"/>
                    <w:jc w:val="left"/>
                    <w:rPr>
                      <w:sz w:val="21"/>
                      <w:szCs w:val="18"/>
                      <w:highlight w:val="none"/>
                    </w:rPr>
                  </w:pPr>
                  <w:r>
                    <w:rPr>
                      <w:sz w:val="21"/>
                      <w:szCs w:val="18"/>
                      <w:highlight w:val="none"/>
                    </w:rPr>
                    <w:t>直接向海排放污染物的海洋工程建设项目。</w:t>
                  </w:r>
                </w:p>
              </w:tc>
              <w:tc>
                <w:tcPr>
                  <w:tcW w:w="1377" w:type="pct"/>
                  <w:shd w:val="clear" w:color="auto" w:fill="auto"/>
                  <w:vAlign w:val="center"/>
                </w:tcPr>
                <w:p w14:paraId="2EC87664">
                  <w:pPr>
                    <w:widowControl/>
                    <w:adjustRightInd w:val="0"/>
                    <w:snapToGrid w:val="0"/>
                    <w:jc w:val="left"/>
                    <w:rPr>
                      <w:sz w:val="21"/>
                      <w:szCs w:val="18"/>
                      <w:highlight w:val="none"/>
                    </w:rPr>
                  </w:pPr>
                  <w:r>
                    <w:rPr>
                      <w:sz w:val="21"/>
                      <w:szCs w:val="18"/>
                      <w:highlight w:val="none"/>
                    </w:rPr>
                    <w:t>项目污水纳管排放，不直接排入海洋。</w:t>
                  </w:r>
                </w:p>
              </w:tc>
              <w:tc>
                <w:tcPr>
                  <w:tcW w:w="472" w:type="pct"/>
                  <w:shd w:val="clear" w:color="auto" w:fill="auto"/>
                  <w:vAlign w:val="center"/>
                </w:tcPr>
                <w:p w14:paraId="534CBAD7">
                  <w:pPr>
                    <w:widowControl/>
                    <w:adjustRightInd w:val="0"/>
                    <w:snapToGrid w:val="0"/>
                    <w:jc w:val="center"/>
                    <w:rPr>
                      <w:sz w:val="21"/>
                      <w:szCs w:val="18"/>
                      <w:highlight w:val="none"/>
                    </w:rPr>
                  </w:pPr>
                  <w:r>
                    <w:rPr>
                      <w:sz w:val="21"/>
                      <w:szCs w:val="18"/>
                      <w:highlight w:val="none"/>
                    </w:rPr>
                    <w:t>否</w:t>
                  </w:r>
                </w:p>
              </w:tc>
            </w:tr>
          </w:tbl>
          <w:p w14:paraId="3F72F15B">
            <w:pPr>
              <w:autoSpaceDE w:val="0"/>
              <w:autoSpaceDN w:val="0"/>
              <w:adjustRightInd w:val="0"/>
              <w:snapToGrid w:val="0"/>
              <w:jc w:val="center"/>
              <w:rPr>
                <w:color w:val="auto"/>
                <w:kern w:val="0"/>
                <w:szCs w:val="21"/>
                <w:highlight w:val="none"/>
              </w:rPr>
            </w:pPr>
          </w:p>
        </w:tc>
      </w:tr>
      <w:tr w14:paraId="307396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0" w:hRule="atLeast"/>
          <w:jc w:val="center"/>
        </w:trPr>
        <w:tc>
          <w:tcPr>
            <w:tcW w:w="1974" w:type="dxa"/>
            <w:gridSpan w:val="2"/>
            <w:vAlign w:val="center"/>
          </w:tcPr>
          <w:p w14:paraId="32974E88">
            <w:pPr>
              <w:autoSpaceDE w:val="0"/>
              <w:autoSpaceDN w:val="0"/>
              <w:adjustRightInd w:val="0"/>
              <w:snapToGrid w:val="0"/>
              <w:jc w:val="center"/>
              <w:rPr>
                <w:color w:val="auto"/>
                <w:kern w:val="0"/>
                <w:szCs w:val="21"/>
                <w:highlight w:val="none"/>
              </w:rPr>
            </w:pPr>
            <w:r>
              <w:rPr>
                <w:color w:val="auto"/>
                <w:szCs w:val="21"/>
                <w:highlight w:val="none"/>
              </w:rPr>
              <w:t>规划情况</w:t>
            </w:r>
          </w:p>
        </w:tc>
        <w:tc>
          <w:tcPr>
            <w:tcW w:w="7870" w:type="dxa"/>
            <w:gridSpan w:val="3"/>
            <w:vAlign w:val="center"/>
          </w:tcPr>
          <w:p w14:paraId="413EFFA5">
            <w:pPr>
              <w:autoSpaceDE w:val="0"/>
              <w:autoSpaceDN w:val="0"/>
              <w:adjustRightInd w:val="0"/>
              <w:snapToGrid w:val="0"/>
              <w:jc w:val="center"/>
              <w:rPr>
                <w:color w:val="auto"/>
                <w:kern w:val="0"/>
                <w:szCs w:val="21"/>
                <w:highlight w:val="none"/>
              </w:rPr>
            </w:pPr>
            <w:r>
              <w:rPr>
                <w:rFonts w:hint="eastAsia"/>
                <w:color w:val="auto"/>
                <w:kern w:val="0"/>
                <w:szCs w:val="21"/>
                <w:highlight w:val="none"/>
                <w:lang w:eastAsia="zh-CN"/>
              </w:rPr>
              <w:t>《福州市国土空间总体规划》（2021-2035）</w:t>
            </w:r>
          </w:p>
        </w:tc>
      </w:tr>
      <w:tr w14:paraId="7389B4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2" w:hRule="atLeast"/>
          <w:jc w:val="center"/>
        </w:trPr>
        <w:tc>
          <w:tcPr>
            <w:tcW w:w="1974" w:type="dxa"/>
            <w:gridSpan w:val="2"/>
            <w:vAlign w:val="center"/>
          </w:tcPr>
          <w:p w14:paraId="0D787D8C">
            <w:pPr>
              <w:adjustRightInd w:val="0"/>
              <w:snapToGrid w:val="0"/>
              <w:jc w:val="center"/>
              <w:rPr>
                <w:color w:val="auto"/>
                <w:szCs w:val="21"/>
                <w:highlight w:val="none"/>
              </w:rPr>
            </w:pPr>
            <w:r>
              <w:rPr>
                <w:color w:val="auto"/>
                <w:szCs w:val="21"/>
                <w:highlight w:val="none"/>
              </w:rPr>
              <w:t>规划环境影响</w:t>
            </w:r>
          </w:p>
          <w:p w14:paraId="0B6DD443">
            <w:pPr>
              <w:adjustRightInd w:val="0"/>
              <w:snapToGrid w:val="0"/>
              <w:jc w:val="center"/>
              <w:rPr>
                <w:color w:val="auto"/>
                <w:kern w:val="0"/>
                <w:szCs w:val="21"/>
                <w:highlight w:val="none"/>
              </w:rPr>
            </w:pPr>
            <w:r>
              <w:rPr>
                <w:color w:val="auto"/>
                <w:szCs w:val="21"/>
                <w:highlight w:val="none"/>
              </w:rPr>
              <w:t>评价情况</w:t>
            </w:r>
          </w:p>
        </w:tc>
        <w:tc>
          <w:tcPr>
            <w:tcW w:w="7870" w:type="dxa"/>
            <w:gridSpan w:val="3"/>
            <w:vAlign w:val="center"/>
          </w:tcPr>
          <w:p w14:paraId="0F247600">
            <w:pPr>
              <w:autoSpaceDE w:val="0"/>
              <w:autoSpaceDN w:val="0"/>
              <w:adjustRightInd w:val="0"/>
              <w:snapToGrid w:val="0"/>
              <w:jc w:val="center"/>
              <w:rPr>
                <w:color w:val="auto"/>
                <w:kern w:val="0"/>
                <w:szCs w:val="21"/>
                <w:highlight w:val="none"/>
              </w:rPr>
            </w:pPr>
            <w:r>
              <w:rPr>
                <w:color w:val="auto"/>
                <w:kern w:val="0"/>
                <w:highlight w:val="none"/>
              </w:rPr>
              <w:t>无</w:t>
            </w:r>
          </w:p>
        </w:tc>
      </w:tr>
      <w:tr w14:paraId="12499F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74" w:type="dxa"/>
            <w:gridSpan w:val="2"/>
            <w:vAlign w:val="center"/>
          </w:tcPr>
          <w:p w14:paraId="4BB53839">
            <w:pPr>
              <w:autoSpaceDE w:val="0"/>
              <w:autoSpaceDN w:val="0"/>
              <w:adjustRightInd w:val="0"/>
              <w:snapToGrid w:val="0"/>
              <w:jc w:val="center"/>
              <w:rPr>
                <w:color w:val="auto"/>
                <w:kern w:val="0"/>
                <w:szCs w:val="21"/>
                <w:highlight w:val="none"/>
              </w:rPr>
            </w:pPr>
            <w:r>
              <w:rPr>
                <w:color w:val="auto"/>
                <w:kern w:val="0"/>
                <w:szCs w:val="21"/>
                <w:highlight w:val="none"/>
              </w:rPr>
              <w:t>规划及规划环境影响评价符合性分析</w:t>
            </w:r>
          </w:p>
        </w:tc>
        <w:tc>
          <w:tcPr>
            <w:tcW w:w="7870" w:type="dxa"/>
            <w:gridSpan w:val="3"/>
            <w:vAlign w:val="center"/>
          </w:tcPr>
          <w:p w14:paraId="52E97263">
            <w:pPr>
              <w:autoSpaceDE w:val="0"/>
              <w:autoSpaceDN w:val="0"/>
              <w:adjustRightInd w:val="0"/>
              <w:snapToGrid w:val="0"/>
              <w:jc w:val="center"/>
              <w:rPr>
                <w:color w:val="auto"/>
                <w:kern w:val="0"/>
                <w:szCs w:val="21"/>
                <w:highlight w:val="none"/>
              </w:rPr>
            </w:pPr>
            <w:r>
              <w:rPr>
                <w:color w:val="auto"/>
                <w:kern w:val="0"/>
                <w:highlight w:val="none"/>
              </w:rPr>
              <w:t>无</w:t>
            </w:r>
          </w:p>
        </w:tc>
      </w:tr>
      <w:tr w14:paraId="1722A0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46" w:hRule="atLeast"/>
          <w:jc w:val="center"/>
        </w:trPr>
        <w:tc>
          <w:tcPr>
            <w:tcW w:w="1287" w:type="dxa"/>
            <w:vAlign w:val="center"/>
          </w:tcPr>
          <w:p w14:paraId="596F3CFD">
            <w:pPr>
              <w:autoSpaceDE w:val="0"/>
              <w:autoSpaceDN w:val="0"/>
              <w:adjustRightInd w:val="0"/>
              <w:snapToGrid w:val="0"/>
              <w:jc w:val="center"/>
              <w:rPr>
                <w:color w:val="auto"/>
                <w:kern w:val="0"/>
                <w:szCs w:val="21"/>
                <w:highlight w:val="none"/>
              </w:rPr>
            </w:pPr>
            <w:r>
              <w:rPr>
                <w:color w:val="auto"/>
                <w:kern w:val="0"/>
                <w:szCs w:val="21"/>
                <w:highlight w:val="none"/>
                <w:shd w:val="clear"/>
              </w:rPr>
              <w:t>其他符合性分析</w:t>
            </w:r>
          </w:p>
        </w:tc>
        <w:tc>
          <w:tcPr>
            <w:tcW w:w="8557" w:type="dxa"/>
            <w:gridSpan w:val="4"/>
            <w:vAlign w:val="center"/>
          </w:tcPr>
          <w:p w14:paraId="0022BB30">
            <w:pPr>
              <w:pStyle w:val="3"/>
              <w:bidi w:val="0"/>
            </w:pPr>
            <w:bookmarkStart w:id="12" w:name="_Toc4972"/>
            <w:bookmarkStart w:id="13" w:name="_Toc32357"/>
            <w:bookmarkStart w:id="14" w:name="_Toc16805"/>
            <w:bookmarkStart w:id="15" w:name="_Toc133251528"/>
            <w:bookmarkStart w:id="16" w:name="_Toc106_WPSOffice_Level2"/>
            <w:bookmarkStart w:id="17" w:name="_Toc21232"/>
            <w:bookmarkStart w:id="18" w:name="_Toc31117"/>
            <w:r>
              <w:t>项目选址符合性分析</w:t>
            </w:r>
            <w:bookmarkEnd w:id="12"/>
            <w:bookmarkEnd w:id="13"/>
            <w:bookmarkEnd w:id="14"/>
            <w:bookmarkEnd w:id="15"/>
          </w:p>
          <w:p w14:paraId="40DBF61B">
            <w:pPr>
              <w:pStyle w:val="157"/>
              <w:ind w:firstLine="480"/>
              <w:rPr>
                <w:rFonts w:hint="eastAsia" w:ascii="Times New Roman" w:hAnsi="Times New Roman" w:eastAsia="宋体" w:cs="Times New Roman"/>
                <w:color w:val="auto"/>
                <w:highlight w:val="none"/>
                <w:lang w:eastAsia="zh-CN"/>
              </w:rPr>
            </w:pPr>
            <w:r>
              <w:rPr>
                <w:rFonts w:hint="eastAsia" w:ascii="Times New Roman" w:hAnsi="宋体" w:eastAsia="宋体" w:cs="Times New Roman"/>
                <w:color w:val="auto"/>
                <w:highlight w:val="none"/>
                <w:lang w:val="en-US" w:eastAsia="zh-CN"/>
              </w:rPr>
              <w:t>项目选址</w:t>
            </w:r>
            <w:r>
              <w:rPr>
                <w:rFonts w:ascii="Times New Roman" w:hAnsi="宋体" w:eastAsia="宋体" w:cs="Times New Roman"/>
                <w:color w:val="auto"/>
                <w:highlight w:val="none"/>
              </w:rPr>
              <w:t>于</w:t>
            </w:r>
            <w:r>
              <w:rPr>
                <w:color w:val="auto"/>
                <w:highlight w:val="none"/>
              </w:rPr>
              <w:fldChar w:fldCharType="begin"/>
            </w:r>
            <w:r>
              <w:rPr>
                <w:color w:val="auto"/>
                <w:highlight w:val="none"/>
              </w:rPr>
              <w:instrText xml:space="preserve"> REF 项目地址 \h  \* MERGEFORMAT </w:instrText>
            </w:r>
            <w:r>
              <w:rPr>
                <w:color w:val="auto"/>
                <w:highlight w:val="none"/>
              </w:rPr>
              <w:fldChar w:fldCharType="separate"/>
            </w:r>
            <w:r>
              <w:rPr>
                <w:rFonts w:hint="eastAsia" w:ascii="Times New Roman" w:hAnsi="宋体" w:eastAsia="宋体" w:cs="Times New Roman"/>
                <w:color w:val="auto"/>
                <w:szCs w:val="21"/>
                <w:highlight w:val="none"/>
                <w:lang w:eastAsia="zh-CN"/>
              </w:rPr>
              <w:t>福建省福州市晋安区玉井路99号蓝光公馆8#楼1层20商业（餐饮）</w:t>
            </w:r>
            <w:r>
              <w:rPr>
                <w:rFonts w:hint="eastAsia" w:ascii="Times New Roman" w:hAnsi="宋体" w:eastAsia="宋体" w:cs="Times New Roman"/>
                <w:color w:val="auto"/>
                <w:szCs w:val="21"/>
                <w:highlight w:val="none"/>
              </w:rPr>
              <w:fldChar w:fldCharType="end"/>
            </w:r>
            <w:r>
              <w:rPr>
                <w:rFonts w:ascii="Times New Roman" w:hAnsi="宋体" w:eastAsia="宋体" w:cs="Times New Roman"/>
                <w:color w:val="auto"/>
                <w:highlight w:val="none"/>
              </w:rPr>
              <w:t>，</w:t>
            </w:r>
            <w:r>
              <w:rPr>
                <w:rFonts w:ascii="Times New Roman" w:hAnsi="Times New Roman" w:eastAsia="宋体" w:cs="Times New Roman"/>
                <w:color w:val="auto"/>
                <w:highlight w:val="none"/>
              </w:rPr>
              <w:t>项目</w:t>
            </w:r>
            <w:r>
              <w:rPr>
                <w:rFonts w:hint="eastAsia" w:ascii="Times New Roman" w:hAnsi="Times New Roman" w:eastAsia="宋体" w:cs="Times New Roman"/>
                <w:color w:val="auto"/>
                <w:highlight w:val="none"/>
                <w:lang w:val="en-US" w:eastAsia="zh-CN"/>
              </w:rPr>
              <w:t>北侧、南</w:t>
            </w:r>
            <w:r>
              <w:rPr>
                <w:rFonts w:hint="eastAsia" w:ascii="Times New Roman" w:hAnsi="Times New Roman" w:eastAsia="宋体" w:cs="Times New Roman"/>
                <w:color w:val="auto"/>
                <w:highlight w:val="none"/>
              </w:rPr>
              <w:t>侧</w:t>
            </w:r>
            <w:r>
              <w:rPr>
                <w:rFonts w:hint="eastAsia" w:ascii="Times New Roman" w:hAnsi="Times New Roman" w:eastAsia="宋体" w:cs="Times New Roman"/>
                <w:color w:val="auto"/>
                <w:highlight w:val="none"/>
                <w:lang w:val="en-US" w:eastAsia="zh-CN"/>
              </w:rPr>
              <w:t>、东侧均为蓝光星珀小区，西</w:t>
            </w:r>
            <w:r>
              <w:rPr>
                <w:rFonts w:ascii="Times New Roman" w:hAnsi="Times New Roman" w:eastAsia="宋体" w:cs="Times New Roman"/>
                <w:color w:val="auto"/>
                <w:highlight w:val="none"/>
              </w:rPr>
              <w:t>侧</w:t>
            </w:r>
            <w:r>
              <w:rPr>
                <w:rFonts w:hint="eastAsia" w:ascii="Times New Roman" w:hAnsi="Times New Roman" w:eastAsia="宋体" w:cs="Times New Roman"/>
                <w:color w:val="auto"/>
                <w:highlight w:val="none"/>
                <w:lang w:val="en-US" w:eastAsia="zh-CN"/>
              </w:rPr>
              <w:t>33m为前横路</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交通便利。根据</w:t>
            </w:r>
            <w:r>
              <w:rPr>
                <w:rFonts w:hint="eastAsia" w:ascii="Times New Roman" w:hAnsi="Times New Roman" w:eastAsia="宋体" w:cs="Times New Roman"/>
                <w:color w:val="auto"/>
                <w:highlight w:val="none"/>
                <w:lang w:val="en-US" w:eastAsia="zh-CN"/>
              </w:rPr>
              <w:t>项目房权证</w:t>
            </w:r>
            <w:r>
              <w:rPr>
                <w:rFonts w:hint="eastAsia" w:ascii="Times New Roman" w:hAnsi="Times New Roman" w:eastAsia="宋体" w:cs="Times New Roman"/>
                <w:color w:val="auto"/>
                <w:highlight w:val="none"/>
              </w:rPr>
              <w:t>（附件</w:t>
            </w:r>
            <w:r>
              <w:rPr>
                <w:rFonts w:hint="eastAsia" w:ascii="Times New Roman" w:hAnsi="Times New Roman" w:eastAsia="宋体" w:cs="Times New Roman"/>
                <w:color w:val="auto"/>
                <w:highlight w:val="none"/>
                <w:lang w:val="en-US" w:eastAsia="zh-CN"/>
              </w:rPr>
              <w:t>4</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，同时根据《福州市城市总体规划图》</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项目用地性质为商业用地（附图</w:t>
            </w:r>
            <w:r>
              <w:rPr>
                <w:rFonts w:hint="eastAsia" w:ascii="Times New Roman" w:hAnsi="Times New Roman" w:eastAsia="宋体" w:cs="Times New Roman"/>
                <w:color w:val="auto"/>
                <w:highlight w:val="none"/>
                <w:lang w:val="en-US" w:eastAsia="zh-CN"/>
              </w:rPr>
              <w:t>4</w:t>
            </w:r>
            <w:r>
              <w:rPr>
                <w:rFonts w:ascii="Times New Roman" w:hAnsi="Times New Roman" w:eastAsia="宋体" w:cs="Times New Roman"/>
                <w:color w:val="auto"/>
                <w:highlight w:val="none"/>
              </w:rPr>
              <w:t>），符合规划，与周边环境相容性较好</w:t>
            </w:r>
            <w:r>
              <w:rPr>
                <w:rFonts w:hint="eastAsia" w:ascii="Times New Roman" w:hAnsi="Times New Roman" w:eastAsia="宋体" w:cs="Times New Roman"/>
                <w:color w:val="auto"/>
                <w:highlight w:val="none"/>
                <w:lang w:eastAsia="zh-CN"/>
              </w:rPr>
              <w:t>。</w:t>
            </w:r>
          </w:p>
          <w:p w14:paraId="4F50C2D8">
            <w:pPr>
              <w:pStyle w:val="157"/>
              <w:ind w:firstLine="480"/>
              <w:rPr>
                <w:rFonts w:ascii="Times New Roman" w:hAnsi="Times New Roman" w:eastAsia="宋体" w:cs="Times New Roman"/>
                <w:color w:val="auto"/>
                <w:highlight w:val="none"/>
              </w:rPr>
            </w:pPr>
            <w:r>
              <w:rPr>
                <w:rFonts w:ascii="Times New Roman" w:hAnsi="Times New Roman" w:eastAsia="宋体" w:cs="Times New Roman"/>
                <w:color w:val="auto"/>
                <w:highlight w:val="none"/>
              </w:rPr>
              <w:t>综上</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从功能区划、环境相容性和环境适应性等方面分析，项目选址可行</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项目选址基本符合福州市城市总体规划的要求。</w:t>
            </w:r>
          </w:p>
          <w:bookmarkEnd w:id="16"/>
          <w:bookmarkEnd w:id="17"/>
          <w:bookmarkEnd w:id="18"/>
          <w:p w14:paraId="183DD125">
            <w:pPr>
              <w:pStyle w:val="3"/>
              <w:rPr>
                <w:color w:val="auto"/>
                <w:highlight w:val="none"/>
              </w:rPr>
            </w:pPr>
            <w:bookmarkStart w:id="19" w:name="_Toc133251530"/>
            <w:bookmarkStart w:id="20" w:name="_Toc13987"/>
            <w:bookmarkStart w:id="21" w:name="_Toc31582"/>
            <w:bookmarkStart w:id="22" w:name="_Toc1344"/>
            <w:bookmarkStart w:id="23" w:name="_Toc22235_WPSOffice_Level2"/>
            <w:bookmarkStart w:id="24" w:name="_Toc5655"/>
            <w:bookmarkStart w:id="25" w:name="_Toc32685"/>
            <w:bookmarkStart w:id="26" w:name="_Toc24397"/>
            <w:bookmarkStart w:id="27" w:name="_Toc28782"/>
            <w:bookmarkStart w:id="28" w:name="_Toc28876"/>
            <w:bookmarkStart w:id="29" w:name="_Toc8383"/>
            <w:r>
              <w:rPr>
                <w:color w:val="auto"/>
                <w:highlight w:val="none"/>
              </w:rPr>
              <w:t>产业政策符合性分析</w:t>
            </w:r>
            <w:bookmarkEnd w:id="19"/>
          </w:p>
          <w:bookmarkEnd w:id="20"/>
          <w:bookmarkEnd w:id="21"/>
          <w:p w14:paraId="48D1E90B">
            <w:pPr>
              <w:widowControl/>
              <w:snapToGrid w:val="0"/>
              <w:spacing w:line="360" w:lineRule="auto"/>
              <w:ind w:firstLine="480" w:firstLineChars="200"/>
              <w:rPr>
                <w:bCs/>
                <w:color w:val="auto"/>
                <w:szCs w:val="32"/>
                <w:highlight w:val="none"/>
              </w:rPr>
            </w:pPr>
            <w:r>
              <w:rPr>
                <w:bCs/>
                <w:color w:val="auto"/>
                <w:szCs w:val="32"/>
                <w:highlight w:val="none"/>
              </w:rPr>
              <w:t>项目主要从事</w:t>
            </w:r>
            <w:r>
              <w:rPr>
                <w:rFonts w:hint="eastAsia"/>
                <w:bCs/>
                <w:color w:val="auto"/>
                <w:kern w:val="0"/>
                <w:highlight w:val="none"/>
                <w:lang w:eastAsia="zh-CN"/>
              </w:rPr>
              <w:t>宠物疾病预防</w:t>
            </w:r>
            <w:r>
              <w:rPr>
                <w:rFonts w:hint="eastAsia"/>
                <w:bCs/>
                <w:color w:val="auto"/>
                <w:kern w:val="0"/>
                <w:highlight w:val="none"/>
                <w:lang w:val="en-US" w:eastAsia="zh-CN"/>
              </w:rPr>
              <w:t>、</w:t>
            </w:r>
            <w:r>
              <w:rPr>
                <w:rFonts w:hint="eastAsia"/>
                <w:bCs/>
                <w:color w:val="auto"/>
                <w:kern w:val="0"/>
                <w:highlight w:val="none"/>
                <w:lang w:eastAsia="zh-CN"/>
              </w:rPr>
              <w:t>诊治</w:t>
            </w:r>
            <w:r>
              <w:rPr>
                <w:rFonts w:hint="eastAsia"/>
                <w:bCs/>
                <w:color w:val="auto"/>
                <w:kern w:val="0"/>
                <w:highlight w:val="none"/>
                <w:lang w:val="en-US" w:eastAsia="zh-CN"/>
              </w:rPr>
              <w:t>和手术，宠物美容</w:t>
            </w:r>
            <w:r>
              <w:rPr>
                <w:bCs/>
                <w:color w:val="auto"/>
                <w:kern w:val="0"/>
                <w:highlight w:val="none"/>
              </w:rPr>
              <w:t>和宠物用品销售等服务</w:t>
            </w:r>
            <w:r>
              <w:rPr>
                <w:bCs/>
                <w:color w:val="auto"/>
                <w:szCs w:val="32"/>
                <w:highlight w:val="none"/>
              </w:rPr>
              <w:t>，</w:t>
            </w:r>
            <w:r>
              <w:rPr>
                <w:rFonts w:ascii="Times New Roman" w:hAnsi="Times New Roman" w:eastAsia="宋体" w:cs="Times New Roman"/>
                <w:color w:val="auto"/>
                <w:highlight w:val="none"/>
              </w:rPr>
              <w:t>根据《国民经济行业分类》（GB/T4754-2017），项目属于O82其他服务业、8222宠物医院服务</w:t>
            </w:r>
            <w:r>
              <w:rPr>
                <w:rFonts w:hint="eastAsia" w:ascii="Times New Roman" w:hAnsi="Times New Roman" w:eastAsia="宋体" w:cs="Times New Roman"/>
                <w:color w:val="auto"/>
                <w:highlight w:val="none"/>
                <w:lang w:eastAsia="zh-CN"/>
              </w:rPr>
              <w:t>，</w:t>
            </w:r>
            <w:r>
              <w:rPr>
                <w:bCs/>
                <w:color w:val="auto"/>
                <w:szCs w:val="32"/>
                <w:highlight w:val="none"/>
              </w:rPr>
              <w:t>不属于</w:t>
            </w:r>
            <w:r>
              <w:rPr>
                <w:rFonts w:hint="eastAsia"/>
                <w:bCs/>
                <w:color w:val="auto"/>
                <w:szCs w:val="32"/>
                <w:highlight w:val="none"/>
              </w:rPr>
              <w:t>《产业结构调整指导目录（2024 年本）》</w:t>
            </w:r>
            <w:r>
              <w:rPr>
                <w:bCs/>
                <w:color w:val="auto"/>
                <w:szCs w:val="32"/>
                <w:highlight w:val="none"/>
              </w:rPr>
              <w:t>中</w:t>
            </w:r>
            <w:r>
              <w:rPr>
                <w:rFonts w:hint="eastAsia"/>
                <w:bCs/>
                <w:color w:val="auto"/>
                <w:szCs w:val="32"/>
                <w:highlight w:val="none"/>
                <w:lang w:eastAsia="zh-CN"/>
              </w:rPr>
              <w:t>“</w:t>
            </w:r>
            <w:r>
              <w:rPr>
                <w:bCs/>
                <w:color w:val="auto"/>
                <w:szCs w:val="32"/>
                <w:highlight w:val="none"/>
              </w:rPr>
              <w:t>限制类</w:t>
            </w:r>
            <w:r>
              <w:rPr>
                <w:rFonts w:hint="eastAsia"/>
                <w:bCs/>
                <w:color w:val="auto"/>
                <w:szCs w:val="32"/>
                <w:highlight w:val="none"/>
                <w:lang w:eastAsia="zh-CN"/>
              </w:rPr>
              <w:t>”“</w:t>
            </w:r>
            <w:r>
              <w:rPr>
                <w:bCs/>
                <w:color w:val="auto"/>
                <w:szCs w:val="32"/>
                <w:highlight w:val="none"/>
              </w:rPr>
              <w:t>淘汰类</w:t>
            </w:r>
            <w:r>
              <w:rPr>
                <w:rFonts w:hint="eastAsia"/>
                <w:bCs/>
                <w:color w:val="auto"/>
                <w:szCs w:val="32"/>
                <w:highlight w:val="none"/>
                <w:lang w:eastAsia="zh-CN"/>
              </w:rPr>
              <w:t>”</w:t>
            </w:r>
            <w:r>
              <w:rPr>
                <w:bCs/>
                <w:color w:val="auto"/>
                <w:szCs w:val="32"/>
                <w:highlight w:val="none"/>
              </w:rPr>
              <w:t>，</w:t>
            </w:r>
            <w:r>
              <w:rPr>
                <w:rFonts w:hint="default" w:cs="Times New Roman"/>
                <w:color w:val="auto"/>
                <w:highlight w:val="none"/>
              </w:rPr>
              <w:t>属于</w:t>
            </w:r>
            <w:r>
              <w:rPr>
                <w:rFonts w:hint="eastAsia" w:cs="Times New Roman"/>
                <w:color w:val="auto"/>
                <w:highlight w:val="none"/>
                <w:lang w:val="en-US" w:eastAsia="zh-CN"/>
              </w:rPr>
              <w:t>允许类项目</w:t>
            </w:r>
            <w:r>
              <w:rPr>
                <w:rFonts w:hint="eastAsia"/>
                <w:bCs/>
                <w:color w:val="auto"/>
                <w:szCs w:val="32"/>
                <w:highlight w:val="none"/>
                <w:lang w:eastAsia="zh-CN"/>
              </w:rPr>
              <w:t>。</w:t>
            </w:r>
            <w:r>
              <w:rPr>
                <w:bCs/>
                <w:color w:val="auto"/>
                <w:szCs w:val="32"/>
                <w:highlight w:val="none"/>
              </w:rPr>
              <w:t>检索《限制用地项目目录》（2012年本）和《禁止用地项目目录》（2012年本），不属于以上目录中的项目。</w:t>
            </w:r>
          </w:p>
          <w:p w14:paraId="75600F4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bCs/>
                <w:color w:val="auto"/>
                <w:szCs w:val="32"/>
                <w:highlight w:val="none"/>
              </w:rPr>
            </w:pPr>
            <w:r>
              <w:rPr>
                <w:bCs/>
                <w:color w:val="auto"/>
                <w:szCs w:val="32"/>
                <w:highlight w:val="none"/>
              </w:rPr>
              <w:t>综上，项目建设符合国家当前的产业政策要求。</w:t>
            </w:r>
          </w:p>
          <w:p w14:paraId="3D1A4906">
            <w:pPr>
              <w:pStyle w:val="3"/>
              <w:rPr>
                <w:b/>
                <w:color w:val="auto"/>
                <w:kern w:val="0"/>
                <w:szCs w:val="21"/>
                <w:highlight w:val="none"/>
              </w:rPr>
            </w:pPr>
            <w:r>
              <w:rPr>
                <w:rFonts w:hint="eastAsia"/>
                <w:b/>
                <w:color w:val="auto"/>
                <w:kern w:val="0"/>
                <w:szCs w:val="21"/>
                <w:highlight w:val="none"/>
              </w:rPr>
              <w:t>与《闽江流域产业布局规划》符合性分析</w:t>
            </w:r>
          </w:p>
          <w:p w14:paraId="516822A8">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根据《福州市发展和改革委员会关于印发实施《闽江流域（福州段）》产业布局规划的通知》（榕发改工〔2021〕39号）中附件2闽江流域福州段产业准入负面清单，内容如下：</w:t>
            </w:r>
          </w:p>
          <w:p w14:paraId="49A7D477">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闽江流域干流、一级支流沿岸一公里范围内：</w:t>
            </w:r>
          </w:p>
          <w:p w14:paraId="27661CE2">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lang w:eastAsia="zh-CN"/>
              </w:rPr>
              <w:t>（</w:t>
            </w:r>
            <w:r>
              <w:rPr>
                <w:rFonts w:hint="eastAsia"/>
                <w:color w:val="auto"/>
                <w:kern w:val="0"/>
                <w:szCs w:val="21"/>
                <w:highlight w:val="none"/>
                <w:lang w:val="en-US" w:eastAsia="zh-CN"/>
              </w:rPr>
              <w:t>1）</w:t>
            </w:r>
            <w:r>
              <w:rPr>
                <w:rFonts w:hint="eastAsia"/>
                <w:color w:val="auto"/>
                <w:kern w:val="0"/>
                <w:szCs w:val="21"/>
                <w:highlight w:val="none"/>
              </w:rPr>
              <w:t>禁止布局印染、印花、造纸、制革、电镀、化工、冶炼、炼油、酿造、化肥、燃料、农药等建设项目；</w:t>
            </w:r>
          </w:p>
          <w:p w14:paraId="5F1255BF">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lang w:eastAsia="zh-CN"/>
              </w:rPr>
              <w:t>（</w:t>
            </w:r>
            <w:r>
              <w:rPr>
                <w:rFonts w:hint="eastAsia"/>
                <w:color w:val="auto"/>
                <w:kern w:val="0"/>
                <w:szCs w:val="21"/>
                <w:highlight w:val="none"/>
                <w:lang w:val="en-US" w:eastAsia="zh-CN"/>
              </w:rPr>
              <w:t>2）</w:t>
            </w:r>
            <w:r>
              <w:rPr>
                <w:rFonts w:hint="eastAsia"/>
                <w:color w:val="auto"/>
                <w:kern w:val="0"/>
                <w:szCs w:val="21"/>
                <w:highlight w:val="none"/>
              </w:rPr>
              <w:t>禁止布局产生含汞、镉、铬、砷、铅、镍、氰化物、持久性有机污染物、病原微生物、放射性等有毒有害物质的建设项目。</w:t>
            </w:r>
          </w:p>
          <w:p w14:paraId="019D5AE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bCs/>
                <w:color w:val="auto"/>
                <w:kern w:val="2"/>
                <w:sz w:val="24"/>
                <w:szCs w:val="32"/>
                <w:highlight w:val="none"/>
                <w:lang w:val="en-US" w:eastAsia="zh-CN" w:bidi="ar-SA"/>
              </w:rPr>
            </w:pPr>
            <w:r>
              <w:rPr>
                <w:rFonts w:hint="eastAsia" w:ascii="Times New Roman" w:hAnsi="Times New Roman" w:eastAsia="宋体" w:cs="Times New Roman"/>
                <w:bCs/>
                <w:color w:val="auto"/>
                <w:kern w:val="2"/>
                <w:sz w:val="24"/>
                <w:szCs w:val="32"/>
                <w:highlight w:val="none"/>
                <w:lang w:val="en-US" w:eastAsia="zh-CN" w:bidi="ar-SA"/>
              </w:rPr>
              <w:t>项目位于</w:t>
            </w:r>
            <w:r>
              <w:rPr>
                <w:color w:val="auto"/>
                <w:highlight w:val="none"/>
              </w:rPr>
              <w:fldChar w:fldCharType="begin"/>
            </w:r>
            <w:r>
              <w:rPr>
                <w:color w:val="auto"/>
                <w:highlight w:val="none"/>
              </w:rPr>
              <w:instrText xml:space="preserve"> REF 项目地址 \h  \* MERGEFORMAT </w:instrText>
            </w:r>
            <w:r>
              <w:rPr>
                <w:color w:val="auto"/>
                <w:highlight w:val="none"/>
              </w:rPr>
              <w:fldChar w:fldCharType="separate"/>
            </w:r>
            <w:r>
              <w:rPr>
                <w:rFonts w:hint="eastAsia" w:hAnsi="宋体" w:cs="Times New Roman"/>
                <w:color w:val="auto"/>
                <w:szCs w:val="21"/>
                <w:highlight w:val="none"/>
                <w:lang w:eastAsia="zh-CN"/>
              </w:rPr>
              <w:t>福建省福州市晋安区玉井路99号蓝光公馆8#楼1层20商业（餐饮）</w:t>
            </w:r>
            <w:r>
              <w:rPr>
                <w:rFonts w:hint="eastAsia" w:ascii="Times New Roman" w:hAnsi="宋体" w:eastAsia="宋体" w:cs="Times New Roman"/>
                <w:color w:val="auto"/>
                <w:szCs w:val="21"/>
                <w:highlight w:val="none"/>
              </w:rPr>
              <w:fldChar w:fldCharType="end"/>
            </w:r>
            <w:r>
              <w:rPr>
                <w:rFonts w:hint="eastAsia" w:ascii="Times New Roman" w:hAnsi="Times New Roman" w:eastAsia="宋体" w:cs="Times New Roman"/>
                <w:bCs/>
                <w:color w:val="auto"/>
                <w:kern w:val="2"/>
                <w:sz w:val="24"/>
                <w:szCs w:val="32"/>
                <w:highlight w:val="none"/>
                <w:lang w:val="en-US" w:eastAsia="zh-CN" w:bidi="ar-SA"/>
              </w:rPr>
              <w:t>，不属于闽江干流、一级支流沿岸一公里范围内，符合闽江流域福州段产业准入规则。项目属于O82其他服务业、8222宠物医院服务，符合规划中加快现代服务业的规划要求。项目</w:t>
            </w:r>
            <w:r>
              <w:rPr>
                <w:rFonts w:hint="eastAsia" w:cs="Times New Roman"/>
                <w:bCs/>
                <w:color w:val="auto"/>
                <w:kern w:val="2"/>
                <w:sz w:val="24"/>
                <w:szCs w:val="32"/>
                <w:highlight w:val="none"/>
                <w:lang w:val="en-US" w:eastAsia="zh-CN" w:bidi="ar-SA"/>
              </w:rPr>
              <w:t>产生的</w:t>
            </w:r>
            <w:r>
              <w:rPr>
                <w:rFonts w:hint="eastAsia" w:ascii="Times New Roman" w:hAnsi="Times New Roman" w:eastAsia="宋体" w:cs="Times New Roman"/>
                <w:bCs/>
                <w:color w:val="auto"/>
                <w:kern w:val="2"/>
                <w:sz w:val="24"/>
                <w:szCs w:val="32"/>
                <w:highlight w:val="none"/>
                <w:lang w:val="en-US" w:eastAsia="zh-CN" w:bidi="ar-SA"/>
              </w:rPr>
              <w:t>医疗废水</w:t>
            </w:r>
            <w:r>
              <w:rPr>
                <w:rFonts w:hint="eastAsia" w:cs="Times New Roman"/>
                <w:bCs/>
                <w:color w:val="auto"/>
                <w:kern w:val="2"/>
                <w:sz w:val="24"/>
                <w:szCs w:val="32"/>
                <w:highlight w:val="none"/>
                <w:lang w:val="en-US" w:eastAsia="zh-CN" w:bidi="ar-SA"/>
              </w:rPr>
              <w:t>含有</w:t>
            </w:r>
            <w:r>
              <w:rPr>
                <w:rFonts w:hint="eastAsia" w:ascii="Times New Roman" w:hAnsi="Times New Roman" w:eastAsia="宋体" w:cs="Times New Roman"/>
                <w:bCs/>
                <w:color w:val="auto"/>
                <w:kern w:val="2"/>
                <w:sz w:val="24"/>
                <w:szCs w:val="32"/>
                <w:highlight w:val="none"/>
                <w:lang w:val="en-US" w:eastAsia="zh-CN" w:bidi="ar-SA"/>
              </w:rPr>
              <w:t>少量病原微生物，经</w:t>
            </w:r>
            <w:r>
              <w:rPr>
                <w:rFonts w:hint="eastAsia" w:cs="Times New Roman"/>
                <w:bCs/>
                <w:color w:val="auto"/>
                <w:kern w:val="2"/>
                <w:sz w:val="24"/>
                <w:szCs w:val="32"/>
                <w:highlight w:val="none"/>
                <w:lang w:val="en-US" w:eastAsia="zh-CN" w:bidi="ar-SA"/>
              </w:rPr>
              <w:t>消毒设备</w:t>
            </w:r>
            <w:r>
              <w:rPr>
                <w:rFonts w:hint="eastAsia" w:ascii="Times New Roman" w:hAnsi="Times New Roman" w:eastAsia="宋体" w:cs="Times New Roman"/>
                <w:bCs/>
                <w:color w:val="auto"/>
                <w:kern w:val="2"/>
                <w:sz w:val="24"/>
                <w:szCs w:val="32"/>
                <w:highlight w:val="none"/>
                <w:lang w:val="en-US" w:eastAsia="zh-CN" w:bidi="ar-SA"/>
              </w:rPr>
              <w:t>消毒后</w:t>
            </w:r>
            <w:r>
              <w:rPr>
                <w:rFonts w:hint="eastAsia" w:cs="Times New Roman"/>
                <w:bCs/>
                <w:color w:val="auto"/>
                <w:kern w:val="2"/>
                <w:sz w:val="24"/>
                <w:szCs w:val="32"/>
                <w:highlight w:val="none"/>
                <w:lang w:val="en-US" w:eastAsia="zh-CN" w:bidi="ar-SA"/>
              </w:rPr>
              <w:t>排入化粪池处理达标后经市政污水管网纳入洋里污水处理厂处理</w:t>
            </w:r>
            <w:r>
              <w:rPr>
                <w:rFonts w:hint="eastAsia" w:ascii="Times New Roman" w:hAnsi="Times New Roman" w:eastAsia="宋体" w:cs="Times New Roman"/>
                <w:bCs/>
                <w:color w:val="auto"/>
                <w:kern w:val="2"/>
                <w:sz w:val="24"/>
                <w:szCs w:val="32"/>
                <w:highlight w:val="none"/>
                <w:lang w:val="en-US" w:eastAsia="zh-CN" w:bidi="ar-SA"/>
              </w:rPr>
              <w:t>。</w:t>
            </w:r>
          </w:p>
          <w:p w14:paraId="18A0E33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color w:val="auto"/>
                <w:kern w:val="0"/>
                <w:szCs w:val="21"/>
                <w:highlight w:val="none"/>
              </w:rPr>
            </w:pPr>
            <w:r>
              <w:rPr>
                <w:rFonts w:hint="eastAsia"/>
                <w:color w:val="auto"/>
                <w:kern w:val="0"/>
                <w:szCs w:val="21"/>
                <w:highlight w:val="none"/>
              </w:rPr>
              <w:t>综上分析，项目的建设符合相关环保政策、福州市相关规划</w:t>
            </w:r>
            <w:r>
              <w:rPr>
                <w:rFonts w:hint="eastAsia"/>
                <w:color w:val="auto"/>
                <w:kern w:val="0"/>
                <w:szCs w:val="21"/>
                <w:highlight w:val="none"/>
                <w:lang w:val="en-US" w:eastAsia="zh-CN"/>
              </w:rPr>
              <w:t>要求</w:t>
            </w:r>
            <w:r>
              <w:rPr>
                <w:rFonts w:hint="eastAsia"/>
                <w:color w:val="auto"/>
                <w:kern w:val="0"/>
                <w:szCs w:val="21"/>
                <w:highlight w:val="none"/>
              </w:rPr>
              <w:t>。</w:t>
            </w:r>
          </w:p>
          <w:bookmarkEnd w:id="22"/>
          <w:bookmarkEnd w:id="23"/>
          <w:bookmarkEnd w:id="24"/>
          <w:bookmarkEnd w:id="25"/>
          <w:bookmarkEnd w:id="26"/>
          <w:bookmarkEnd w:id="27"/>
          <w:p w14:paraId="61AB0108">
            <w:pPr>
              <w:pStyle w:val="3"/>
              <w:rPr>
                <w:color w:val="auto"/>
                <w:highlight w:val="none"/>
              </w:rPr>
            </w:pPr>
            <w:bookmarkStart w:id="30" w:name="_Toc11325"/>
            <w:bookmarkStart w:id="31" w:name="_Toc13524"/>
            <w:bookmarkStart w:id="32" w:name="_Toc24581"/>
            <w:bookmarkStart w:id="33" w:name="_Toc133251532"/>
            <w:r>
              <w:rPr>
                <w:rFonts w:hint="eastAsia"/>
                <w:color w:val="auto"/>
                <w:highlight w:val="none"/>
                <w:lang w:eastAsia="zh-CN"/>
              </w:rPr>
              <w:t>“</w:t>
            </w:r>
            <w:r>
              <w:rPr>
                <w:color w:val="auto"/>
                <w:highlight w:val="none"/>
              </w:rPr>
              <w:t>三线一单</w:t>
            </w:r>
            <w:r>
              <w:rPr>
                <w:rFonts w:hint="eastAsia"/>
                <w:color w:val="auto"/>
                <w:highlight w:val="none"/>
                <w:lang w:eastAsia="zh-CN"/>
              </w:rPr>
              <w:t>”</w:t>
            </w:r>
            <w:r>
              <w:rPr>
                <w:color w:val="auto"/>
                <w:highlight w:val="none"/>
              </w:rPr>
              <w:t>控制要求符合性分析</w:t>
            </w:r>
            <w:bookmarkEnd w:id="28"/>
            <w:bookmarkEnd w:id="29"/>
            <w:bookmarkEnd w:id="30"/>
            <w:bookmarkEnd w:id="31"/>
            <w:bookmarkEnd w:id="32"/>
            <w:bookmarkEnd w:id="33"/>
          </w:p>
          <w:p w14:paraId="78941D98">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根据《关于以改善环境质量为核心加强环境影响评价管理的通知》（环评〔2016〕150号），“三线一单”即：“生态保护红线、环境质量底线、资源利用</w:t>
            </w:r>
            <w:r>
              <w:rPr>
                <w:rFonts w:hint="eastAsia"/>
                <w:color w:val="auto"/>
                <w:kern w:val="0"/>
                <w:szCs w:val="21"/>
                <w:highlight w:val="none"/>
                <w:lang w:eastAsia="zh-CN"/>
              </w:rPr>
              <w:t>上限</w:t>
            </w:r>
            <w:r>
              <w:rPr>
                <w:rFonts w:hint="eastAsia"/>
                <w:color w:val="auto"/>
                <w:kern w:val="0"/>
                <w:szCs w:val="21"/>
                <w:highlight w:val="none"/>
              </w:rPr>
              <w:t>和生态环境准入清单”，项目建设应强化“三线一单”约束作用。</w:t>
            </w:r>
          </w:p>
          <w:p w14:paraId="096D58A0">
            <w:pPr>
              <w:autoSpaceDE w:val="0"/>
              <w:autoSpaceDN w:val="0"/>
              <w:adjustRightInd w:val="0"/>
              <w:snapToGrid w:val="0"/>
              <w:spacing w:line="360" w:lineRule="auto"/>
              <w:ind w:firstLine="480" w:firstLineChars="200"/>
              <w:jc w:val="left"/>
              <w:rPr>
                <w:color w:val="auto"/>
                <w:kern w:val="0"/>
                <w:szCs w:val="21"/>
                <w:highlight w:val="none"/>
              </w:rPr>
            </w:pPr>
            <w:r>
              <w:rPr>
                <w:rFonts w:hint="eastAsia"/>
                <w:color w:val="auto"/>
                <w:kern w:val="0"/>
                <w:szCs w:val="21"/>
                <w:highlight w:val="none"/>
              </w:rPr>
              <w:t>①与生态</w:t>
            </w:r>
            <w:r>
              <w:rPr>
                <w:rFonts w:hint="eastAsia"/>
                <w:color w:val="auto"/>
                <w:kern w:val="0"/>
                <w:szCs w:val="21"/>
                <w:highlight w:val="none"/>
                <w:lang w:val="en-US" w:eastAsia="zh-CN"/>
              </w:rPr>
              <w:t>保护</w:t>
            </w:r>
            <w:r>
              <w:rPr>
                <w:rFonts w:hint="eastAsia"/>
                <w:color w:val="auto"/>
                <w:kern w:val="0"/>
                <w:szCs w:val="21"/>
                <w:highlight w:val="none"/>
              </w:rPr>
              <w:t>红线的相符性分析</w:t>
            </w:r>
          </w:p>
          <w:p w14:paraId="022578CF">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项目选址于</w:t>
            </w:r>
            <w:r>
              <w:rPr>
                <w:color w:val="auto"/>
                <w:highlight w:val="none"/>
              </w:rPr>
              <w:fldChar w:fldCharType="begin"/>
            </w:r>
            <w:r>
              <w:rPr>
                <w:color w:val="auto"/>
                <w:highlight w:val="none"/>
              </w:rPr>
              <w:instrText xml:space="preserve"> REF 项目地址 \h  \* MERGEFORMAT </w:instrText>
            </w:r>
            <w:r>
              <w:rPr>
                <w:color w:val="auto"/>
                <w:highlight w:val="none"/>
              </w:rPr>
              <w:fldChar w:fldCharType="separate"/>
            </w:r>
            <w:r>
              <w:rPr>
                <w:rFonts w:hint="eastAsia" w:hAnsi="宋体"/>
                <w:color w:val="auto"/>
                <w:szCs w:val="21"/>
                <w:highlight w:val="none"/>
                <w:lang w:eastAsia="zh-CN"/>
              </w:rPr>
              <w:t>福建省福州市晋安区玉井路99号蓝光公馆8#楼1层20商业（餐饮）</w:t>
            </w:r>
            <w:r>
              <w:rPr>
                <w:rFonts w:hint="eastAsia" w:hAnsi="宋体"/>
                <w:color w:val="auto"/>
                <w:szCs w:val="21"/>
                <w:highlight w:val="none"/>
              </w:rPr>
              <w:fldChar w:fldCharType="end"/>
            </w:r>
            <w:r>
              <w:rPr>
                <w:rFonts w:hint="eastAsia"/>
                <w:color w:val="auto"/>
                <w:kern w:val="0"/>
                <w:szCs w:val="21"/>
                <w:highlight w:val="none"/>
              </w:rPr>
              <w:t>，根据项目房权证，项目所在地土地用途为商业，不位于自然保护区、风景名胜区、饮用水源保护地和其他需要特别保护等法律法规禁止开发建设的区域。因此，项目建设符合生态</w:t>
            </w:r>
            <w:r>
              <w:rPr>
                <w:rFonts w:hint="eastAsia"/>
                <w:color w:val="auto"/>
                <w:kern w:val="0"/>
                <w:szCs w:val="21"/>
                <w:highlight w:val="none"/>
                <w:lang w:val="en-US" w:eastAsia="zh-CN"/>
              </w:rPr>
              <w:t>保护</w:t>
            </w:r>
            <w:r>
              <w:rPr>
                <w:rFonts w:hint="eastAsia"/>
                <w:color w:val="auto"/>
                <w:kern w:val="0"/>
                <w:szCs w:val="21"/>
                <w:highlight w:val="none"/>
              </w:rPr>
              <w:t>红线控制要求。</w:t>
            </w:r>
          </w:p>
          <w:p w14:paraId="199AAE63">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②与环境质量底线的相符性分析</w:t>
            </w:r>
          </w:p>
          <w:p w14:paraId="2010466A">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a.水环境</w:t>
            </w:r>
            <w:r>
              <w:rPr>
                <w:rFonts w:hint="eastAsia"/>
                <w:color w:val="auto"/>
                <w:kern w:val="0"/>
                <w:szCs w:val="21"/>
                <w:highlight w:val="none"/>
                <w:lang w:val="en-US" w:eastAsia="zh-CN"/>
              </w:rPr>
              <w:t>质量底线</w:t>
            </w:r>
          </w:p>
          <w:p w14:paraId="0DCBA168">
            <w:pPr>
              <w:autoSpaceDE w:val="0"/>
              <w:autoSpaceDN w:val="0"/>
              <w:adjustRightInd w:val="0"/>
              <w:snapToGrid w:val="0"/>
              <w:spacing w:line="360" w:lineRule="auto"/>
              <w:ind w:firstLine="480" w:firstLineChars="200"/>
              <w:rPr>
                <w:rFonts w:hint="default" w:eastAsia="宋体"/>
                <w:color w:val="auto"/>
                <w:kern w:val="0"/>
                <w:szCs w:val="21"/>
                <w:highlight w:val="none"/>
                <w:lang w:val="en-US" w:eastAsia="zh-CN"/>
              </w:rPr>
            </w:pPr>
            <w:r>
              <w:rPr>
                <w:rFonts w:hint="eastAsia"/>
                <w:color w:val="auto"/>
                <w:kern w:val="0"/>
                <w:szCs w:val="21"/>
                <w:highlight w:val="none"/>
              </w:rPr>
              <w:t>根据《福建省流域水环境质量状况（202</w:t>
            </w:r>
            <w:r>
              <w:rPr>
                <w:rFonts w:hint="eastAsia"/>
                <w:color w:val="auto"/>
                <w:kern w:val="0"/>
                <w:szCs w:val="21"/>
                <w:highlight w:val="none"/>
                <w:lang w:val="en-US" w:eastAsia="zh-CN"/>
              </w:rPr>
              <w:t>3</w:t>
            </w:r>
            <w:r>
              <w:rPr>
                <w:rFonts w:hint="eastAsia"/>
                <w:color w:val="auto"/>
                <w:kern w:val="0"/>
                <w:szCs w:val="21"/>
                <w:highlight w:val="none"/>
              </w:rPr>
              <w:t>年</w:t>
            </w:r>
            <w:r>
              <w:rPr>
                <w:rFonts w:hint="eastAsia"/>
                <w:color w:val="auto"/>
                <w:kern w:val="0"/>
                <w:szCs w:val="21"/>
                <w:highlight w:val="none"/>
                <w:lang w:val="en-US" w:eastAsia="zh-CN"/>
              </w:rPr>
              <w:t>1-12</w:t>
            </w:r>
            <w:r>
              <w:rPr>
                <w:rFonts w:hint="eastAsia"/>
                <w:color w:val="auto"/>
                <w:kern w:val="0"/>
                <w:szCs w:val="21"/>
                <w:highlight w:val="none"/>
              </w:rPr>
              <w:t>月）》数据，</w:t>
            </w:r>
            <w:r>
              <w:rPr>
                <w:rFonts w:hint="eastAsia"/>
                <w:color w:val="auto"/>
                <w:kern w:val="0"/>
                <w:szCs w:val="21"/>
                <w:highlight w:val="none"/>
                <w:lang w:val="en-US" w:eastAsia="zh-CN"/>
              </w:rPr>
              <w:t>化工河</w:t>
            </w:r>
            <w:r>
              <w:rPr>
                <w:rFonts w:hint="eastAsia"/>
                <w:color w:val="auto"/>
                <w:kern w:val="0"/>
                <w:szCs w:val="21"/>
                <w:highlight w:val="none"/>
              </w:rPr>
              <w:t>水环境质量现状可达《地表水环境质量标准》（GB3838-2002）中的V类标准。</w:t>
            </w:r>
            <w:r>
              <w:rPr>
                <w:rFonts w:hint="eastAsia"/>
                <w:color w:val="auto"/>
                <w:kern w:val="0"/>
                <w:szCs w:val="21"/>
                <w:highlight w:val="none"/>
                <w:lang w:val="en-US" w:eastAsia="zh-CN"/>
              </w:rPr>
              <w:t>项目产生的宠物美容废水、医疗废水经消毒设备消毒排入化粪池处理后经</w:t>
            </w:r>
            <w:r>
              <w:rPr>
                <w:rFonts w:hint="eastAsia"/>
                <w:color w:val="auto"/>
                <w:kern w:val="0"/>
                <w:szCs w:val="21"/>
                <w:highlight w:val="none"/>
              </w:rPr>
              <w:t>市政污水管网送往</w:t>
            </w:r>
            <w:r>
              <w:rPr>
                <w:rFonts w:hint="eastAsia"/>
                <w:color w:val="auto"/>
                <w:kern w:val="0"/>
                <w:highlight w:val="none"/>
                <w:lang w:eastAsia="zh-CN"/>
              </w:rPr>
              <w:t>洋里污水处理厂</w:t>
            </w:r>
            <w:r>
              <w:rPr>
                <w:rFonts w:hint="eastAsia"/>
                <w:color w:val="auto"/>
                <w:kern w:val="0"/>
                <w:szCs w:val="21"/>
                <w:highlight w:val="none"/>
              </w:rPr>
              <w:t>集中处理，不直接排入周边地表水体，可减少对周边地表水体的污染负荷。</w:t>
            </w:r>
          </w:p>
          <w:p w14:paraId="06F39BE6">
            <w:pPr>
              <w:autoSpaceDE w:val="0"/>
              <w:autoSpaceDN w:val="0"/>
              <w:adjustRightInd w:val="0"/>
              <w:snapToGrid w:val="0"/>
              <w:spacing w:line="360" w:lineRule="auto"/>
              <w:ind w:firstLine="480" w:firstLineChars="200"/>
              <w:jc w:val="left"/>
              <w:rPr>
                <w:rFonts w:hint="default" w:eastAsia="宋体"/>
                <w:color w:val="auto"/>
                <w:kern w:val="0"/>
                <w:szCs w:val="21"/>
                <w:highlight w:val="none"/>
                <w:lang w:val="en-US" w:eastAsia="zh-CN"/>
              </w:rPr>
            </w:pPr>
            <w:r>
              <w:rPr>
                <w:rFonts w:hint="eastAsia"/>
                <w:color w:val="auto"/>
                <w:kern w:val="0"/>
                <w:szCs w:val="21"/>
                <w:highlight w:val="none"/>
              </w:rPr>
              <w:t>b.</w:t>
            </w:r>
            <w:r>
              <w:rPr>
                <w:rFonts w:hint="eastAsia"/>
                <w:color w:val="auto"/>
                <w:kern w:val="0"/>
                <w:szCs w:val="21"/>
                <w:highlight w:val="none"/>
                <w:lang w:val="en-US" w:eastAsia="zh-CN"/>
              </w:rPr>
              <w:t>大气环境质量底线</w:t>
            </w:r>
          </w:p>
          <w:p w14:paraId="410951EE">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根据福建省生态环境厅网站公布的202</w:t>
            </w:r>
            <w:r>
              <w:rPr>
                <w:rFonts w:hint="eastAsia"/>
                <w:color w:val="auto"/>
                <w:kern w:val="0"/>
                <w:szCs w:val="21"/>
                <w:highlight w:val="none"/>
                <w:lang w:val="en-US" w:eastAsia="zh-CN"/>
              </w:rPr>
              <w:t>4</w:t>
            </w:r>
            <w:r>
              <w:rPr>
                <w:rFonts w:hint="eastAsia"/>
                <w:color w:val="auto"/>
                <w:kern w:val="0"/>
                <w:szCs w:val="21"/>
                <w:highlight w:val="none"/>
              </w:rPr>
              <w:t>年</w:t>
            </w:r>
            <w:r>
              <w:rPr>
                <w:rFonts w:hint="eastAsia"/>
                <w:color w:val="auto"/>
                <w:kern w:val="0"/>
                <w:szCs w:val="21"/>
                <w:highlight w:val="none"/>
                <w:lang w:val="en-US" w:eastAsia="zh-CN"/>
              </w:rPr>
              <w:t>5</w:t>
            </w:r>
            <w:r>
              <w:rPr>
                <w:rFonts w:hint="eastAsia"/>
                <w:color w:val="auto"/>
                <w:kern w:val="0"/>
                <w:szCs w:val="21"/>
                <w:highlight w:val="none"/>
              </w:rPr>
              <w:t>月福建省城市环境空气质量通报，评价区环境空气质量能够满足《环境空气质量标准》（GB3095-2012）二级标准要求。</w:t>
            </w:r>
          </w:p>
          <w:p w14:paraId="343EF5A2">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c.声</w:t>
            </w:r>
            <w:r>
              <w:rPr>
                <w:rFonts w:hint="eastAsia"/>
                <w:color w:val="auto"/>
                <w:kern w:val="0"/>
                <w:szCs w:val="21"/>
                <w:highlight w:val="none"/>
                <w:lang w:val="en-US" w:eastAsia="zh-CN"/>
              </w:rPr>
              <w:t>环境质量底线</w:t>
            </w:r>
          </w:p>
          <w:p w14:paraId="66789DEB">
            <w:pPr>
              <w:autoSpaceDE w:val="0"/>
              <w:autoSpaceDN w:val="0"/>
              <w:adjustRightInd w:val="0"/>
              <w:snapToGrid w:val="0"/>
              <w:spacing w:line="360" w:lineRule="auto"/>
              <w:ind w:firstLine="480" w:firstLineChars="200"/>
              <w:rPr>
                <w:color w:val="auto"/>
                <w:kern w:val="0"/>
                <w:szCs w:val="21"/>
                <w:highlight w:val="none"/>
              </w:rPr>
            </w:pPr>
            <w:r>
              <w:rPr>
                <w:rFonts w:hint="eastAsia" w:ascii="Times New Roman" w:hAnsi="Times New Roman" w:eastAsia="宋体" w:cs="Times New Roman"/>
                <w:color w:val="auto"/>
                <w:szCs w:val="24"/>
                <w:highlight w:val="none"/>
                <w:lang w:val="en-US" w:eastAsia="zh-CN"/>
              </w:rPr>
              <w:t>项目</w:t>
            </w:r>
            <w:r>
              <w:rPr>
                <w:rFonts w:hint="eastAsia" w:cs="Times New Roman"/>
                <w:color w:val="auto"/>
                <w:szCs w:val="24"/>
                <w:highlight w:val="none"/>
                <w:lang w:val="en-US" w:eastAsia="zh-CN"/>
              </w:rPr>
              <w:t>西侧隔33</w:t>
            </w:r>
            <w:r>
              <w:rPr>
                <w:rFonts w:hint="eastAsia" w:ascii="Times New Roman" w:hAnsi="Times New Roman" w:eastAsia="宋体" w:cs="Times New Roman"/>
                <w:color w:val="auto"/>
                <w:szCs w:val="24"/>
                <w:highlight w:val="none"/>
                <w:lang w:val="en-US" w:eastAsia="zh-CN"/>
              </w:rPr>
              <w:t>m</w:t>
            </w:r>
            <w:r>
              <w:rPr>
                <w:rFonts w:hint="eastAsia" w:cs="Times New Roman"/>
                <w:color w:val="auto"/>
                <w:szCs w:val="24"/>
                <w:highlight w:val="none"/>
                <w:lang w:val="en-US" w:eastAsia="zh-CN"/>
              </w:rPr>
              <w:t>前横路</w:t>
            </w:r>
            <w:r>
              <w:rPr>
                <w:rFonts w:hint="default" w:ascii="Times New Roman" w:hAnsi="Times New Roman" w:eastAsia="宋体" w:cs="Times New Roman"/>
                <w:color w:val="auto"/>
                <w:szCs w:val="24"/>
                <w:highlight w:val="none"/>
                <w:lang w:val="en-US" w:eastAsia="zh-CN"/>
              </w:rPr>
              <w:t>为城市主干路，</w:t>
            </w:r>
            <w:r>
              <w:rPr>
                <w:rFonts w:hint="default" w:ascii="Times New Roman" w:hAnsi="Times New Roman" w:eastAsia="宋体" w:cs="Times New Roman"/>
                <w:b w:val="0"/>
                <w:bCs/>
                <w:color w:val="auto"/>
                <w:highlight w:val="none"/>
                <w:lang w:val="en-US" w:eastAsia="zh-CN"/>
              </w:rPr>
              <w:t>故项目</w:t>
            </w:r>
            <w:r>
              <w:rPr>
                <w:rFonts w:hint="eastAsia" w:cs="Times New Roman"/>
                <w:b w:val="0"/>
                <w:bCs/>
                <w:color w:val="auto"/>
                <w:highlight w:val="none"/>
                <w:lang w:val="en-US" w:eastAsia="zh-CN"/>
              </w:rPr>
              <w:t>西</w:t>
            </w:r>
            <w:r>
              <w:rPr>
                <w:rFonts w:hint="default" w:ascii="Times New Roman" w:hAnsi="Times New Roman" w:eastAsia="宋体" w:cs="Times New Roman"/>
                <w:b w:val="0"/>
                <w:bCs/>
                <w:color w:val="auto"/>
                <w:highlight w:val="none"/>
                <w:lang w:val="en-US" w:eastAsia="zh-CN"/>
              </w:rPr>
              <w:t>侧</w:t>
            </w:r>
            <w:r>
              <w:rPr>
                <w:rFonts w:hint="eastAsia" w:cs="Times New Roman"/>
                <w:b w:val="0"/>
                <w:bCs/>
                <w:color w:val="auto"/>
                <w:highlight w:val="none"/>
                <w:lang w:val="en-US" w:eastAsia="zh-CN"/>
              </w:rPr>
              <w:t>环境噪声</w:t>
            </w:r>
            <w:r>
              <w:rPr>
                <w:rFonts w:hint="default" w:ascii="Times New Roman" w:hAnsi="Times New Roman" w:eastAsia="宋体" w:cs="Times New Roman"/>
                <w:color w:val="auto"/>
                <w:szCs w:val="24"/>
                <w:highlight w:val="none"/>
                <w:lang w:val="en-US" w:eastAsia="zh-CN"/>
              </w:rPr>
              <w:t>执行《社会生活环境噪声排放标准》（GB22337-2008）中4</w:t>
            </w:r>
            <w:r>
              <w:rPr>
                <w:rFonts w:hint="eastAsia" w:ascii="Times New Roman" w:hAnsi="Times New Roman" w:eastAsia="宋体" w:cs="Times New Roman"/>
                <w:color w:val="auto"/>
                <w:szCs w:val="24"/>
                <w:highlight w:val="none"/>
                <w:lang w:val="en-US" w:eastAsia="zh-CN"/>
              </w:rPr>
              <w:t>a</w:t>
            </w:r>
            <w:r>
              <w:rPr>
                <w:rFonts w:hint="default" w:ascii="Times New Roman" w:hAnsi="Times New Roman" w:eastAsia="宋体" w:cs="Times New Roman"/>
                <w:color w:val="auto"/>
                <w:szCs w:val="24"/>
                <w:highlight w:val="none"/>
                <w:lang w:val="en-US" w:eastAsia="zh-CN"/>
              </w:rPr>
              <w:t>类标准</w:t>
            </w:r>
            <w:r>
              <w:rPr>
                <w:rFonts w:hint="default" w:ascii="Times New Roman" w:hAnsi="Times New Roman" w:eastAsia="宋体" w:cs="Times New Roman"/>
                <w:b w:val="0"/>
                <w:bCs/>
                <w:color w:val="auto"/>
                <w:highlight w:val="none"/>
                <w:lang w:val="en-US" w:eastAsia="zh-CN"/>
              </w:rPr>
              <w:t>，即昼间≤70dB(A)、 夜间≤55dB(A)。</w:t>
            </w:r>
            <w:r>
              <w:rPr>
                <w:rFonts w:hint="eastAsia" w:ascii="Times New Roman" w:hAnsi="Times New Roman" w:cs="Times New Roman"/>
                <w:b w:val="0"/>
                <w:bCs/>
                <w:color w:val="auto"/>
                <w:highlight w:val="none"/>
                <w:lang w:val="en-US" w:eastAsia="zh-CN"/>
              </w:rPr>
              <w:t>其余边界</w:t>
            </w:r>
            <w:r>
              <w:rPr>
                <w:rFonts w:hint="default" w:ascii="Times New Roman" w:hAnsi="Times New Roman" w:eastAsia="宋体" w:cs="Times New Roman"/>
                <w:b w:val="0"/>
                <w:bCs/>
                <w:color w:val="auto"/>
                <w:highlight w:val="none"/>
                <w:lang w:val="en-US" w:eastAsia="zh-CN"/>
              </w:rPr>
              <w:t>环境噪声执行《声环境质量标准》（GB3096-2008）中2类功能区标准</w:t>
            </w:r>
            <w:r>
              <w:rPr>
                <w:rFonts w:hint="eastAsia" w:ascii="Times New Roman" w:hAnsi="Times New Roman"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即昼间≤60dB(A)、夜间≤50dB(A)。</w:t>
            </w:r>
            <w:r>
              <w:rPr>
                <w:rFonts w:hint="eastAsia"/>
                <w:color w:val="auto"/>
                <w:kern w:val="0"/>
                <w:szCs w:val="21"/>
                <w:highlight w:val="none"/>
              </w:rPr>
              <w:t>根据预测结果，采取相应的隔声措施后，项目对周边声环境影响较小。</w:t>
            </w:r>
          </w:p>
          <w:p w14:paraId="6499C7BC">
            <w:pPr>
              <w:autoSpaceDE w:val="0"/>
              <w:autoSpaceDN w:val="0"/>
              <w:adjustRightInd w:val="0"/>
              <w:snapToGrid w:val="0"/>
              <w:spacing w:line="360" w:lineRule="auto"/>
              <w:ind w:firstLine="480" w:firstLineChars="200"/>
              <w:rPr>
                <w:rFonts w:hint="default" w:eastAsiaTheme="minorEastAsia"/>
                <w:color w:val="auto"/>
                <w:highlight w:val="none"/>
                <w:lang w:val="en-US" w:eastAsia="zh-CN"/>
              </w:rPr>
            </w:pPr>
            <w:r>
              <w:rPr>
                <w:rFonts w:hint="eastAsia"/>
                <w:color w:val="auto"/>
                <w:kern w:val="0"/>
                <w:szCs w:val="21"/>
                <w:highlight w:val="none"/>
              </w:rPr>
              <w:t>综合分析，项目建设不会突破当地环境质量底线。</w:t>
            </w:r>
          </w:p>
          <w:p w14:paraId="0052004D">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③与资源利用上限的对照分析</w:t>
            </w:r>
          </w:p>
          <w:p w14:paraId="5C75FD88">
            <w:pPr>
              <w:autoSpaceDE w:val="0"/>
              <w:autoSpaceDN w:val="0"/>
              <w:adjustRightInd w:val="0"/>
              <w:snapToGrid w:val="0"/>
              <w:spacing w:line="360" w:lineRule="auto"/>
              <w:ind w:firstLine="480" w:firstLineChars="200"/>
              <w:rPr>
                <w:rFonts w:hint="eastAsia"/>
                <w:color w:val="auto"/>
                <w:kern w:val="0"/>
                <w:szCs w:val="21"/>
                <w:highlight w:val="none"/>
                <w:lang w:val="en-US" w:eastAsia="zh-CN"/>
              </w:rPr>
            </w:pPr>
            <w:r>
              <w:rPr>
                <w:rFonts w:hint="eastAsia"/>
                <w:color w:val="auto"/>
                <w:kern w:val="0"/>
                <w:szCs w:val="21"/>
                <w:highlight w:val="none"/>
              </w:rPr>
              <w:t>a.</w:t>
            </w:r>
            <w:r>
              <w:rPr>
                <w:rFonts w:hint="eastAsia"/>
                <w:color w:val="auto"/>
                <w:kern w:val="0"/>
                <w:szCs w:val="21"/>
                <w:highlight w:val="none"/>
                <w:lang w:val="en-US" w:eastAsia="zh-CN"/>
              </w:rPr>
              <w:t>水资源利用上限</w:t>
            </w:r>
          </w:p>
          <w:p w14:paraId="108223E9">
            <w:pPr>
              <w:autoSpaceDE w:val="0"/>
              <w:autoSpaceDN w:val="0"/>
              <w:adjustRightInd w:val="0"/>
              <w:snapToGrid w:val="0"/>
              <w:spacing w:line="360" w:lineRule="auto"/>
              <w:ind w:firstLine="480" w:firstLineChars="200"/>
              <w:rPr>
                <w:rFonts w:hint="eastAsia"/>
                <w:color w:val="auto"/>
                <w:kern w:val="0"/>
                <w:szCs w:val="21"/>
                <w:highlight w:val="none"/>
                <w:lang w:val="en-US" w:eastAsia="zh-CN"/>
              </w:rPr>
            </w:pPr>
            <w:r>
              <w:rPr>
                <w:rFonts w:hint="eastAsia"/>
                <w:color w:val="auto"/>
                <w:kern w:val="0"/>
                <w:szCs w:val="21"/>
                <w:highlight w:val="none"/>
                <w:lang w:val="en-US" w:eastAsia="zh-CN"/>
              </w:rPr>
              <w:t>根据《福州市人民政府关于实施“三线一单”生态分区管控的通知》（榕政综〔2021〕178号），衔接水资源管理“三条红线”，控制目标以市政府下达为准，即全市水资源利用不会突破水资源利用上限。</w:t>
            </w:r>
          </w:p>
          <w:p w14:paraId="5756788C">
            <w:pPr>
              <w:autoSpaceDE w:val="0"/>
              <w:autoSpaceDN w:val="0"/>
              <w:adjustRightInd w:val="0"/>
              <w:snapToGrid w:val="0"/>
              <w:spacing w:line="360" w:lineRule="auto"/>
              <w:ind w:firstLine="480" w:firstLineChars="200"/>
              <w:rPr>
                <w:rFonts w:hint="eastAsia"/>
                <w:color w:val="auto"/>
                <w:kern w:val="0"/>
                <w:szCs w:val="21"/>
                <w:highlight w:val="none"/>
              </w:rPr>
            </w:pPr>
            <w:r>
              <w:rPr>
                <w:rFonts w:hint="eastAsia"/>
                <w:color w:val="auto"/>
                <w:kern w:val="0"/>
                <w:szCs w:val="21"/>
                <w:highlight w:val="none"/>
                <w:lang w:val="en-US" w:eastAsia="zh-CN"/>
              </w:rPr>
              <w:t>项目运营期用水为宠物医疗用水、</w:t>
            </w:r>
            <w:r>
              <w:rPr>
                <w:color w:val="000000" w:themeColor="text1"/>
                <w:kern w:val="0"/>
                <w:highlight w:val="none"/>
                <w14:textFill>
                  <w14:solidFill>
                    <w14:schemeClr w14:val="tx1"/>
                  </w14:solidFill>
                </w14:textFill>
              </w:rPr>
              <w:t>宠物美容</w:t>
            </w:r>
            <w:r>
              <w:rPr>
                <w:rFonts w:hint="eastAsia"/>
                <w:color w:val="000000" w:themeColor="text1"/>
                <w:kern w:val="0"/>
                <w:highlight w:val="none"/>
                <w:lang w:val="en-US" w:eastAsia="zh-CN"/>
                <w14:textFill>
                  <w14:solidFill>
                    <w14:schemeClr w14:val="tx1"/>
                  </w14:solidFill>
                </w14:textFill>
              </w:rPr>
              <w:t>用水和</w:t>
            </w:r>
            <w:r>
              <w:rPr>
                <w:rFonts w:hint="eastAsia"/>
                <w:color w:val="auto"/>
                <w:kern w:val="0"/>
                <w:szCs w:val="21"/>
                <w:highlight w:val="none"/>
                <w:lang w:val="en-US" w:eastAsia="zh-CN"/>
              </w:rPr>
              <w:t xml:space="preserve">员工生活用水，用水来源于市政给水，与福州市水资源利用上限管控要求相符。 </w:t>
            </w:r>
          </w:p>
          <w:p w14:paraId="4B290C64">
            <w:pPr>
              <w:autoSpaceDE w:val="0"/>
              <w:autoSpaceDN w:val="0"/>
              <w:adjustRightInd w:val="0"/>
              <w:snapToGrid w:val="0"/>
              <w:spacing w:line="360" w:lineRule="auto"/>
              <w:ind w:firstLine="480" w:firstLineChars="200"/>
              <w:rPr>
                <w:rFonts w:hint="eastAsia"/>
                <w:color w:val="auto"/>
                <w:kern w:val="0"/>
                <w:szCs w:val="21"/>
                <w:highlight w:val="none"/>
              </w:rPr>
            </w:pPr>
            <w:r>
              <w:rPr>
                <w:rFonts w:hint="eastAsia"/>
                <w:color w:val="auto"/>
                <w:kern w:val="0"/>
                <w:szCs w:val="21"/>
                <w:highlight w:val="none"/>
              </w:rPr>
              <w:t>b.</w:t>
            </w:r>
            <w:r>
              <w:rPr>
                <w:rFonts w:hint="eastAsia"/>
                <w:color w:val="auto"/>
                <w:kern w:val="0"/>
                <w:szCs w:val="21"/>
                <w:highlight w:val="none"/>
                <w:lang w:val="en-US" w:eastAsia="zh-CN"/>
              </w:rPr>
              <w:t xml:space="preserve">土地资源利用上限 </w:t>
            </w:r>
          </w:p>
          <w:p w14:paraId="53782FDA">
            <w:pPr>
              <w:autoSpaceDE w:val="0"/>
              <w:autoSpaceDN w:val="0"/>
              <w:adjustRightInd w:val="0"/>
              <w:snapToGrid w:val="0"/>
              <w:spacing w:line="360" w:lineRule="auto"/>
              <w:ind w:firstLine="480" w:firstLineChars="200"/>
              <w:rPr>
                <w:rFonts w:hint="eastAsia"/>
                <w:color w:val="auto"/>
                <w:kern w:val="0"/>
                <w:szCs w:val="21"/>
                <w:highlight w:val="none"/>
              </w:rPr>
            </w:pPr>
            <w:r>
              <w:rPr>
                <w:rFonts w:hint="eastAsia"/>
                <w:color w:val="auto"/>
                <w:kern w:val="0"/>
                <w:szCs w:val="21"/>
                <w:highlight w:val="none"/>
                <w:lang w:val="en-US" w:eastAsia="zh-CN"/>
              </w:rPr>
              <w:t>根据《福州市人民政府关于实施“三线一单”生态分区管控的通知》（榕政综〔2021〕178号），衔接</w:t>
            </w:r>
            <w:r>
              <w:rPr>
                <w:rFonts w:hint="eastAsia"/>
                <w:color w:val="auto"/>
                <w:kern w:val="0"/>
                <w:szCs w:val="21"/>
                <w:highlight w:val="none"/>
                <w:lang w:eastAsia="zh-CN"/>
              </w:rPr>
              <w:t>《福州市国土空间总体规划》（2021-2035）</w:t>
            </w:r>
            <w:r>
              <w:rPr>
                <w:rFonts w:hint="eastAsia"/>
                <w:color w:val="auto"/>
                <w:kern w:val="0"/>
                <w:szCs w:val="21"/>
                <w:highlight w:val="none"/>
                <w:lang w:val="en-US" w:eastAsia="zh-CN"/>
              </w:rPr>
              <w:t xml:space="preserve">，项目用地性质为商业用地，与城市总体规划相符，项目符合符合土地资源利用上限管控要求。 </w:t>
            </w:r>
          </w:p>
          <w:p w14:paraId="3297224F">
            <w:pPr>
              <w:autoSpaceDE w:val="0"/>
              <w:autoSpaceDN w:val="0"/>
              <w:adjustRightInd w:val="0"/>
              <w:snapToGrid w:val="0"/>
              <w:spacing w:line="360" w:lineRule="auto"/>
              <w:ind w:firstLine="480" w:firstLineChars="200"/>
              <w:rPr>
                <w:rFonts w:hint="eastAsia"/>
                <w:color w:val="auto"/>
                <w:kern w:val="0"/>
                <w:szCs w:val="21"/>
                <w:highlight w:val="none"/>
              </w:rPr>
            </w:pPr>
            <w:r>
              <w:rPr>
                <w:rFonts w:hint="eastAsia"/>
                <w:color w:val="auto"/>
                <w:kern w:val="0"/>
                <w:szCs w:val="21"/>
                <w:highlight w:val="none"/>
                <w:lang w:val="en-US" w:eastAsia="zh-CN"/>
              </w:rPr>
              <w:t xml:space="preserve">c.能源资源利用上限 </w:t>
            </w:r>
          </w:p>
          <w:p w14:paraId="1536A66C">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lang w:val="en-US" w:eastAsia="zh-CN"/>
              </w:rPr>
              <w:t>根据《福州市人民政府关于实施“三线一单”生态分区管控的通知》（榕政综〔2021〕178号），衔接碳达峰方案、节能减排、能源规划等文件要求，控制目标以省政府下达为准。项目所在地不属于划定的高污染燃料禁燃区，项目生产设备使用电能，非高耗能项目，与福州市能源资源利用上限要求相符。</w:t>
            </w:r>
          </w:p>
          <w:p w14:paraId="75309CEF">
            <w:pPr>
              <w:autoSpaceDE w:val="0"/>
              <w:autoSpaceDN w:val="0"/>
              <w:adjustRightInd w:val="0"/>
              <w:snapToGrid w:val="0"/>
              <w:spacing w:line="360" w:lineRule="auto"/>
              <w:ind w:firstLine="480" w:firstLineChars="200"/>
              <w:rPr>
                <w:color w:val="auto"/>
                <w:kern w:val="0"/>
                <w:szCs w:val="21"/>
                <w:highlight w:val="none"/>
              </w:rPr>
            </w:pPr>
            <w:r>
              <w:rPr>
                <w:rFonts w:hint="eastAsia"/>
                <w:color w:val="auto"/>
                <w:kern w:val="0"/>
                <w:szCs w:val="21"/>
                <w:highlight w:val="none"/>
              </w:rPr>
              <w:t>④与环境准入负面清单符合性分析</w:t>
            </w:r>
          </w:p>
          <w:p w14:paraId="513125CD">
            <w:pPr>
              <w:widowControl/>
              <w:adjustRightInd w:val="0"/>
              <w:snapToGrid w:val="0"/>
              <w:spacing w:line="360" w:lineRule="auto"/>
              <w:ind w:firstLine="480" w:firstLineChars="200"/>
              <w:rPr>
                <w:color w:val="auto"/>
                <w:highlight w:val="none"/>
              </w:rPr>
            </w:pPr>
            <w:r>
              <w:rPr>
                <w:rFonts w:hint="eastAsia"/>
                <w:color w:val="auto"/>
                <w:kern w:val="0"/>
                <w:szCs w:val="21"/>
                <w:highlight w:val="none"/>
              </w:rPr>
              <w:t>根据福建省发展和改革委员会印发的《福建省第一批国家重点生态功能区县（市）产业准入负面清单</w:t>
            </w:r>
            <w:r>
              <w:rPr>
                <w:rFonts w:hint="eastAsia"/>
                <w:color w:val="auto"/>
                <w:kern w:val="0"/>
                <w:szCs w:val="21"/>
                <w:highlight w:val="none"/>
                <w:lang w:eastAsia="zh-CN"/>
              </w:rPr>
              <w:t>（</w:t>
            </w:r>
            <w:r>
              <w:rPr>
                <w:rFonts w:hint="eastAsia"/>
                <w:color w:val="auto"/>
                <w:kern w:val="0"/>
                <w:szCs w:val="21"/>
                <w:highlight w:val="none"/>
              </w:rPr>
              <w:t>试行</w:t>
            </w:r>
            <w:r>
              <w:rPr>
                <w:rFonts w:hint="eastAsia"/>
                <w:color w:val="auto"/>
                <w:kern w:val="0"/>
                <w:szCs w:val="21"/>
                <w:highlight w:val="none"/>
                <w:lang w:eastAsia="zh-CN"/>
              </w:rPr>
              <w:t>）</w:t>
            </w:r>
            <w:r>
              <w:rPr>
                <w:rFonts w:hint="eastAsia"/>
                <w:color w:val="auto"/>
                <w:kern w:val="0"/>
                <w:szCs w:val="21"/>
                <w:highlight w:val="none"/>
              </w:rPr>
              <w:t>》（2018年3月），列入福建省第一批国家重点生态功能区县（市）产业准入负面清单有永泰县、泰宁县、周宁县、柘荣县、永春县、华安县、屏南县、寿宁县、武夷山市等9个县（市），项目位于</w:t>
            </w:r>
            <w:r>
              <w:rPr>
                <w:color w:val="auto"/>
                <w:highlight w:val="none"/>
              </w:rPr>
              <w:fldChar w:fldCharType="begin"/>
            </w:r>
            <w:r>
              <w:rPr>
                <w:color w:val="auto"/>
                <w:highlight w:val="none"/>
              </w:rPr>
              <w:instrText xml:space="preserve"> REF 项目地址 \h  \* MERGEFORMAT </w:instrText>
            </w:r>
            <w:r>
              <w:rPr>
                <w:color w:val="auto"/>
                <w:highlight w:val="none"/>
              </w:rPr>
              <w:fldChar w:fldCharType="separate"/>
            </w:r>
            <w:r>
              <w:rPr>
                <w:rFonts w:hint="eastAsia" w:hAnsi="宋体"/>
                <w:color w:val="auto"/>
                <w:szCs w:val="21"/>
                <w:highlight w:val="none"/>
                <w:lang w:eastAsia="zh-CN"/>
              </w:rPr>
              <w:t>福建省福州市晋安区玉井路99号蓝光公馆8#楼1层20商业（餐饮）</w:t>
            </w:r>
            <w:r>
              <w:rPr>
                <w:rFonts w:hint="eastAsia" w:hAnsi="宋体"/>
                <w:color w:val="auto"/>
                <w:szCs w:val="21"/>
                <w:highlight w:val="none"/>
              </w:rPr>
              <w:fldChar w:fldCharType="end"/>
            </w:r>
            <w:r>
              <w:rPr>
                <w:rFonts w:hint="eastAsia"/>
                <w:color w:val="auto"/>
                <w:kern w:val="0"/>
                <w:szCs w:val="21"/>
                <w:highlight w:val="none"/>
              </w:rPr>
              <w:t>，不在其负面清单所列县市内，项目选址不属于环境功能区划需要特别保护的区域，符合当地环境功能区划的要求，符合当前国家产业政策要求，不属于禁止开发建设项目</w:t>
            </w:r>
            <w:r>
              <w:rPr>
                <w:color w:val="auto"/>
                <w:highlight w:val="none"/>
              </w:rPr>
              <w:t>。</w:t>
            </w:r>
          </w:p>
          <w:p w14:paraId="597CD71D">
            <w:pPr>
              <w:pStyle w:val="60"/>
              <w:rPr>
                <w:color w:val="auto"/>
                <w:highlight w:val="none"/>
              </w:rPr>
            </w:pPr>
          </w:p>
          <w:p w14:paraId="0D828A6B">
            <w:pPr>
              <w:pStyle w:val="60"/>
              <w:rPr>
                <w:color w:val="auto"/>
                <w:highlight w:val="none"/>
              </w:rPr>
            </w:pPr>
          </w:p>
          <w:p w14:paraId="51818601">
            <w:pPr>
              <w:pStyle w:val="60"/>
              <w:rPr>
                <w:color w:val="auto"/>
                <w:highlight w:val="none"/>
              </w:rPr>
            </w:pPr>
          </w:p>
          <w:p w14:paraId="3170A460">
            <w:pPr>
              <w:pStyle w:val="60"/>
              <w:rPr>
                <w:color w:val="auto"/>
                <w:highlight w:val="none"/>
              </w:rPr>
            </w:pPr>
          </w:p>
          <w:p w14:paraId="55818677">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highlight w:val="none"/>
              </w:rPr>
            </w:pPr>
          </w:p>
          <w:p w14:paraId="0DD94E65">
            <w:pPr>
              <w:pStyle w:val="22"/>
              <w:rPr>
                <w:rFonts w:hint="eastAsia"/>
              </w:rPr>
            </w:pPr>
          </w:p>
          <w:p w14:paraId="7CBDFDBD">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highlight w:val="none"/>
              </w:rPr>
            </w:pPr>
          </w:p>
          <w:p w14:paraId="74CD4862">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color w:val="auto"/>
                <w:highlight w:val="none"/>
              </w:rPr>
            </w:pPr>
            <w:r>
              <w:rPr>
                <w:rFonts w:hint="eastAsia"/>
                <w:color w:val="auto"/>
                <w:highlight w:val="none"/>
              </w:rPr>
              <w:t>项目与</w:t>
            </w:r>
            <w:r>
              <w:rPr>
                <w:rFonts w:hint="eastAsia"/>
                <w:color w:val="auto"/>
                <w:highlight w:val="none"/>
                <w:lang w:val="en-US" w:eastAsia="zh-CN"/>
              </w:rPr>
              <w:t>晋安区</w:t>
            </w:r>
            <w:r>
              <w:rPr>
                <w:rFonts w:hint="eastAsia"/>
                <w:color w:val="auto"/>
                <w:highlight w:val="none"/>
              </w:rPr>
              <w:t>生态环境总体准入要求详见表1-</w:t>
            </w:r>
            <w:r>
              <w:rPr>
                <w:rFonts w:hint="eastAsia"/>
                <w:color w:val="auto"/>
                <w:highlight w:val="none"/>
                <w:lang w:val="en-US" w:eastAsia="zh-CN"/>
              </w:rPr>
              <w:t>2</w:t>
            </w:r>
            <w:r>
              <w:rPr>
                <w:color w:val="auto"/>
                <w:highlight w:val="none"/>
              </w:rPr>
              <w:t>。</w:t>
            </w:r>
          </w:p>
          <w:p w14:paraId="1C2635C5">
            <w:pPr>
              <w:keepNext w:val="0"/>
              <w:keepLines w:val="0"/>
              <w:pageBreakBefore w:val="0"/>
              <w:widowControl w:val="0"/>
              <w:kinsoku/>
              <w:wordWrap/>
              <w:overflowPunct/>
              <w:topLinePunct w:val="0"/>
              <w:autoSpaceDE/>
              <w:autoSpaceDN/>
              <w:bidi w:val="0"/>
              <w:adjustRightInd/>
              <w:snapToGrid/>
              <w:jc w:val="center"/>
              <w:textAlignment w:val="auto"/>
              <w:rPr>
                <w:rFonts w:hint="eastAsia"/>
                <w:b/>
                <w:color w:val="000000" w:themeColor="text1"/>
                <w:szCs w:val="21"/>
                <w:highlight w:val="none"/>
                <w14:textFill>
                  <w14:solidFill>
                    <w14:schemeClr w14:val="tx1"/>
                  </w14:solidFill>
                </w14:textFill>
              </w:rPr>
            </w:pPr>
            <w:r>
              <w:rPr>
                <w:rFonts w:hint="eastAsia"/>
                <w:b/>
                <w:color w:val="auto"/>
                <w:szCs w:val="21"/>
                <w:highlight w:val="none"/>
              </w:rPr>
              <w:t>表1-</w:t>
            </w:r>
            <w:r>
              <w:rPr>
                <w:rFonts w:hint="eastAsia"/>
                <w:b/>
                <w:color w:val="auto"/>
                <w:szCs w:val="21"/>
                <w:highlight w:val="none"/>
                <w:lang w:val="en-US" w:eastAsia="zh-CN"/>
              </w:rPr>
              <w:t>2</w:t>
            </w:r>
            <w:r>
              <w:rPr>
                <w:rFonts w:hint="eastAsia"/>
                <w:b/>
                <w:color w:val="000000" w:themeColor="text1"/>
                <w:szCs w:val="21"/>
                <w:highlight w:val="none"/>
                <w14:textFill>
                  <w14:solidFill>
                    <w14:schemeClr w14:val="tx1"/>
                  </w14:solidFill>
                </w14:textFill>
              </w:rPr>
              <w:t xml:space="preserve">  </w:t>
            </w:r>
            <w:r>
              <w:rPr>
                <w:rFonts w:hint="eastAsia"/>
                <w:b/>
                <w:color w:val="000000" w:themeColor="text1"/>
                <w:szCs w:val="21"/>
                <w:highlight w:val="none"/>
                <w:lang w:val="en-US" w:eastAsia="zh-CN"/>
                <w14:textFill>
                  <w14:solidFill>
                    <w14:schemeClr w14:val="tx1"/>
                  </w14:solidFill>
                </w14:textFill>
              </w:rPr>
              <w:t>项目与晋安区生态环境准入清单要求符合性分析</w:t>
            </w:r>
          </w:p>
          <w:tbl>
            <w:tblPr>
              <w:tblStyle w:val="50"/>
              <w:tblW w:w="493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877"/>
              <w:gridCol w:w="786"/>
              <w:gridCol w:w="4024"/>
              <w:gridCol w:w="1422"/>
            </w:tblGrid>
            <w:tr w14:paraId="3E893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blHeader/>
              </w:trPr>
              <w:tc>
                <w:tcPr>
                  <w:tcW w:w="674" w:type="pct"/>
                  <w:tcBorders>
                    <w:top w:val="single" w:color="auto" w:sz="12" w:space="0"/>
                    <w:left w:val="nil"/>
                  </w:tcBorders>
                  <w:noWrap w:val="0"/>
                  <w:vAlign w:val="center"/>
                </w:tcPr>
                <w:p w14:paraId="1247958D">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pacing w:val="0"/>
                      <w:kern w:val="0"/>
                      <w:sz w:val="21"/>
                      <w:szCs w:val="21"/>
                      <w:highlight w:val="none"/>
                    </w:rPr>
                  </w:pPr>
                  <w:r>
                    <w:rPr>
                      <w:rFonts w:hint="default" w:ascii="Times New Roman" w:hAnsi="Times New Roman" w:eastAsia="宋体" w:cs="Times New Roman"/>
                      <w:b/>
                      <w:color w:val="auto"/>
                      <w:spacing w:val="0"/>
                      <w:kern w:val="0"/>
                      <w:sz w:val="21"/>
                      <w:szCs w:val="21"/>
                      <w:highlight w:val="none"/>
                    </w:rPr>
                    <w:t>环境管控</w:t>
                  </w:r>
                </w:p>
                <w:p w14:paraId="26170312">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pacing w:val="0"/>
                      <w:kern w:val="0"/>
                      <w:sz w:val="21"/>
                      <w:szCs w:val="21"/>
                      <w:highlight w:val="none"/>
                    </w:rPr>
                  </w:pPr>
                  <w:r>
                    <w:rPr>
                      <w:rFonts w:hint="default" w:ascii="Times New Roman" w:hAnsi="Times New Roman" w:eastAsia="宋体" w:cs="Times New Roman"/>
                      <w:b/>
                      <w:color w:val="auto"/>
                      <w:spacing w:val="0"/>
                      <w:kern w:val="0"/>
                      <w:sz w:val="21"/>
                      <w:szCs w:val="21"/>
                      <w:highlight w:val="none"/>
                    </w:rPr>
                    <w:t>单元名称</w:t>
                  </w:r>
                </w:p>
              </w:tc>
              <w:tc>
                <w:tcPr>
                  <w:tcW w:w="533" w:type="pct"/>
                  <w:tcBorders>
                    <w:top w:val="single" w:color="auto" w:sz="12" w:space="0"/>
                  </w:tcBorders>
                  <w:noWrap w:val="0"/>
                  <w:vAlign w:val="center"/>
                </w:tcPr>
                <w:p w14:paraId="1509FCF6">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pacing w:val="0"/>
                      <w:kern w:val="0"/>
                      <w:sz w:val="21"/>
                      <w:szCs w:val="21"/>
                      <w:highlight w:val="none"/>
                    </w:rPr>
                  </w:pPr>
                  <w:r>
                    <w:rPr>
                      <w:rFonts w:hint="default" w:ascii="Times New Roman" w:hAnsi="Times New Roman" w:eastAsia="宋体" w:cs="Times New Roman"/>
                      <w:b/>
                      <w:color w:val="auto"/>
                      <w:spacing w:val="0"/>
                      <w:kern w:val="0"/>
                      <w:sz w:val="21"/>
                      <w:szCs w:val="21"/>
                      <w:highlight w:val="none"/>
                    </w:rPr>
                    <w:t>管控单元类别</w:t>
                  </w:r>
                </w:p>
              </w:tc>
              <w:tc>
                <w:tcPr>
                  <w:tcW w:w="2926" w:type="pct"/>
                  <w:gridSpan w:val="2"/>
                  <w:tcBorders>
                    <w:top w:val="single" w:color="auto" w:sz="12" w:space="0"/>
                  </w:tcBorders>
                  <w:noWrap w:val="0"/>
                  <w:vAlign w:val="center"/>
                </w:tcPr>
                <w:p w14:paraId="4C02F536">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pacing w:val="0"/>
                      <w:kern w:val="0"/>
                      <w:sz w:val="21"/>
                      <w:szCs w:val="21"/>
                      <w:highlight w:val="none"/>
                    </w:rPr>
                  </w:pPr>
                  <w:r>
                    <w:rPr>
                      <w:rFonts w:hint="default" w:ascii="Times New Roman" w:hAnsi="Times New Roman" w:eastAsia="宋体" w:cs="Times New Roman"/>
                      <w:b/>
                      <w:color w:val="auto"/>
                      <w:spacing w:val="0"/>
                      <w:kern w:val="0"/>
                      <w:sz w:val="21"/>
                      <w:szCs w:val="21"/>
                      <w:highlight w:val="none"/>
                    </w:rPr>
                    <w:t>管控要求</w:t>
                  </w:r>
                </w:p>
              </w:tc>
              <w:tc>
                <w:tcPr>
                  <w:tcW w:w="865" w:type="pct"/>
                  <w:tcBorders>
                    <w:top w:val="single" w:color="auto" w:sz="12" w:space="0"/>
                    <w:right w:val="nil"/>
                  </w:tcBorders>
                  <w:noWrap w:val="0"/>
                  <w:vAlign w:val="center"/>
                </w:tcPr>
                <w:p w14:paraId="0343941F">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color w:val="auto"/>
                      <w:spacing w:val="0"/>
                      <w:kern w:val="0"/>
                      <w:sz w:val="21"/>
                      <w:szCs w:val="21"/>
                      <w:highlight w:val="none"/>
                      <w:lang w:eastAsia="zh-CN"/>
                    </w:rPr>
                  </w:pPr>
                  <w:r>
                    <w:rPr>
                      <w:rFonts w:hint="default" w:ascii="Times New Roman" w:hAnsi="Times New Roman" w:eastAsia="宋体" w:cs="Times New Roman"/>
                      <w:b/>
                      <w:color w:val="auto"/>
                      <w:spacing w:val="0"/>
                      <w:kern w:val="0"/>
                      <w:sz w:val="21"/>
                      <w:szCs w:val="21"/>
                      <w:highlight w:val="none"/>
                    </w:rPr>
                    <w:t>符合性</w:t>
                  </w:r>
                  <w:r>
                    <w:rPr>
                      <w:rFonts w:hint="default" w:ascii="Times New Roman" w:hAnsi="Times New Roman" w:eastAsia="宋体" w:cs="Times New Roman"/>
                      <w:b/>
                      <w:color w:val="auto"/>
                      <w:spacing w:val="0"/>
                      <w:kern w:val="0"/>
                      <w:sz w:val="21"/>
                      <w:szCs w:val="21"/>
                      <w:highlight w:val="none"/>
                      <w:lang w:eastAsia="zh-CN"/>
                    </w:rPr>
                    <w:t>分析</w:t>
                  </w:r>
                </w:p>
              </w:tc>
            </w:tr>
            <w:tr w14:paraId="65D51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 w:hRule="atLeast"/>
              </w:trPr>
              <w:tc>
                <w:tcPr>
                  <w:tcW w:w="674" w:type="pct"/>
                  <w:vMerge w:val="restart"/>
                  <w:tcBorders>
                    <w:left w:val="nil"/>
                  </w:tcBorders>
                  <w:noWrap w:val="0"/>
                  <w:vAlign w:val="center"/>
                </w:tcPr>
                <w:p w14:paraId="3CBE477A">
                  <w:pPr>
                    <w:widowControl/>
                    <w:jc w:val="center"/>
                    <w:textAlignment w:val="center"/>
                    <w:rPr>
                      <w:rFonts w:hint="default" w:ascii="Times New Roman" w:hAnsi="Times New Roman" w:eastAsia="宋体" w:cs="Times New Roman"/>
                      <w:color w:val="auto"/>
                      <w:spacing w:val="0"/>
                      <w:kern w:val="0"/>
                      <w:sz w:val="21"/>
                      <w:szCs w:val="21"/>
                      <w:highlight w:val="none"/>
                    </w:rPr>
                  </w:pPr>
                  <w:r>
                    <w:rPr>
                      <w:rFonts w:hint="eastAsia" w:ascii="仿宋_GB2312" w:hAnsi="仿宋_GB2312" w:eastAsia="仿宋_GB2312" w:cs="Times New Roman"/>
                      <w:kern w:val="0"/>
                      <w:sz w:val="24"/>
                      <w:szCs w:val="24"/>
                    </w:rPr>
                    <w:t>晋安区重点管控单元</w:t>
                  </w:r>
                  <w:r>
                    <w:rPr>
                      <w:rFonts w:hint="eastAsia" w:ascii="仿宋_GB2312" w:hAnsi="仿宋_GB2312" w:eastAsia="仿宋_GB2312" w:cs="Times New Roman"/>
                      <w:sz w:val="24"/>
                      <w:szCs w:val="24"/>
                    </w:rPr>
                    <w:t>1</w:t>
                  </w:r>
                </w:p>
              </w:tc>
              <w:tc>
                <w:tcPr>
                  <w:tcW w:w="533" w:type="pct"/>
                  <w:vMerge w:val="restart"/>
                  <w:noWrap w:val="0"/>
                  <w:vAlign w:val="center"/>
                </w:tcPr>
                <w:p w14:paraId="10427A49">
                  <w:pPr>
                    <w:widowControl/>
                    <w:jc w:val="center"/>
                    <w:textAlignment w:val="center"/>
                    <w:rPr>
                      <w:rFonts w:hint="default" w:ascii="Times New Roman" w:hAnsi="Times New Roman" w:eastAsia="宋体" w:cs="Times New Roman"/>
                      <w:color w:val="auto"/>
                      <w:spacing w:val="0"/>
                      <w:kern w:val="0"/>
                      <w:sz w:val="21"/>
                      <w:szCs w:val="21"/>
                      <w:highlight w:val="none"/>
                    </w:rPr>
                  </w:pPr>
                  <w:r>
                    <w:rPr>
                      <w:rFonts w:hint="eastAsia" w:ascii="仿宋_GB2312" w:hAnsi="仿宋_GB2312" w:eastAsia="仿宋_GB2312" w:cs="Times New Roman"/>
                      <w:kern w:val="0"/>
                      <w:sz w:val="24"/>
                      <w:szCs w:val="24"/>
                    </w:rPr>
                    <w:t>重点管控单元</w:t>
                  </w:r>
                </w:p>
              </w:tc>
              <w:tc>
                <w:tcPr>
                  <w:tcW w:w="478" w:type="pct"/>
                  <w:noWrap w:val="0"/>
                  <w:vAlign w:val="center"/>
                </w:tcPr>
                <w:p w14:paraId="48109413">
                  <w:pPr>
                    <w:widowControl/>
                    <w:jc w:val="center"/>
                    <w:rPr>
                      <w:rFonts w:hint="default" w:ascii="Times New Roman" w:hAnsi="Times New Roman" w:eastAsia="宋体" w:cs="Times New Roman"/>
                      <w:color w:val="auto"/>
                      <w:spacing w:val="0"/>
                      <w:kern w:val="0"/>
                      <w:sz w:val="21"/>
                      <w:szCs w:val="21"/>
                      <w:highlight w:val="none"/>
                    </w:rPr>
                  </w:pPr>
                  <w:r>
                    <w:rPr>
                      <w:rFonts w:hint="eastAsia" w:ascii="仿宋_GB2312" w:hAnsi="仿宋_GB2312" w:eastAsia="仿宋_GB2312" w:cs="Times New Roman"/>
                      <w:kern w:val="0"/>
                      <w:sz w:val="24"/>
                      <w:szCs w:val="24"/>
                    </w:rPr>
                    <w:t>空间布局约束</w:t>
                  </w:r>
                </w:p>
              </w:tc>
              <w:tc>
                <w:tcPr>
                  <w:tcW w:w="2448" w:type="pct"/>
                  <w:noWrap w:val="0"/>
                  <w:vAlign w:val="center"/>
                </w:tcPr>
                <w:p w14:paraId="30472FBA">
                  <w:pPr>
                    <w:adjustRightInd w:val="0"/>
                    <w:snapToGrid w:val="0"/>
                    <w:ind w:firstLine="0" w:firstLineChars="0"/>
                    <w:rPr>
                      <w:rFonts w:ascii="仿宋_GB2312" w:hAnsi="仿宋_GB2312" w:eastAsia="仿宋_GB2312" w:cs="Times New Roman"/>
                      <w:sz w:val="24"/>
                      <w:szCs w:val="24"/>
                    </w:rPr>
                  </w:pPr>
                  <w:r>
                    <w:rPr>
                      <w:rFonts w:hint="eastAsia" w:ascii="仿宋_GB2312" w:hAnsi="仿宋_GB2312" w:eastAsia="仿宋_GB2312" w:cs="Times New Roman"/>
                      <w:kern w:val="0"/>
                      <w:sz w:val="24"/>
                      <w:szCs w:val="24"/>
                    </w:rPr>
                    <w:t>1.严禁在城镇人口密集区新建危险化学品生产企业；现有不符合安全和卫生防护距离要求的危险化学品生产企业2025年底前完成就地改造达标、搬迁进入规范化工园区或关闭退出。</w:t>
                  </w:r>
                  <w:r>
                    <w:rPr>
                      <w:rFonts w:hint="eastAsia" w:ascii="仿宋_GB2312" w:hAnsi="仿宋_GB2312" w:eastAsia="仿宋_GB2312" w:cs="Times New Roman"/>
                      <w:sz w:val="24"/>
                      <w:szCs w:val="24"/>
                    </w:rPr>
                    <w:t>城市建成区内现有原料药制造、化工等污染较重的企业应有序搬迁改造或依法关闭。</w:t>
                  </w:r>
                </w:p>
                <w:p w14:paraId="6B774A45">
                  <w:pPr>
                    <w:adjustRightInd w:val="0"/>
                    <w:snapToGrid w:val="0"/>
                    <w:ind w:firstLine="0" w:firstLineChars="0"/>
                    <w:rPr>
                      <w:rFonts w:ascii="仿宋_GB2312" w:hAnsi="仿宋_GB2312" w:eastAsia="仿宋_GB2312" w:cs="Times New Roman"/>
                      <w:kern w:val="0"/>
                      <w:sz w:val="24"/>
                      <w:szCs w:val="24"/>
                    </w:rPr>
                  </w:pPr>
                  <w:r>
                    <w:rPr>
                      <w:rFonts w:hint="eastAsia" w:ascii="仿宋_GB2312" w:hAnsi="仿宋_GB2312" w:eastAsia="仿宋_GB2312" w:cs="Times New Roman"/>
                      <w:sz w:val="24"/>
                      <w:szCs w:val="24"/>
                    </w:rPr>
                    <w:t>2.</w:t>
                  </w:r>
                  <w:r>
                    <w:rPr>
                      <w:rFonts w:hint="eastAsia" w:ascii="仿宋_GB2312" w:hAnsi="仿宋_GB2312" w:eastAsia="仿宋_GB2312" w:cs="Times New Roman"/>
                      <w:kern w:val="0"/>
                      <w:sz w:val="24"/>
                      <w:szCs w:val="24"/>
                    </w:rPr>
                    <w:t>严格控制包装印刷、工业涂装、制鞋等高VOCs排放的项目建设，相关新建项目必须进入工业园区。</w:t>
                  </w:r>
                </w:p>
                <w:p w14:paraId="2F7CEEE2">
                  <w:pPr>
                    <w:adjustRightInd w:val="0"/>
                    <w:snapToGrid w:val="0"/>
                    <w:ind w:firstLine="0" w:firstLineChars="0"/>
                    <w:rPr>
                      <w:rFonts w:hint="default" w:ascii="Times New Roman" w:hAnsi="Times New Roman" w:eastAsia="宋体" w:cs="Times New Roman"/>
                      <w:color w:val="auto"/>
                      <w:spacing w:val="0"/>
                      <w:kern w:val="0"/>
                      <w:sz w:val="21"/>
                      <w:szCs w:val="21"/>
                      <w:highlight w:val="none"/>
                    </w:rPr>
                  </w:pPr>
                  <w:r>
                    <w:rPr>
                      <w:rFonts w:hint="eastAsia" w:ascii="仿宋_GB2312" w:hAnsi="仿宋_GB2312" w:eastAsia="仿宋_GB2312" w:cs="Times New Roman"/>
                      <w:kern w:val="0"/>
                      <w:sz w:val="24"/>
                      <w:szCs w:val="24"/>
                    </w:rPr>
                    <w:t>3.禁止开发利用未经评估和无害化处理的列入建设用地污染地块名录及开发利用负面清单的土地。</w:t>
                  </w:r>
                </w:p>
              </w:tc>
              <w:tc>
                <w:tcPr>
                  <w:tcW w:w="865" w:type="pct"/>
                  <w:tcBorders>
                    <w:right w:val="nil"/>
                  </w:tcBorders>
                  <w:noWrap w:val="0"/>
                  <w:vAlign w:val="center"/>
                </w:tcPr>
                <w:p w14:paraId="6B6CA39C">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1.</w:t>
                  </w:r>
                  <w:r>
                    <w:rPr>
                      <w:rFonts w:hint="default" w:ascii="Times New Roman" w:hAnsi="Times New Roman" w:eastAsia="宋体" w:cs="Times New Roman"/>
                      <w:color w:val="auto"/>
                      <w:spacing w:val="0"/>
                      <w:kern w:val="0"/>
                      <w:sz w:val="21"/>
                      <w:szCs w:val="21"/>
                      <w:highlight w:val="none"/>
                    </w:rPr>
                    <w:t>项目为宠物医院项目，</w:t>
                  </w:r>
                  <w:r>
                    <w:rPr>
                      <w:rFonts w:hint="eastAsia" w:cs="Times New Roman"/>
                      <w:color w:val="auto"/>
                      <w:spacing w:val="0"/>
                      <w:kern w:val="0"/>
                      <w:sz w:val="21"/>
                      <w:szCs w:val="21"/>
                      <w:highlight w:val="none"/>
                      <w:lang w:val="en-US" w:eastAsia="zh-CN"/>
                    </w:rPr>
                    <w:t>不属于新建危险化学品生产企业</w:t>
                  </w:r>
                </w:p>
                <w:p w14:paraId="77EA8C60">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pacing w:val="0"/>
                      <w:kern w:val="0"/>
                      <w:sz w:val="21"/>
                      <w:szCs w:val="21"/>
                      <w:highlight w:val="none"/>
                    </w:rPr>
                  </w:pPr>
                  <w:r>
                    <w:rPr>
                      <w:rFonts w:hint="eastAsia" w:cs="Times New Roman"/>
                      <w:color w:val="auto"/>
                      <w:spacing w:val="0"/>
                      <w:kern w:val="0"/>
                      <w:sz w:val="21"/>
                      <w:szCs w:val="21"/>
                      <w:highlight w:val="none"/>
                      <w:lang w:val="en-US" w:eastAsia="zh-CN"/>
                    </w:rPr>
                    <w:t>2.本项目</w:t>
                  </w:r>
                  <w:r>
                    <w:rPr>
                      <w:rFonts w:hint="default" w:ascii="Times New Roman" w:hAnsi="Times New Roman" w:eastAsia="宋体" w:cs="Times New Roman"/>
                      <w:color w:val="auto"/>
                      <w:spacing w:val="0"/>
                      <w:kern w:val="0"/>
                      <w:sz w:val="21"/>
                      <w:szCs w:val="21"/>
                      <w:highlight w:val="none"/>
                    </w:rPr>
                    <w:t>不产生VOCs，</w:t>
                  </w:r>
                  <w:r>
                    <w:rPr>
                      <w:rFonts w:hint="eastAsia" w:cs="Times New Roman"/>
                      <w:color w:val="auto"/>
                      <w:spacing w:val="0"/>
                      <w:kern w:val="0"/>
                      <w:sz w:val="21"/>
                      <w:szCs w:val="21"/>
                      <w:highlight w:val="none"/>
                      <w:lang w:val="en-US" w:eastAsia="zh-CN"/>
                    </w:rPr>
                    <w:t>3.项目</w:t>
                  </w:r>
                  <w:r>
                    <w:rPr>
                      <w:rFonts w:hint="default" w:ascii="Times New Roman" w:hAnsi="Times New Roman" w:eastAsia="宋体" w:cs="Times New Roman"/>
                      <w:color w:val="auto"/>
                      <w:spacing w:val="0"/>
                      <w:kern w:val="0"/>
                      <w:sz w:val="21"/>
                      <w:szCs w:val="21"/>
                      <w:highlight w:val="none"/>
                    </w:rPr>
                    <w:t>租用已有商铺作为经营</w:t>
                  </w:r>
                  <w:r>
                    <w:rPr>
                      <w:rFonts w:hint="eastAsia" w:ascii="Times New Roman" w:hAnsi="Times New Roman" w:eastAsia="宋体" w:cs="Times New Roman"/>
                      <w:color w:val="auto"/>
                      <w:spacing w:val="0"/>
                      <w:kern w:val="0"/>
                      <w:sz w:val="21"/>
                      <w:szCs w:val="21"/>
                      <w:highlight w:val="none"/>
                      <w:lang w:val="en-US" w:eastAsia="zh-CN"/>
                    </w:rPr>
                    <w:t>场所</w:t>
                  </w:r>
                  <w:r>
                    <w:rPr>
                      <w:rFonts w:hint="default" w:ascii="Times New Roman" w:hAnsi="Times New Roman" w:eastAsia="宋体" w:cs="Times New Roman"/>
                      <w:color w:val="auto"/>
                      <w:spacing w:val="0"/>
                      <w:kern w:val="0"/>
                      <w:sz w:val="21"/>
                      <w:szCs w:val="21"/>
                      <w:highlight w:val="none"/>
                    </w:rPr>
                    <w:t>，不新增用地，符合要求。</w:t>
                  </w:r>
                </w:p>
              </w:tc>
            </w:tr>
            <w:tr w14:paraId="6C065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4" w:type="pct"/>
                  <w:vMerge w:val="continue"/>
                  <w:tcBorders>
                    <w:left w:val="nil"/>
                  </w:tcBorders>
                  <w:noWrap w:val="0"/>
                  <w:vAlign w:val="center"/>
                </w:tcPr>
                <w:p w14:paraId="4392F988">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p>
              </w:tc>
              <w:tc>
                <w:tcPr>
                  <w:tcW w:w="533" w:type="pct"/>
                  <w:vMerge w:val="continue"/>
                  <w:noWrap w:val="0"/>
                  <w:vAlign w:val="center"/>
                </w:tcPr>
                <w:p w14:paraId="027C6B32">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p>
              </w:tc>
              <w:tc>
                <w:tcPr>
                  <w:tcW w:w="478" w:type="pct"/>
                  <w:noWrap w:val="0"/>
                  <w:vAlign w:val="center"/>
                </w:tcPr>
                <w:p w14:paraId="65CCA473">
                  <w:pPr>
                    <w:widowControl/>
                    <w:jc w:val="center"/>
                    <w:rPr>
                      <w:rFonts w:hint="default" w:ascii="Times New Roman" w:hAnsi="Times New Roman" w:eastAsia="宋体" w:cs="Times New Roman"/>
                      <w:color w:val="auto"/>
                      <w:spacing w:val="0"/>
                      <w:kern w:val="0"/>
                      <w:sz w:val="21"/>
                      <w:szCs w:val="21"/>
                      <w:highlight w:val="none"/>
                    </w:rPr>
                  </w:pPr>
                  <w:r>
                    <w:rPr>
                      <w:rFonts w:hint="eastAsia" w:ascii="仿宋_GB2312" w:hAnsi="仿宋_GB2312" w:eastAsia="仿宋_GB2312" w:cs="Times New Roman"/>
                      <w:kern w:val="0"/>
                      <w:sz w:val="24"/>
                      <w:szCs w:val="24"/>
                    </w:rPr>
                    <w:t>污染物排放管控</w:t>
                  </w:r>
                </w:p>
              </w:tc>
              <w:tc>
                <w:tcPr>
                  <w:tcW w:w="2448" w:type="pct"/>
                  <w:noWrap w:val="0"/>
                  <w:vAlign w:val="center"/>
                </w:tcPr>
                <w:p w14:paraId="3F6B8821">
                  <w:pPr>
                    <w:adjustRightInd w:val="0"/>
                    <w:snapToGrid w:val="0"/>
                    <w:ind w:firstLine="480" w:firstLineChars="200"/>
                    <w:rPr>
                      <w:rFonts w:hint="default" w:ascii="Times New Roman" w:hAnsi="Times New Roman" w:eastAsia="宋体" w:cs="Times New Roman"/>
                      <w:color w:val="auto"/>
                      <w:spacing w:val="0"/>
                      <w:kern w:val="0"/>
                      <w:sz w:val="21"/>
                      <w:szCs w:val="21"/>
                      <w:highlight w:val="none"/>
                    </w:rPr>
                  </w:pPr>
                  <w:r>
                    <w:rPr>
                      <w:rFonts w:hint="eastAsia" w:ascii="仿宋_GB2312" w:hAnsi="仿宋_GB2312" w:eastAsia="仿宋_GB2312" w:cs="Times New Roman"/>
                      <w:kern w:val="0"/>
                      <w:sz w:val="24"/>
                      <w:szCs w:val="24"/>
                    </w:rPr>
                    <w:t>落实新增二氧化硫、氮氧化物和VOCs排放总量控制要求。</w:t>
                  </w:r>
                </w:p>
              </w:tc>
              <w:tc>
                <w:tcPr>
                  <w:tcW w:w="865" w:type="pct"/>
                  <w:tcBorders>
                    <w:right w:val="nil"/>
                  </w:tcBorders>
                  <w:noWrap w:val="0"/>
                  <w:vAlign w:val="center"/>
                </w:tcPr>
                <w:p w14:paraId="7533D05F">
                  <w:pPr>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项目不排放二氧化硫、氮氧化物</w:t>
                  </w:r>
                  <w:r>
                    <w:rPr>
                      <w:rFonts w:hint="eastAsia" w:cs="Times New Roman"/>
                      <w:color w:val="auto"/>
                      <w:spacing w:val="0"/>
                      <w:kern w:val="0"/>
                      <w:sz w:val="21"/>
                      <w:szCs w:val="21"/>
                      <w:highlight w:val="none"/>
                      <w:lang w:val="en-US" w:eastAsia="zh-CN"/>
                    </w:rPr>
                    <w:t>和VOCs</w:t>
                  </w:r>
                  <w:r>
                    <w:rPr>
                      <w:rFonts w:hint="default" w:ascii="Times New Roman" w:hAnsi="Times New Roman" w:eastAsia="宋体" w:cs="Times New Roman"/>
                      <w:color w:val="auto"/>
                      <w:spacing w:val="0"/>
                      <w:kern w:val="0"/>
                      <w:sz w:val="21"/>
                      <w:szCs w:val="21"/>
                      <w:highlight w:val="none"/>
                    </w:rPr>
                    <w:t>。符合准入清单要求。</w:t>
                  </w:r>
                </w:p>
              </w:tc>
            </w:tr>
            <w:tr w14:paraId="3B813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7" w:hRule="atLeast"/>
              </w:trPr>
              <w:tc>
                <w:tcPr>
                  <w:tcW w:w="674" w:type="pct"/>
                  <w:vMerge w:val="continue"/>
                  <w:tcBorders>
                    <w:left w:val="nil"/>
                  </w:tcBorders>
                  <w:noWrap w:val="0"/>
                  <w:vAlign w:val="center"/>
                </w:tcPr>
                <w:p w14:paraId="0092BDC4">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p>
              </w:tc>
              <w:tc>
                <w:tcPr>
                  <w:tcW w:w="533" w:type="pct"/>
                  <w:vMerge w:val="continue"/>
                  <w:noWrap w:val="0"/>
                  <w:vAlign w:val="center"/>
                </w:tcPr>
                <w:p w14:paraId="36B482C3">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p>
              </w:tc>
              <w:tc>
                <w:tcPr>
                  <w:tcW w:w="478" w:type="pct"/>
                  <w:noWrap w:val="0"/>
                  <w:vAlign w:val="center"/>
                </w:tcPr>
                <w:p w14:paraId="72AA20A1">
                  <w:pPr>
                    <w:widowControl/>
                    <w:jc w:val="center"/>
                    <w:rPr>
                      <w:rFonts w:hint="default" w:ascii="Times New Roman" w:hAnsi="Times New Roman" w:eastAsia="宋体" w:cs="Times New Roman"/>
                      <w:color w:val="auto"/>
                      <w:spacing w:val="0"/>
                      <w:kern w:val="0"/>
                      <w:sz w:val="21"/>
                      <w:szCs w:val="21"/>
                      <w:highlight w:val="none"/>
                    </w:rPr>
                  </w:pPr>
                  <w:r>
                    <w:rPr>
                      <w:rFonts w:hint="eastAsia" w:ascii="仿宋_GB2312" w:hAnsi="仿宋_GB2312" w:eastAsia="仿宋_GB2312" w:cs="Times New Roman"/>
                      <w:kern w:val="0"/>
                      <w:sz w:val="24"/>
                      <w:szCs w:val="24"/>
                    </w:rPr>
                    <w:t>环境风险防控</w:t>
                  </w:r>
                </w:p>
              </w:tc>
              <w:tc>
                <w:tcPr>
                  <w:tcW w:w="2448" w:type="pct"/>
                  <w:noWrap w:val="0"/>
                  <w:vAlign w:val="center"/>
                </w:tcPr>
                <w:p w14:paraId="44B12F76">
                  <w:pPr>
                    <w:widowControl/>
                    <w:adjustRightInd w:val="0"/>
                    <w:snapToGrid w:val="0"/>
                    <w:ind w:firstLine="480" w:firstLineChars="200"/>
                    <w:rPr>
                      <w:rFonts w:hint="default" w:ascii="Times New Roman" w:hAnsi="Times New Roman" w:eastAsia="宋体" w:cs="Times New Roman"/>
                      <w:color w:val="auto"/>
                      <w:spacing w:val="0"/>
                      <w:sz w:val="21"/>
                      <w:szCs w:val="21"/>
                      <w:highlight w:val="none"/>
                    </w:rPr>
                  </w:pPr>
                  <w:r>
                    <w:rPr>
                      <w:rFonts w:hint="eastAsia" w:ascii="仿宋_GB2312" w:hAnsi="仿宋_GB2312" w:eastAsia="仿宋_GB2312" w:cs="Times New Roman"/>
                      <w:sz w:val="24"/>
                      <w:szCs w:val="24"/>
                    </w:rPr>
                    <w:t>单元内现有化学原料和化学制品制造业等具有潜在土壤污染环境风险的企业退役后，应开展土壤环境状况评估，经评估认为污染地块可能损害人体健康和环境，应当进行修复的，由造成污染的单位和个人负责被污染土壤的修复。</w:t>
                  </w:r>
                </w:p>
              </w:tc>
              <w:tc>
                <w:tcPr>
                  <w:tcW w:w="865" w:type="pct"/>
                  <w:tcBorders>
                    <w:right w:val="nil"/>
                  </w:tcBorders>
                  <w:noWrap w:val="0"/>
                  <w:vAlign w:val="center"/>
                </w:tcPr>
                <w:p w14:paraId="23B9E371">
                  <w:pPr>
                    <w:keepNext w:val="0"/>
                    <w:keepLines w:val="0"/>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项目为宠物医院项目，不涉及土壤污染风险，符合要求。</w:t>
                  </w:r>
                </w:p>
              </w:tc>
            </w:tr>
            <w:tr w14:paraId="6B748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4" w:type="pct"/>
                  <w:vMerge w:val="continue"/>
                  <w:tcBorders>
                    <w:left w:val="nil"/>
                  </w:tcBorders>
                  <w:noWrap w:val="0"/>
                  <w:vAlign w:val="center"/>
                </w:tcPr>
                <w:p w14:paraId="28D5E479">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p>
              </w:tc>
              <w:tc>
                <w:tcPr>
                  <w:tcW w:w="533" w:type="pct"/>
                  <w:vMerge w:val="continue"/>
                  <w:noWrap w:val="0"/>
                  <w:vAlign w:val="center"/>
                </w:tcPr>
                <w:p w14:paraId="1A862BF6">
                  <w:pPr>
                    <w:keepNext w:val="0"/>
                    <w:keepLines w:val="0"/>
                    <w:pageBreakBefore w:val="0"/>
                    <w:widowControl/>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pacing w:val="0"/>
                      <w:kern w:val="0"/>
                      <w:sz w:val="21"/>
                      <w:szCs w:val="21"/>
                      <w:highlight w:val="none"/>
                    </w:rPr>
                  </w:pPr>
                </w:p>
              </w:tc>
              <w:tc>
                <w:tcPr>
                  <w:tcW w:w="478" w:type="pct"/>
                  <w:noWrap w:val="0"/>
                  <w:vAlign w:val="center"/>
                </w:tcPr>
                <w:p w14:paraId="17A2D450">
                  <w:pPr>
                    <w:widowControl/>
                    <w:jc w:val="center"/>
                    <w:rPr>
                      <w:rFonts w:hint="default" w:ascii="Times New Roman" w:hAnsi="Times New Roman" w:eastAsia="宋体" w:cs="Times New Roman"/>
                      <w:color w:val="auto"/>
                      <w:spacing w:val="0"/>
                      <w:kern w:val="0"/>
                      <w:sz w:val="21"/>
                      <w:szCs w:val="21"/>
                      <w:highlight w:val="none"/>
                    </w:rPr>
                  </w:pPr>
                  <w:r>
                    <w:rPr>
                      <w:rFonts w:hint="eastAsia" w:ascii="仿宋_GB2312" w:hAnsi="仿宋_GB2312" w:eastAsia="仿宋_GB2312" w:cs="Times New Roman"/>
                      <w:kern w:val="0"/>
                      <w:sz w:val="24"/>
                      <w:szCs w:val="24"/>
                    </w:rPr>
                    <w:t>资源开发效率要求</w:t>
                  </w:r>
                </w:p>
              </w:tc>
              <w:tc>
                <w:tcPr>
                  <w:tcW w:w="2448" w:type="pct"/>
                  <w:noWrap w:val="0"/>
                  <w:vAlign w:val="center"/>
                </w:tcPr>
                <w:p w14:paraId="3187E722">
                  <w:pPr>
                    <w:adjustRightInd w:val="0"/>
                    <w:snapToGrid w:val="0"/>
                    <w:ind w:firstLine="480" w:firstLineChars="200"/>
                    <w:rPr>
                      <w:rFonts w:hint="default" w:ascii="Times New Roman" w:hAnsi="Times New Roman" w:eastAsia="宋体" w:cs="Times New Roman"/>
                      <w:color w:val="auto"/>
                      <w:spacing w:val="0"/>
                      <w:kern w:val="0"/>
                      <w:sz w:val="21"/>
                      <w:szCs w:val="21"/>
                      <w:highlight w:val="none"/>
                    </w:rPr>
                  </w:pPr>
                  <w:r>
                    <w:rPr>
                      <w:rFonts w:hint="eastAsia" w:ascii="仿宋_GB2312" w:hAnsi="仿宋_GB2312" w:eastAsia="仿宋_GB2312" w:cs="Times New Roman"/>
                      <w:kern w:val="0"/>
                      <w:sz w:val="24"/>
                      <w:szCs w:val="24"/>
                    </w:rPr>
                    <w:t>高污染燃料禁燃区内禁止燃用高污染燃料，禁止新建、扩建燃用高污染燃料的设施。已建的燃用高污染燃料设施，限期改用电、天然气、液化石油气等清洁能源。</w:t>
                  </w:r>
                </w:p>
              </w:tc>
              <w:tc>
                <w:tcPr>
                  <w:tcW w:w="865" w:type="pct"/>
                  <w:tcBorders>
                    <w:right w:val="nil"/>
                  </w:tcBorders>
                  <w:noWrap w:val="0"/>
                  <w:vAlign w:val="center"/>
                </w:tcPr>
                <w:p w14:paraId="3CB5FFA5">
                  <w:pPr>
                    <w:keepNext w:val="0"/>
                    <w:keepLines w:val="0"/>
                    <w:pageBreakBefore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项目不使用高污染燃料，符合要求。</w:t>
                  </w:r>
                </w:p>
              </w:tc>
            </w:tr>
          </w:tbl>
          <w:p w14:paraId="7C20E81F">
            <w:pPr>
              <w:widowControl/>
              <w:adjustRightInd w:val="0"/>
              <w:snapToGrid w:val="0"/>
              <w:spacing w:line="360" w:lineRule="auto"/>
              <w:ind w:firstLine="480" w:firstLineChars="200"/>
              <w:jc w:val="left"/>
              <w:rPr>
                <w:color w:val="auto"/>
                <w:highlight w:val="none"/>
              </w:rPr>
            </w:pPr>
          </w:p>
        </w:tc>
      </w:tr>
    </w:tbl>
    <w:p w14:paraId="17BD1662">
      <w:pPr>
        <w:pStyle w:val="157"/>
        <w:ind w:firstLine="0" w:firstLineChars="0"/>
        <w:jc w:val="center"/>
        <w:rPr>
          <w:rFonts w:ascii="Times New Roman" w:hAnsi="Times New Roman" w:cs="Times New Roman"/>
          <w:b/>
          <w:color w:val="auto"/>
          <w:highlight w:val="none"/>
        </w:rPr>
        <w:sectPr>
          <w:footerReference r:id="rId5" w:type="default"/>
          <w:pgSz w:w="11906" w:h="16838"/>
          <w:pgMar w:top="1418" w:right="1134" w:bottom="1418" w:left="1134" w:header="851" w:footer="992" w:gutter="0"/>
          <w:pgBorders>
            <w:top w:val="none" w:sz="0" w:space="0"/>
            <w:left w:val="none" w:sz="0" w:space="0"/>
            <w:bottom w:val="none" w:sz="0" w:space="0"/>
            <w:right w:val="none" w:sz="0" w:space="0"/>
          </w:pgBorders>
          <w:pgNumType w:fmt="decimal" w:start="1"/>
          <w:cols w:space="720" w:num="1"/>
          <w:docGrid w:linePitch="367" w:charSpace="915"/>
        </w:sectPr>
      </w:pPr>
    </w:p>
    <w:p w14:paraId="0616C1F9">
      <w:pPr>
        <w:pStyle w:val="2"/>
        <w:keepNext/>
        <w:keepLines/>
        <w:pageBreakBefore w:val="0"/>
        <w:widowControl w:val="0"/>
        <w:kinsoku/>
        <w:wordWrap/>
        <w:overflowPunct/>
        <w:topLinePunct w:val="0"/>
        <w:autoSpaceDE/>
        <w:autoSpaceDN/>
        <w:bidi w:val="0"/>
        <w:adjustRightInd w:val="0"/>
        <w:snapToGrid w:val="0"/>
        <w:ind w:left="0" w:leftChars="0" w:firstLine="0" w:firstLineChars="0"/>
        <w:textAlignment w:val="auto"/>
        <w:rPr>
          <w:color w:val="auto"/>
          <w:highlight w:val="none"/>
        </w:rPr>
      </w:pPr>
      <w:bookmarkStart w:id="34" w:name="_Toc21238"/>
      <w:bookmarkStart w:id="35" w:name="_Toc30929"/>
      <w:bookmarkStart w:id="36" w:name="_Toc133251533"/>
      <w:r>
        <w:rPr>
          <w:color w:val="auto"/>
          <w:highlight w:val="none"/>
        </w:rPr>
        <w:t>建设项目工程分析</w:t>
      </w:r>
      <w:bookmarkEnd w:id="34"/>
      <w:bookmarkEnd w:id="35"/>
      <w:bookmarkEnd w:id="36"/>
    </w:p>
    <w:tbl>
      <w:tblPr>
        <w:tblStyle w:val="50"/>
        <w:tblW w:w="985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Layout w:type="fixed"/>
        <w:tblCellMar>
          <w:top w:w="0" w:type="dxa"/>
          <w:left w:w="108" w:type="dxa"/>
          <w:bottom w:w="0" w:type="dxa"/>
          <w:right w:w="108" w:type="dxa"/>
        </w:tblCellMar>
      </w:tblPr>
      <w:tblGrid>
        <w:gridCol w:w="1191"/>
        <w:gridCol w:w="8661"/>
      </w:tblGrid>
      <w:tr w14:paraId="507CDE59">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90" w:hRule="atLeast"/>
          <w:jc w:val="center"/>
        </w:trPr>
        <w:tc>
          <w:tcPr>
            <w:tcW w:w="1191" w:type="dxa"/>
            <w:tcBorders>
              <w:tl2br w:val="nil"/>
              <w:tr2bl w:val="nil"/>
            </w:tcBorders>
            <w:vAlign w:val="center"/>
          </w:tcPr>
          <w:p w14:paraId="628FEC3A">
            <w:pPr>
              <w:pStyle w:val="45"/>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highlight w:val="none"/>
              </w:rPr>
              <w:t>建设内容</w:t>
            </w:r>
          </w:p>
        </w:tc>
        <w:tc>
          <w:tcPr>
            <w:tcW w:w="8661" w:type="dxa"/>
            <w:tcBorders>
              <w:tl2br w:val="nil"/>
              <w:tr2bl w:val="nil"/>
            </w:tcBorders>
          </w:tcPr>
          <w:p w14:paraId="02E91BF8">
            <w:pPr>
              <w:pStyle w:val="3"/>
              <w:rPr>
                <w:rFonts w:hint="default" w:ascii="Times New Roman" w:hAnsi="Times New Roman" w:cs="Times New Roman"/>
                <w:color w:val="auto"/>
                <w:highlight w:val="none"/>
              </w:rPr>
            </w:pPr>
            <w:bookmarkStart w:id="37" w:name="_Toc16557"/>
            <w:bookmarkStart w:id="38" w:name="_Toc31045"/>
            <w:bookmarkStart w:id="39" w:name="_Toc133251534"/>
            <w:r>
              <w:rPr>
                <w:rFonts w:hint="default" w:ascii="Times New Roman" w:hAnsi="Times New Roman" w:cs="Times New Roman"/>
                <w:color w:val="auto"/>
                <w:highlight w:val="none"/>
              </w:rPr>
              <w:t>项目由来</w:t>
            </w:r>
            <w:bookmarkEnd w:id="37"/>
            <w:bookmarkEnd w:id="38"/>
            <w:bookmarkEnd w:id="39"/>
          </w:p>
          <w:p w14:paraId="547CF2BA">
            <w:pPr>
              <w:adjustRightInd w:val="0"/>
              <w:snapToGrid w:val="0"/>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公司名称 \h  \* MERGEFORMAT </w:instrText>
            </w:r>
            <w:r>
              <w:rPr>
                <w:rFonts w:hint="default" w:ascii="Times New Roman" w:hAnsi="Times New Roman" w:cs="Times New Roman"/>
                <w:color w:val="auto"/>
                <w:highlight w:val="none"/>
              </w:rPr>
              <w:fldChar w:fldCharType="separate"/>
            </w:r>
            <w:r>
              <w:rPr>
                <w:rFonts w:hint="eastAsia" w:cs="Times New Roman"/>
                <w:color w:val="auto"/>
                <w:sz w:val="24"/>
                <w:szCs w:val="24"/>
                <w:highlight w:val="none"/>
                <w:lang w:eastAsia="zh-CN"/>
              </w:rPr>
              <w:t>福州市晋安区青鸟动物医院</w:t>
            </w:r>
            <w:r>
              <w:rPr>
                <w:rFonts w:hint="default" w:ascii="Times New Roman" w:hAnsi="Times New Roman" w:cs="Times New Roman"/>
                <w:color w:val="auto"/>
                <w:sz w:val="24"/>
                <w:szCs w:val="24"/>
                <w:highlight w:val="none"/>
              </w:rPr>
              <w:fldChar w:fldCharType="end"/>
            </w:r>
            <w:r>
              <w:rPr>
                <w:rFonts w:hint="eastAsia" w:cs="Times New Roman"/>
                <w:color w:val="auto"/>
                <w:sz w:val="24"/>
                <w:szCs w:val="24"/>
                <w:highlight w:val="none"/>
                <w:lang w:val="en-US" w:eastAsia="zh-CN"/>
              </w:rPr>
              <w:t>选址于</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项目地址 \h  \* MERGEFORMAT </w:instrText>
            </w:r>
            <w:r>
              <w:rPr>
                <w:rFonts w:hint="default" w:ascii="Times New Roman" w:hAnsi="Times New Roman" w:cs="Times New Roman"/>
                <w:color w:val="auto"/>
                <w:highlight w:val="none"/>
              </w:rPr>
              <w:fldChar w:fldCharType="separate"/>
            </w:r>
            <w:r>
              <w:rPr>
                <w:rFonts w:hint="eastAsia" w:cs="Times New Roman"/>
                <w:color w:val="auto"/>
                <w:sz w:val="24"/>
                <w:szCs w:val="24"/>
                <w:highlight w:val="none"/>
                <w:lang w:eastAsia="zh-CN"/>
              </w:rPr>
              <w:t>福建省福州市晋安区玉井路99号蓝光公馆8#楼1层20商业（餐饮）</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sz w:val="24"/>
                <w:szCs w:val="24"/>
                <w:highlight w:val="none"/>
              </w:rPr>
              <w:t>法人代表为</w:t>
            </w:r>
            <w:r>
              <w:rPr>
                <w:rFonts w:hint="eastAsia" w:cs="Times New Roman"/>
                <w:color w:val="auto"/>
                <w:sz w:val="24"/>
                <w:szCs w:val="24"/>
                <w:highlight w:val="none"/>
                <w:lang w:eastAsia="zh-CN"/>
              </w:rPr>
              <w:t>张德明</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项目拟总</w:t>
            </w:r>
            <w:r>
              <w:rPr>
                <w:rFonts w:hint="default" w:ascii="Times New Roman" w:hAnsi="Times New Roman" w:cs="Times New Roman"/>
                <w:color w:val="auto"/>
                <w:sz w:val="24"/>
                <w:szCs w:val="24"/>
                <w:highlight w:val="none"/>
              </w:rPr>
              <w:t>投资额为</w:t>
            </w:r>
            <w:r>
              <w:rPr>
                <w:rFonts w:hint="eastAsia" w:cs="Times New Roman"/>
                <w:color w:val="auto"/>
                <w:sz w:val="24"/>
                <w:szCs w:val="24"/>
                <w:highlight w:val="none"/>
                <w:lang w:val="en-US" w:eastAsia="zh-CN"/>
              </w:rPr>
              <w:t>90万元，建筑</w:t>
            </w:r>
            <w:r>
              <w:rPr>
                <w:rFonts w:hint="default" w:ascii="Times New Roman" w:hAnsi="Times New Roman" w:cs="Times New Roman"/>
                <w:color w:val="auto"/>
                <w:sz w:val="24"/>
                <w:szCs w:val="24"/>
                <w:highlight w:val="none"/>
              </w:rPr>
              <w:t>面积为</w:t>
            </w:r>
            <w:r>
              <w:rPr>
                <w:rFonts w:hint="eastAsia" w:cs="Times New Roman"/>
                <w:color w:val="auto"/>
                <w:sz w:val="24"/>
                <w:szCs w:val="24"/>
                <w:highlight w:val="none"/>
                <w:lang w:val="en-US" w:eastAsia="zh-CN"/>
              </w:rPr>
              <w:t>147</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2</w:t>
            </w:r>
            <w:r>
              <w:rPr>
                <w:rFonts w:hint="eastAsia" w:cs="Times New Roman"/>
                <w:color w:val="auto"/>
                <w:sz w:val="24"/>
                <w:szCs w:val="24"/>
                <w:highlight w:val="none"/>
                <w:vertAlign w:val="baseline"/>
                <w:lang w:eastAsia="zh-CN"/>
              </w:rPr>
              <w:t>。</w:t>
            </w:r>
            <w:r>
              <w:rPr>
                <w:rFonts w:hint="eastAsia" w:cs="Times New Roman"/>
                <w:color w:val="auto"/>
                <w:kern w:val="0"/>
                <w:sz w:val="24"/>
                <w:szCs w:val="24"/>
                <w:highlight w:val="none"/>
                <w:lang w:val="en-US" w:eastAsia="zh-CN"/>
              </w:rPr>
              <w:t>项目</w:t>
            </w:r>
            <w:r>
              <w:rPr>
                <w:rFonts w:hint="default" w:ascii="Times New Roman" w:hAnsi="Times New Roman" w:cs="Times New Roman"/>
                <w:color w:val="auto"/>
                <w:kern w:val="0"/>
                <w:sz w:val="24"/>
                <w:szCs w:val="24"/>
                <w:highlight w:val="none"/>
              </w:rPr>
              <w:t>主要经营</w:t>
            </w:r>
            <w:r>
              <w:rPr>
                <w:rFonts w:hint="eastAsia" w:cs="Times New Roman"/>
                <w:color w:val="auto"/>
                <w:kern w:val="0"/>
                <w:sz w:val="24"/>
                <w:szCs w:val="24"/>
                <w:highlight w:val="none"/>
                <w:lang w:val="en-US" w:eastAsia="zh-CN"/>
              </w:rPr>
              <w:t>范围为</w:t>
            </w:r>
            <w:r>
              <w:rPr>
                <w:rFonts w:hint="eastAsia"/>
                <w:bCs/>
                <w:color w:val="auto"/>
                <w:kern w:val="0"/>
                <w:highlight w:val="none"/>
                <w:lang w:eastAsia="zh-CN"/>
              </w:rPr>
              <w:t>宠物疾病预防</w:t>
            </w:r>
            <w:r>
              <w:rPr>
                <w:rFonts w:hint="eastAsia"/>
                <w:bCs/>
                <w:color w:val="auto"/>
                <w:kern w:val="0"/>
                <w:highlight w:val="none"/>
                <w:lang w:val="en-US" w:eastAsia="zh-CN"/>
              </w:rPr>
              <w:t>、</w:t>
            </w:r>
            <w:r>
              <w:rPr>
                <w:bCs/>
                <w:color w:val="auto"/>
                <w:kern w:val="0"/>
                <w:highlight w:val="none"/>
              </w:rPr>
              <w:t>诊</w:t>
            </w:r>
            <w:r>
              <w:rPr>
                <w:rFonts w:hint="eastAsia"/>
                <w:bCs/>
                <w:color w:val="auto"/>
                <w:kern w:val="0"/>
                <w:highlight w:val="none"/>
                <w:lang w:val="en-US" w:eastAsia="zh-CN"/>
              </w:rPr>
              <w:t>治和手术</w:t>
            </w:r>
            <w:r>
              <w:rPr>
                <w:rFonts w:hint="eastAsia"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涉及</w:t>
            </w:r>
            <w:r>
              <w:rPr>
                <w:color w:val="auto"/>
                <w:highlight w:val="none"/>
              </w:rPr>
              <w:t>动物颅腔、胸腔和腹腔手术</w:t>
            </w:r>
            <w:r>
              <w:rPr>
                <w:rFonts w:hint="eastAsia"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服务</w:t>
            </w:r>
            <w:r>
              <w:rPr>
                <w:rFonts w:hint="eastAsia"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宠物美容服务</w:t>
            </w:r>
            <w:r>
              <w:rPr>
                <w:rFonts w:hint="default" w:ascii="Times New Roman" w:hAnsi="Times New Roman" w:cs="Times New Roman"/>
                <w:color w:val="auto"/>
                <w:kern w:val="0"/>
                <w:sz w:val="24"/>
                <w:szCs w:val="24"/>
                <w:highlight w:val="none"/>
              </w:rPr>
              <w:t>和宠物用品销售</w:t>
            </w:r>
            <w:r>
              <w:rPr>
                <w:rFonts w:hint="default" w:ascii="Times New Roman" w:hAnsi="Times New Roman" w:cs="Times New Roman"/>
                <w:color w:val="auto"/>
                <w:kern w:val="0"/>
                <w:sz w:val="24"/>
                <w:szCs w:val="24"/>
                <w:highlight w:val="none"/>
                <w:lang w:val="en-US" w:eastAsia="zh-CN"/>
              </w:rPr>
              <w:t>等</w:t>
            </w:r>
            <w:r>
              <w:rPr>
                <w:rFonts w:hint="eastAsia" w:cs="Times New Roman"/>
                <w:color w:val="auto"/>
                <w:kern w:val="0"/>
                <w:sz w:val="24"/>
                <w:szCs w:val="24"/>
                <w:highlight w:val="none"/>
                <w:lang w:val="en-US" w:eastAsia="zh-CN"/>
              </w:rPr>
              <w:t>，</w:t>
            </w:r>
            <w:r>
              <w:rPr>
                <w:rFonts w:hint="default" w:ascii="Times New Roman" w:hAnsi="Times New Roman" w:cs="Times New Roman"/>
                <w:color w:val="auto"/>
                <w:kern w:val="0"/>
                <w:sz w:val="24"/>
                <w:szCs w:val="24"/>
                <w:highlight w:val="none"/>
              </w:rPr>
              <w:t>平均宠物</w:t>
            </w:r>
            <w:bookmarkStart w:id="245" w:name="_GoBack"/>
            <w:r>
              <w:rPr>
                <w:rFonts w:hint="default" w:ascii="Times New Roman" w:hAnsi="Times New Roman" w:cs="Times New Roman"/>
                <w:color w:val="auto"/>
                <w:kern w:val="0"/>
                <w:sz w:val="24"/>
                <w:szCs w:val="24"/>
                <w:highlight w:val="none"/>
              </w:rPr>
              <w:t>接待</w:t>
            </w:r>
            <w:bookmarkEnd w:id="245"/>
            <w:r>
              <w:rPr>
                <w:rFonts w:hint="default" w:ascii="Times New Roman" w:hAnsi="Times New Roman" w:cs="Times New Roman"/>
                <w:color w:val="auto"/>
                <w:kern w:val="0"/>
                <w:sz w:val="24"/>
                <w:szCs w:val="24"/>
                <w:highlight w:val="none"/>
              </w:rPr>
              <w:t>流量为</w:t>
            </w:r>
            <w:r>
              <w:rPr>
                <w:rFonts w:hint="eastAsia" w:cs="Times New Roman"/>
                <w:color w:val="auto"/>
                <w:kern w:val="0"/>
                <w:sz w:val="24"/>
                <w:szCs w:val="24"/>
                <w:highlight w:val="none"/>
                <w:lang w:val="en-US" w:eastAsia="zh-CN"/>
              </w:rPr>
              <w:t>25</w:t>
            </w:r>
            <w:r>
              <w:rPr>
                <w:rFonts w:hint="default" w:ascii="Times New Roman" w:hAnsi="Times New Roman" w:cs="Times New Roman"/>
                <w:color w:val="auto"/>
                <w:kern w:val="0"/>
                <w:sz w:val="24"/>
                <w:szCs w:val="24"/>
                <w:highlight w:val="none"/>
              </w:rPr>
              <w:t>只/</w:t>
            </w:r>
            <w:r>
              <w:rPr>
                <w:rFonts w:hint="eastAsia" w:cs="Times New Roman"/>
                <w:color w:val="auto"/>
                <w:kern w:val="0"/>
                <w:sz w:val="24"/>
                <w:szCs w:val="24"/>
                <w:highlight w:val="none"/>
                <w:lang w:val="en-US" w:eastAsia="zh-CN"/>
              </w:rPr>
              <w:t>天（宠物美容10只/天，宠物疾病预防、诊治含手术15只/天），以下简称“本项目”</w:t>
            </w:r>
            <w:r>
              <w:rPr>
                <w:rFonts w:hint="default" w:ascii="Times New Roman" w:hAnsi="Times New Roman" w:cs="Times New Roman"/>
                <w:color w:val="auto"/>
                <w:kern w:val="0"/>
                <w:sz w:val="24"/>
                <w:szCs w:val="24"/>
                <w:highlight w:val="none"/>
              </w:rPr>
              <w:t>。</w:t>
            </w:r>
          </w:p>
          <w:p w14:paraId="648A3C0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highlight w:val="none"/>
              </w:rPr>
            </w:pPr>
            <w:r>
              <w:rPr>
                <w:rFonts w:hint="eastAsia"/>
                <w:color w:val="auto"/>
                <w:highlight w:val="none"/>
                <w:lang w:val="en-US" w:eastAsia="zh-CN"/>
              </w:rPr>
              <w:t>本</w:t>
            </w:r>
            <w:r>
              <w:rPr>
                <w:rFonts w:hint="eastAsia"/>
                <w:color w:val="auto"/>
                <w:highlight w:val="none"/>
                <w:lang w:eastAsia="zh-CN"/>
              </w:rPr>
              <w:t>项目已取得主管部门核发的诊疗许可证（</w:t>
            </w:r>
            <w:r>
              <w:rPr>
                <w:rFonts w:hint="eastAsia"/>
                <w:color w:val="auto"/>
                <w:highlight w:val="none"/>
                <w:lang w:val="en-US" w:eastAsia="zh-CN"/>
              </w:rPr>
              <w:t>见附件6）</w:t>
            </w:r>
            <w:r>
              <w:rPr>
                <w:rFonts w:hint="eastAsia"/>
                <w:color w:val="auto"/>
                <w:highlight w:val="none"/>
                <w:lang w:eastAsia="zh-CN"/>
              </w:rPr>
              <w:t>，</w:t>
            </w:r>
            <w:r>
              <w:rPr>
                <w:rFonts w:hint="default" w:ascii="Times New Roman" w:hAnsi="Times New Roman" w:cs="Times New Roman"/>
                <w:color w:val="auto"/>
                <w:highlight w:val="none"/>
              </w:rPr>
              <w:t>根据《中华人民共和国环境影响评价法》、《建设项目环境保护管理条例》、《建设项目环境影响评价分类管理名录》（2021年1月1日起实施）</w:t>
            </w:r>
            <w:r>
              <w:rPr>
                <w:rFonts w:hint="default" w:ascii="Times New Roman" w:hAnsi="Times New Roman" w:cs="Times New Roman"/>
                <w:color w:val="auto"/>
                <w:highlight w:val="none"/>
                <w:lang w:eastAsia="zh-CN"/>
              </w:rPr>
              <w:t>，</w:t>
            </w:r>
            <w:r>
              <w:rPr>
                <w:rFonts w:hint="eastAsia"/>
                <w:color w:val="auto"/>
                <w:highlight w:val="none"/>
                <w:lang w:val="en-US" w:eastAsia="zh-CN"/>
              </w:rPr>
              <w:t>本</w:t>
            </w:r>
            <w:r>
              <w:rPr>
                <w:rFonts w:hint="eastAsia" w:cs="Times New Roman"/>
                <w:color w:val="auto"/>
                <w:highlight w:val="none"/>
                <w:lang w:val="en-US" w:eastAsia="zh-CN"/>
              </w:rPr>
              <w:t>项目</w:t>
            </w:r>
            <w:r>
              <w:rPr>
                <w:rFonts w:hint="default" w:ascii="Times New Roman" w:hAnsi="Times New Roman" w:cs="Times New Roman"/>
                <w:color w:val="auto"/>
                <w:highlight w:val="none"/>
                <w:lang w:val="en-US" w:eastAsia="zh-CN"/>
              </w:rPr>
              <w:t>属于</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五十、社会事业与服务业，123、动物医院</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设有动物颅腔、胸腔或腹腔手术设施的</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（详见表 2-1），该项目需编制环境影响报告表</w:t>
            </w:r>
            <w:r>
              <w:rPr>
                <w:rFonts w:hint="eastAsia" w:cs="Times New Roman"/>
                <w:color w:val="auto"/>
                <w:highlight w:val="none"/>
                <w:lang w:val="en-US" w:eastAsia="zh-CN"/>
              </w:rPr>
              <w:t>报生态环境</w:t>
            </w:r>
            <w:r>
              <w:rPr>
                <w:rFonts w:hint="default" w:ascii="Times New Roman" w:hAnsi="Times New Roman" w:cs="Times New Roman"/>
                <w:color w:val="auto"/>
                <w:highlight w:val="none"/>
                <w:lang w:val="en-US" w:eastAsia="zh-CN"/>
              </w:rPr>
              <w:t>部门审批</w:t>
            </w:r>
            <w:r>
              <w:rPr>
                <w:rFonts w:hint="default" w:ascii="Times New Roman" w:hAnsi="Times New Roman" w:cs="Times New Roman"/>
                <w:color w:val="auto"/>
                <w:highlight w:val="none"/>
              </w:rPr>
              <w:t>。因此，建设单位委托本环评单位编制该项目的环境影响报告表（委托书</w:t>
            </w:r>
            <w:r>
              <w:rPr>
                <w:rFonts w:hint="default" w:ascii="Times New Roman" w:hAnsi="Times New Roman" w:cs="Times New Roman"/>
                <w:color w:val="auto"/>
                <w:highlight w:val="none"/>
                <w:lang w:val="en-US" w:eastAsia="zh-CN"/>
              </w:rPr>
              <w:t>见</w:t>
            </w:r>
            <w:r>
              <w:rPr>
                <w:rFonts w:hint="default" w:ascii="Times New Roman" w:hAnsi="Times New Roman" w:cs="Times New Roman"/>
                <w:color w:val="auto"/>
                <w:highlight w:val="none"/>
              </w:rPr>
              <w:t>附件1）。本环评单位接受委托后，派技术人员踏勘现场和收集有关资料，并依照相关规定编写报告表，供建设单位报</w:t>
            </w:r>
            <w:r>
              <w:rPr>
                <w:rFonts w:hint="eastAsia" w:cs="Times New Roman"/>
                <w:color w:val="auto"/>
                <w:highlight w:val="none"/>
                <w:lang w:val="en-US" w:eastAsia="zh-CN"/>
              </w:rPr>
              <w:t>生态环境</w:t>
            </w:r>
            <w:r>
              <w:rPr>
                <w:rFonts w:hint="default" w:ascii="Times New Roman" w:hAnsi="Times New Roman" w:cs="Times New Roman"/>
                <w:color w:val="auto"/>
                <w:highlight w:val="none"/>
              </w:rPr>
              <w:t>主管部门审批和作为污染防治设施建设的依据。</w:t>
            </w:r>
          </w:p>
          <w:p w14:paraId="7B66BD3C">
            <w:pPr>
              <w:pStyle w:val="198"/>
              <w:spacing w:line="240" w:lineRule="auto"/>
              <w:rPr>
                <w:rFonts w:hint="default" w:ascii="Times New Roman" w:hAnsi="Times New Roman" w:cs="Times New Roman"/>
                <w:bCs/>
                <w:color w:val="auto"/>
                <w:szCs w:val="24"/>
                <w:highlight w:val="none"/>
                <w:lang w:bidi="zh-TW"/>
              </w:rPr>
            </w:pPr>
            <w:r>
              <w:rPr>
                <w:rFonts w:hint="default" w:ascii="Times New Roman" w:hAnsi="Times New Roman" w:cs="Times New Roman"/>
                <w:bCs/>
                <w:color w:val="auto"/>
                <w:szCs w:val="24"/>
                <w:highlight w:val="none"/>
                <w:lang w:bidi="zh-TW"/>
              </w:rPr>
              <w:t>表2-1  建设项目环境影响评价分类管理目录</w:t>
            </w:r>
          </w:p>
          <w:tbl>
            <w:tblPr>
              <w:tblStyle w:val="50"/>
              <w:tblW w:w="843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006"/>
              <w:gridCol w:w="2135"/>
              <w:gridCol w:w="908"/>
              <w:gridCol w:w="2439"/>
              <w:gridCol w:w="950"/>
            </w:tblGrid>
            <w:tr w14:paraId="0277E8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006" w:type="dxa"/>
                  <w:tcBorders>
                    <w:left w:val="nil"/>
                    <w:bottom w:val="single" w:color="000000" w:sz="4" w:space="0"/>
                    <w:right w:val="single" w:color="000000" w:sz="4" w:space="0"/>
                  </w:tcBorders>
                  <w:vAlign w:val="center"/>
                </w:tcPr>
                <w:p w14:paraId="6256EA2B">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管理名录</w:t>
                  </w:r>
                </w:p>
              </w:tc>
              <w:tc>
                <w:tcPr>
                  <w:tcW w:w="2135" w:type="dxa"/>
                  <w:tcBorders>
                    <w:left w:val="single" w:color="000000" w:sz="4" w:space="0"/>
                    <w:right w:val="single" w:color="000000" w:sz="4" w:space="0"/>
                    <w:tl2br w:val="single" w:color="000000" w:sz="6" w:space="0"/>
                  </w:tcBorders>
                  <w:vAlign w:val="center"/>
                </w:tcPr>
                <w:p w14:paraId="609539AD">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       环评类别</w:t>
                  </w:r>
                </w:p>
                <w:p w14:paraId="56BFDAAF">
                  <w:pPr>
                    <w:pStyle w:val="189"/>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项目类别     </w:t>
                  </w:r>
                </w:p>
              </w:tc>
              <w:tc>
                <w:tcPr>
                  <w:tcW w:w="908" w:type="dxa"/>
                  <w:tcBorders>
                    <w:left w:val="single" w:color="000000" w:sz="4" w:space="0"/>
                    <w:right w:val="single" w:color="000000" w:sz="6" w:space="0"/>
                  </w:tcBorders>
                  <w:vAlign w:val="center"/>
                </w:tcPr>
                <w:p w14:paraId="6807C3AA">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报告书</w:t>
                  </w:r>
                </w:p>
              </w:tc>
              <w:tc>
                <w:tcPr>
                  <w:tcW w:w="2439" w:type="dxa"/>
                  <w:tcBorders>
                    <w:left w:val="single" w:color="000000" w:sz="6" w:space="0"/>
                    <w:right w:val="single" w:color="000000" w:sz="4" w:space="0"/>
                  </w:tcBorders>
                  <w:vAlign w:val="center"/>
                </w:tcPr>
                <w:p w14:paraId="3A57650A">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报告表</w:t>
                  </w:r>
                </w:p>
              </w:tc>
              <w:tc>
                <w:tcPr>
                  <w:tcW w:w="950" w:type="dxa"/>
                  <w:tcBorders>
                    <w:left w:val="single" w:color="000000" w:sz="4" w:space="0"/>
                  </w:tcBorders>
                  <w:vAlign w:val="center"/>
                </w:tcPr>
                <w:p w14:paraId="6DCBF9B2">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登记表</w:t>
                  </w:r>
                </w:p>
              </w:tc>
            </w:tr>
            <w:tr w14:paraId="449980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9" w:hRule="atLeast"/>
                <w:jc w:val="center"/>
              </w:trPr>
              <w:tc>
                <w:tcPr>
                  <w:tcW w:w="2006" w:type="dxa"/>
                  <w:vMerge w:val="restart"/>
                  <w:tcBorders>
                    <w:top w:val="single" w:color="000000" w:sz="4" w:space="0"/>
                    <w:left w:val="nil"/>
                    <w:right w:val="single" w:color="000000" w:sz="4" w:space="0"/>
                  </w:tcBorders>
                  <w:shd w:val="clear" w:color="FFFFFF" w:fill="auto"/>
                  <w:vAlign w:val="center"/>
                </w:tcPr>
                <w:p w14:paraId="57B8C186">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《建设项目环境影响评价分类管理名录》（2021年1月1日起实施）</w:t>
                  </w:r>
                </w:p>
              </w:tc>
              <w:tc>
                <w:tcPr>
                  <w:tcW w:w="6432" w:type="dxa"/>
                  <w:gridSpan w:val="4"/>
                  <w:tcBorders>
                    <w:left w:val="single" w:color="000000" w:sz="4" w:space="0"/>
                  </w:tcBorders>
                  <w:shd w:val="clear" w:color="FFFFFF" w:fill="auto"/>
                  <w:vAlign w:val="center"/>
                </w:tcPr>
                <w:p w14:paraId="664DF93C">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五十、社会事业与服务业</w:t>
                  </w:r>
                </w:p>
              </w:tc>
            </w:tr>
            <w:tr w14:paraId="17CD8E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006" w:type="dxa"/>
                  <w:vMerge w:val="continue"/>
                  <w:tcBorders>
                    <w:left w:val="nil"/>
                    <w:right w:val="single" w:color="000000" w:sz="4" w:space="0"/>
                  </w:tcBorders>
                  <w:shd w:val="clear" w:color="FFFFFF" w:fill="auto"/>
                  <w:vAlign w:val="center"/>
                </w:tcPr>
                <w:p w14:paraId="5F14903C">
                  <w:pPr>
                    <w:pStyle w:val="189"/>
                    <w:spacing w:line="240" w:lineRule="auto"/>
                    <w:rPr>
                      <w:rFonts w:hint="default" w:ascii="Times New Roman" w:hAnsi="Times New Roman" w:eastAsia="宋体" w:cs="Times New Roman"/>
                      <w:color w:val="auto"/>
                      <w:highlight w:val="none"/>
                    </w:rPr>
                  </w:pPr>
                </w:p>
              </w:tc>
              <w:tc>
                <w:tcPr>
                  <w:tcW w:w="2135" w:type="dxa"/>
                  <w:tcBorders>
                    <w:left w:val="single" w:color="000000" w:sz="4" w:space="0"/>
                    <w:right w:val="single" w:color="000000" w:sz="4" w:space="0"/>
                  </w:tcBorders>
                  <w:shd w:val="clear" w:color="FFFFFF" w:fill="auto"/>
                  <w:vAlign w:val="center"/>
                </w:tcPr>
                <w:p w14:paraId="25D78253">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123、动物医院</w:t>
                  </w:r>
                </w:p>
              </w:tc>
              <w:tc>
                <w:tcPr>
                  <w:tcW w:w="908" w:type="dxa"/>
                  <w:tcBorders>
                    <w:left w:val="single" w:color="000000" w:sz="4" w:space="0"/>
                    <w:right w:val="single" w:color="000000" w:sz="6" w:space="0"/>
                  </w:tcBorders>
                  <w:shd w:val="clear" w:color="FFFFFF" w:fill="auto"/>
                  <w:vAlign w:val="center"/>
                </w:tcPr>
                <w:p w14:paraId="01A24249">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439" w:type="dxa"/>
                  <w:tcBorders>
                    <w:left w:val="single" w:color="000000" w:sz="6" w:space="0"/>
                    <w:right w:val="single" w:color="000000" w:sz="4" w:space="0"/>
                  </w:tcBorders>
                  <w:shd w:val="clear" w:color="FFFFFF" w:fill="auto"/>
                  <w:vAlign w:val="center"/>
                </w:tcPr>
                <w:p w14:paraId="091167C5">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设有动物颅腔、胸腔或腹腔手术设施的</w:t>
                  </w:r>
                </w:p>
              </w:tc>
              <w:tc>
                <w:tcPr>
                  <w:tcW w:w="950" w:type="dxa"/>
                  <w:tcBorders>
                    <w:left w:val="single" w:color="000000" w:sz="4" w:space="0"/>
                  </w:tcBorders>
                  <w:shd w:val="clear" w:color="FFFFFF" w:fill="auto"/>
                  <w:vAlign w:val="center"/>
                </w:tcPr>
                <w:p w14:paraId="45B04C97">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bl>
          <w:p w14:paraId="73688F6C">
            <w:pPr>
              <w:pStyle w:val="3"/>
              <w:rPr>
                <w:rFonts w:hint="default" w:ascii="Times New Roman" w:hAnsi="Times New Roman" w:cs="Times New Roman"/>
                <w:color w:val="auto"/>
                <w:highlight w:val="none"/>
              </w:rPr>
            </w:pPr>
            <w:bookmarkStart w:id="40" w:name="_Toc133251535"/>
            <w:bookmarkStart w:id="41" w:name="_Toc22298"/>
            <w:r>
              <w:rPr>
                <w:rFonts w:hint="default" w:ascii="Times New Roman" w:hAnsi="Times New Roman" w:cs="Times New Roman"/>
                <w:color w:val="auto"/>
                <w:highlight w:val="none"/>
              </w:rPr>
              <w:t>项目概况</w:t>
            </w:r>
            <w:bookmarkEnd w:id="40"/>
            <w:bookmarkEnd w:id="41"/>
          </w:p>
          <w:p w14:paraId="5D9EE8ED">
            <w:pPr>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项目名称：</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项目 \h  \* MERGEFORMAT </w:instrText>
            </w:r>
            <w:r>
              <w:rPr>
                <w:rFonts w:hint="default" w:ascii="Times New Roman" w:hAnsi="Times New Roman" w:cs="Times New Roman"/>
                <w:color w:val="auto"/>
                <w:highlight w:val="none"/>
              </w:rPr>
              <w:fldChar w:fldCharType="separate"/>
            </w:r>
            <w:r>
              <w:rPr>
                <w:rFonts w:hint="eastAsia" w:cs="Times New Roman"/>
                <w:color w:val="auto"/>
                <w:highlight w:val="none"/>
                <w:lang w:eastAsia="zh-CN"/>
              </w:rPr>
              <w:t>福州市晋安区青鸟动物医院项目</w:t>
            </w:r>
            <w:r>
              <w:rPr>
                <w:rFonts w:hint="default" w:ascii="Times New Roman" w:hAnsi="Times New Roman" w:cs="Times New Roman"/>
                <w:color w:val="auto"/>
                <w:highlight w:val="none"/>
              </w:rPr>
              <w:fldChar w:fldCharType="end"/>
            </w:r>
          </w:p>
          <w:p w14:paraId="4E336944">
            <w:pPr>
              <w:pStyle w:val="15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建设单位：</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公司名称 \h  \* MERGEFORMAT </w:instrText>
            </w:r>
            <w:r>
              <w:rPr>
                <w:rFonts w:hint="default" w:ascii="Times New Roman" w:hAnsi="Times New Roman" w:cs="Times New Roman"/>
                <w:color w:val="auto"/>
                <w:highlight w:val="none"/>
              </w:rPr>
              <w:fldChar w:fldCharType="separate"/>
            </w:r>
            <w:r>
              <w:rPr>
                <w:rFonts w:hint="eastAsia" w:ascii="Times New Roman" w:hAnsi="Times New Roman" w:eastAsia="宋体" w:cs="Times New Roman"/>
                <w:color w:val="auto"/>
                <w:szCs w:val="24"/>
                <w:highlight w:val="none"/>
                <w:lang w:eastAsia="zh-CN"/>
              </w:rPr>
              <w:t>福州市晋安区青鸟动物医院</w:t>
            </w:r>
            <w:r>
              <w:rPr>
                <w:rFonts w:hint="default" w:ascii="Times New Roman" w:hAnsi="Times New Roman" w:eastAsia="宋体" w:cs="Times New Roman"/>
                <w:color w:val="auto"/>
                <w:szCs w:val="24"/>
                <w:highlight w:val="none"/>
              </w:rPr>
              <w:fldChar w:fldCharType="end"/>
            </w:r>
          </w:p>
          <w:p w14:paraId="309249DA">
            <w:pPr>
              <w:pStyle w:val="15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建设性质：新建</w:t>
            </w:r>
          </w:p>
          <w:p w14:paraId="3DB68904">
            <w:pPr>
              <w:pStyle w:val="157"/>
              <w:ind w:firstLine="480"/>
              <w:rPr>
                <w:rStyle w:val="133"/>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建设地点：</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项目地址 \h  \* MERGEFORMAT </w:instrText>
            </w:r>
            <w:r>
              <w:rPr>
                <w:rFonts w:hint="default" w:ascii="Times New Roman" w:hAnsi="Times New Roman" w:cs="Times New Roman"/>
                <w:color w:val="auto"/>
                <w:highlight w:val="none"/>
              </w:rPr>
              <w:fldChar w:fldCharType="separate"/>
            </w:r>
            <w:r>
              <w:rPr>
                <w:rFonts w:hint="eastAsia" w:ascii="Times New Roman" w:hAnsi="Times New Roman" w:eastAsia="宋体" w:cs="Times New Roman"/>
                <w:color w:val="auto"/>
                <w:szCs w:val="21"/>
                <w:highlight w:val="none"/>
                <w:lang w:eastAsia="zh-CN"/>
              </w:rPr>
              <w:t>福建省福州市晋安区玉井路99号蓝光公馆8#楼1层20商业（餐饮）</w:t>
            </w:r>
            <w:r>
              <w:rPr>
                <w:rFonts w:hint="default" w:ascii="Times New Roman" w:hAnsi="Times New Roman" w:eastAsia="宋体" w:cs="Times New Roman"/>
                <w:color w:val="auto"/>
                <w:szCs w:val="21"/>
                <w:highlight w:val="none"/>
              </w:rPr>
              <w:fldChar w:fldCharType="end"/>
            </w:r>
            <w:r>
              <w:rPr>
                <w:rFonts w:hint="eastAsia" w:ascii="Times New Roman" w:hAnsi="Times New Roman" w:eastAsia="宋体" w:cs="Times New Roman"/>
                <w:color w:val="auto"/>
                <w:szCs w:val="21"/>
                <w:highlight w:val="none"/>
                <w:lang w:eastAsia="zh-CN"/>
              </w:rPr>
              <w:t>。</w:t>
            </w:r>
          </w:p>
          <w:p w14:paraId="030151E8">
            <w:pPr>
              <w:pStyle w:val="157"/>
              <w:ind w:firstLine="48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建设规模</w:t>
            </w:r>
            <w:r>
              <w:rPr>
                <w:rFonts w:hint="default" w:ascii="Times New Roman" w:hAnsi="Times New Roman" w:eastAsia="宋体" w:cs="Times New Roman"/>
                <w:color w:val="000000" w:themeColor="text1"/>
                <w:highlight w:val="none"/>
                <w14:textFill>
                  <w14:solidFill>
                    <w14:schemeClr w14:val="tx1"/>
                  </w14:solidFill>
                </w14:textFill>
              </w:rPr>
              <w:t>：项目建筑面积为</w:t>
            </w:r>
            <w:r>
              <w:rPr>
                <w:rFonts w:hint="eastAsia" w:ascii="Times New Roman" w:hAnsi="Times New Roman" w:eastAsia="宋体" w:cs="Times New Roman"/>
                <w:color w:val="000000" w:themeColor="text1"/>
                <w:highlight w:val="none"/>
                <w:lang w:val="en-US" w:eastAsia="zh-CN"/>
                <w14:textFill>
                  <w14:solidFill>
                    <w14:schemeClr w14:val="tx1"/>
                  </w14:solidFill>
                </w14:textFill>
              </w:rPr>
              <w:t>147m</w:t>
            </w:r>
            <w:r>
              <w:rPr>
                <w:rFonts w:hint="eastAsia" w:ascii="Times New Roman" w:hAnsi="Times New Roman" w:eastAsia="宋体" w:cs="Times New Roman"/>
                <w:color w:val="000000" w:themeColor="text1"/>
                <w:highlight w:val="none"/>
                <w:vertAlign w:val="superscript"/>
                <w:lang w:val="en-US" w:eastAsia="zh-CN"/>
                <w14:textFill>
                  <w14:solidFill>
                    <w14:schemeClr w14:val="tx1"/>
                  </w14:solidFill>
                </w14:textFill>
              </w:rPr>
              <w:t>2</w:t>
            </w:r>
            <w:r>
              <w:rPr>
                <w:rFonts w:hint="eastAsia" w:ascii="Times New Roman" w:hAnsi="Times New Roman" w:eastAsia="宋体" w:cs="Times New Roman"/>
                <w:color w:val="auto"/>
                <w:highlight w:val="none"/>
                <w:vertAlign w:val="baseline"/>
                <w:lang w:val="en-US" w:eastAsia="zh-CN"/>
              </w:rPr>
              <w:t>。</w:t>
            </w:r>
          </w:p>
          <w:p w14:paraId="34D92BC7">
            <w:pPr>
              <w:pStyle w:val="15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经营内容：项目主要</w:t>
            </w:r>
            <w:r>
              <w:rPr>
                <w:rFonts w:hint="eastAsia" w:ascii="Times New Roman" w:hAnsi="Times New Roman" w:eastAsia="宋体" w:cs="Times New Roman"/>
                <w:color w:val="auto"/>
                <w:highlight w:val="none"/>
                <w:lang w:val="en-US" w:eastAsia="zh-CN"/>
              </w:rPr>
              <w:t>经营范围为</w:t>
            </w:r>
            <w:r>
              <w:rPr>
                <w:rFonts w:hint="eastAsia" w:ascii="Times New Roman" w:hAnsi="Times New Roman" w:eastAsia="宋体" w:cs="Times New Roman"/>
                <w:color w:val="auto"/>
                <w:highlight w:val="none"/>
                <w:lang w:eastAsia="zh-CN"/>
              </w:rPr>
              <w:t>宠物疾病预防</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eastAsia="zh-CN"/>
              </w:rPr>
              <w:t>诊治</w:t>
            </w:r>
            <w:r>
              <w:rPr>
                <w:rFonts w:hint="default" w:ascii="Times New Roman" w:hAnsi="Times New Roman" w:eastAsia="宋体" w:cs="Times New Roman"/>
                <w:color w:val="auto"/>
                <w:highlight w:val="none"/>
                <w:lang w:val="en-US" w:eastAsia="zh-CN"/>
              </w:rPr>
              <w:t>和手术（涉及动物颅腔、胸腔和腹腔手术）</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宠物</w:t>
            </w:r>
            <w:r>
              <w:rPr>
                <w:rFonts w:hint="default" w:ascii="Times New Roman" w:hAnsi="Times New Roman" w:eastAsia="宋体" w:cs="Times New Roman"/>
                <w:color w:val="auto"/>
                <w:highlight w:val="none"/>
              </w:rPr>
              <w:t>美容服务和宠物用品销售</w:t>
            </w:r>
            <w:r>
              <w:rPr>
                <w:rFonts w:hint="eastAsia" w:ascii="Times New Roman" w:hAnsi="Times New Roman" w:eastAsia="宋体" w:cs="Times New Roman"/>
                <w:color w:val="auto"/>
                <w:highlight w:val="none"/>
                <w:lang w:val="en-US" w:eastAsia="zh-CN"/>
              </w:rPr>
              <w:t>等</w:t>
            </w:r>
            <w:r>
              <w:rPr>
                <w:rFonts w:hint="default" w:ascii="Times New Roman" w:hAnsi="Times New Roman" w:eastAsia="宋体" w:cs="Times New Roman"/>
                <w:color w:val="auto"/>
                <w:highlight w:val="none"/>
              </w:rPr>
              <w:t>。</w:t>
            </w:r>
          </w:p>
          <w:p w14:paraId="28A2A223">
            <w:pPr>
              <w:pStyle w:val="157"/>
              <w:ind w:firstLine="48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7）</w:t>
            </w:r>
            <w:r>
              <w:rPr>
                <w:rFonts w:hint="eastAsia" w:ascii="Times New Roman" w:hAnsi="Times New Roman" w:eastAsia="宋体" w:cs="Times New Roman"/>
                <w:color w:val="auto"/>
                <w:highlight w:val="none"/>
                <w:lang w:val="en-US" w:eastAsia="zh-CN"/>
              </w:rPr>
              <w:t>经营</w:t>
            </w:r>
            <w:r>
              <w:rPr>
                <w:rFonts w:hint="default" w:ascii="Times New Roman" w:hAnsi="Times New Roman" w:eastAsia="宋体" w:cs="Times New Roman"/>
                <w:color w:val="auto"/>
                <w:highlight w:val="none"/>
              </w:rPr>
              <w:t>规模：平均宠物接待流量为</w:t>
            </w:r>
            <w:r>
              <w:rPr>
                <w:rFonts w:hint="eastAsia" w:ascii="Times New Roman" w:hAnsi="Times New Roman" w:eastAsia="宋体" w:cs="Times New Roman"/>
                <w:color w:val="auto"/>
                <w:highlight w:val="none"/>
                <w:lang w:val="en-US" w:eastAsia="zh-CN"/>
              </w:rPr>
              <w:t>20</w:t>
            </w:r>
            <w:r>
              <w:rPr>
                <w:rFonts w:hint="default" w:ascii="Times New Roman" w:hAnsi="Times New Roman" w:eastAsia="宋体" w:cs="Times New Roman"/>
                <w:color w:val="auto"/>
                <w:highlight w:val="none"/>
              </w:rPr>
              <w:t>只/</w:t>
            </w:r>
            <w:r>
              <w:rPr>
                <w:rFonts w:hint="default" w:ascii="Times New Roman" w:hAnsi="Times New Roman" w:eastAsia="宋体" w:cs="Times New Roman"/>
                <w:color w:val="auto"/>
                <w:highlight w:val="none"/>
                <w:lang w:val="en-US" w:eastAsia="zh-CN"/>
              </w:rPr>
              <w:t>天（宠物美容</w:t>
            </w:r>
            <w:r>
              <w:rPr>
                <w:rFonts w:hint="eastAsia" w:ascii="Times New Roman" w:hAnsi="Times New Roman" w:eastAsia="宋体" w:cs="Times New Roman"/>
                <w:color w:val="auto"/>
                <w:highlight w:val="none"/>
                <w:lang w:val="en-US" w:eastAsia="zh-CN"/>
              </w:rPr>
              <w:t>洗护</w:t>
            </w:r>
            <w:r>
              <w:rPr>
                <w:rFonts w:hint="default" w:ascii="Times New Roman" w:hAnsi="Times New Roman" w:eastAsia="宋体" w:cs="Times New Roman"/>
                <w:color w:val="auto"/>
                <w:highlight w:val="none"/>
                <w:lang w:val="en-US" w:eastAsia="zh-CN"/>
              </w:rPr>
              <w:t>10只/天，</w:t>
            </w:r>
            <w:r>
              <w:rPr>
                <w:rFonts w:hint="eastAsia" w:ascii="Times New Roman" w:hAnsi="Times New Roman" w:eastAsia="宋体" w:cs="Times New Roman"/>
                <w:color w:val="auto"/>
                <w:highlight w:val="none"/>
                <w:lang w:val="en-US" w:eastAsia="zh-CN"/>
              </w:rPr>
              <w:t>疾病预防、诊治含</w:t>
            </w:r>
            <w:r>
              <w:rPr>
                <w:rFonts w:hint="eastAsia" w:ascii="Times New Roman" w:hAnsi="Times New Roman" w:eastAsia="宋体" w:cs="Times New Roman"/>
                <w:color w:val="auto"/>
                <w:highlight w:val="none"/>
              </w:rPr>
              <w:t>手术</w:t>
            </w:r>
            <w:r>
              <w:rPr>
                <w:rFonts w:hint="eastAsia"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lang w:val="en-US" w:eastAsia="zh-CN"/>
              </w:rPr>
              <w:t>只/天）</w:t>
            </w:r>
            <w:r>
              <w:rPr>
                <w:rFonts w:hint="eastAsia" w:ascii="Times New Roman" w:hAnsi="Times New Roman" w:eastAsia="宋体" w:cs="Times New Roman"/>
                <w:color w:val="auto"/>
                <w:highlight w:val="none"/>
                <w:lang w:val="en-US" w:eastAsia="zh-CN"/>
              </w:rPr>
              <w:t>。</w:t>
            </w:r>
          </w:p>
          <w:p w14:paraId="21AA8404">
            <w:pPr>
              <w:pStyle w:val="157"/>
              <w:ind w:firstLine="480"/>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劳动定员：</w:t>
            </w:r>
            <w:r>
              <w:rPr>
                <w:rFonts w:hint="eastAsia" w:ascii="Times New Roman" w:hAnsi="Times New Roman" w:eastAsia="宋体" w:cs="Times New Roman"/>
                <w:color w:val="auto"/>
                <w:highlight w:val="none"/>
                <w:lang w:val="en-US" w:eastAsia="zh-CN"/>
              </w:rPr>
              <w:t>员工5人</w:t>
            </w:r>
            <w:r>
              <w:rPr>
                <w:rFonts w:hint="default" w:ascii="Times New Roman" w:hAnsi="Times New Roman" w:eastAsia="宋体" w:cs="Times New Roman"/>
                <w:color w:val="auto"/>
                <w:highlight w:val="none"/>
              </w:rPr>
              <w:t>，均无住宿</w:t>
            </w:r>
            <w:r>
              <w:rPr>
                <w:rFonts w:hint="eastAsia" w:ascii="Times New Roman" w:hAnsi="Times New Roman" w:eastAsia="宋体" w:cs="Times New Roman"/>
                <w:color w:val="auto"/>
                <w:highlight w:val="none"/>
                <w:lang w:eastAsia="zh-CN"/>
              </w:rPr>
              <w:t>。</w:t>
            </w:r>
          </w:p>
          <w:p w14:paraId="530E278C">
            <w:pPr>
              <w:pStyle w:val="157"/>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工作制度：</w:t>
            </w:r>
            <w:r>
              <w:rPr>
                <w:rFonts w:hint="eastAsia" w:ascii="Times New Roman" w:hAnsi="Times New Roman" w:eastAsia="宋体" w:cs="Times New Roman"/>
                <w:color w:val="auto"/>
                <w:highlight w:val="none"/>
                <w:lang w:val="en-US" w:eastAsia="zh-CN"/>
              </w:rPr>
              <w:t>年营业360</w:t>
            </w:r>
            <w:r>
              <w:rPr>
                <w:rFonts w:hint="default" w:ascii="Times New Roman" w:hAnsi="Times New Roman" w:eastAsia="宋体" w:cs="Times New Roman"/>
                <w:color w:val="auto"/>
                <w:highlight w:val="none"/>
              </w:rPr>
              <w:t>天，每天单班制，每班</w:t>
            </w:r>
            <w:r>
              <w:rPr>
                <w:rFonts w:hint="eastAsia"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rPr>
              <w:t>小时</w:t>
            </w:r>
            <w:r>
              <w:rPr>
                <w:rFonts w:hint="eastAsia" w:ascii="Times New Roman" w:hAnsi="Times New Roman" w:eastAsia="宋体" w:cs="Times New Roman"/>
                <w:color w:val="auto"/>
                <w:highlight w:val="none"/>
                <w:lang w:eastAsia="zh-CN"/>
              </w:rPr>
              <w:t>。</w:t>
            </w:r>
          </w:p>
          <w:p w14:paraId="57E923EA">
            <w:pPr>
              <w:pStyle w:val="157"/>
              <w:ind w:firstLine="48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总投资：</w:t>
            </w:r>
            <w:r>
              <w:rPr>
                <w:rFonts w:hint="eastAsia" w:ascii="Times New Roman" w:hAnsi="Times New Roman" w:eastAsia="宋体" w:cs="Times New Roman"/>
                <w:color w:val="auto"/>
                <w:highlight w:val="none"/>
                <w:lang w:val="en-US" w:eastAsia="zh-CN"/>
              </w:rPr>
              <w:t>项目拟</w:t>
            </w:r>
            <w:r>
              <w:rPr>
                <w:rFonts w:hint="default" w:ascii="Times New Roman" w:hAnsi="Times New Roman" w:eastAsia="宋体" w:cs="Times New Roman"/>
                <w:color w:val="auto"/>
                <w:kern w:val="10"/>
                <w:highlight w:val="none"/>
              </w:rPr>
              <w:t>总投资</w:t>
            </w:r>
            <w:r>
              <w:rPr>
                <w:rFonts w:hint="eastAsia" w:ascii="Times New Roman" w:hAnsi="Times New Roman" w:eastAsia="宋体" w:cs="Times New Roman"/>
                <w:color w:val="auto"/>
                <w:kern w:val="10"/>
                <w:highlight w:val="none"/>
                <w:lang w:val="en-US" w:eastAsia="zh-CN"/>
              </w:rPr>
              <w:t>90万</w:t>
            </w:r>
            <w:r>
              <w:rPr>
                <w:rFonts w:hint="default" w:ascii="Times New Roman" w:hAnsi="Times New Roman" w:eastAsia="宋体" w:cs="Times New Roman"/>
                <w:color w:val="auto"/>
                <w:kern w:val="10"/>
                <w:highlight w:val="none"/>
              </w:rPr>
              <w:t>元，</w:t>
            </w:r>
            <w:r>
              <w:rPr>
                <w:rFonts w:hint="eastAsia" w:ascii="Times New Roman" w:hAnsi="Times New Roman" w:eastAsia="宋体" w:cs="Times New Roman"/>
                <w:color w:val="auto"/>
                <w:kern w:val="10"/>
                <w:highlight w:val="none"/>
                <w:lang w:val="en-US" w:eastAsia="zh-CN"/>
              </w:rPr>
              <w:t>其中</w:t>
            </w:r>
            <w:r>
              <w:rPr>
                <w:rFonts w:hint="default" w:ascii="Times New Roman" w:hAnsi="Times New Roman" w:eastAsia="宋体" w:cs="Times New Roman"/>
                <w:color w:val="auto"/>
                <w:kern w:val="10"/>
                <w:highlight w:val="none"/>
              </w:rPr>
              <w:t>环保投资</w:t>
            </w:r>
            <w:r>
              <w:rPr>
                <w:rFonts w:hint="eastAsia" w:ascii="Times New Roman" w:hAnsi="Times New Roman" w:eastAsia="宋体" w:cs="Times New Roman"/>
                <w:color w:val="auto"/>
                <w:kern w:val="10"/>
                <w:highlight w:val="none"/>
                <w:lang w:val="en-US" w:eastAsia="zh-CN"/>
              </w:rPr>
              <w:t>4</w:t>
            </w:r>
            <w:r>
              <w:rPr>
                <w:rFonts w:hint="default" w:ascii="Times New Roman" w:hAnsi="Times New Roman" w:eastAsia="宋体" w:cs="Times New Roman"/>
                <w:color w:val="auto"/>
                <w:kern w:val="10"/>
                <w:highlight w:val="none"/>
              </w:rPr>
              <w:t>万</w:t>
            </w:r>
            <w:r>
              <w:rPr>
                <w:rFonts w:hint="eastAsia" w:ascii="Times New Roman" w:hAnsi="Times New Roman" w:eastAsia="宋体" w:cs="Times New Roman"/>
                <w:color w:val="auto"/>
                <w:kern w:val="10"/>
                <w:highlight w:val="none"/>
                <w:lang w:val="en-US" w:eastAsia="zh-CN"/>
              </w:rPr>
              <w:t>元</w:t>
            </w:r>
            <w:r>
              <w:rPr>
                <w:rFonts w:hint="default" w:ascii="Times New Roman" w:hAnsi="Times New Roman" w:eastAsia="宋体" w:cs="Times New Roman"/>
                <w:color w:val="auto"/>
                <w:kern w:val="10"/>
                <w:highlight w:val="none"/>
              </w:rPr>
              <w:t>，占总投资</w:t>
            </w:r>
            <w:r>
              <w:rPr>
                <w:rFonts w:hint="eastAsia" w:ascii="Times New Roman" w:hAnsi="Times New Roman" w:eastAsia="宋体" w:cs="Times New Roman"/>
                <w:color w:val="auto"/>
                <w:kern w:val="10"/>
                <w:highlight w:val="none"/>
                <w:lang w:val="en-US" w:eastAsia="zh-CN"/>
              </w:rPr>
              <w:t>90万</w:t>
            </w:r>
            <w:r>
              <w:rPr>
                <w:rFonts w:hint="default" w:ascii="Times New Roman" w:hAnsi="Times New Roman" w:eastAsia="宋体" w:cs="Times New Roman"/>
                <w:color w:val="auto"/>
                <w:kern w:val="10"/>
                <w:highlight w:val="none"/>
              </w:rPr>
              <w:t>元的</w:t>
            </w:r>
            <w:r>
              <w:rPr>
                <w:rFonts w:hint="eastAsia" w:ascii="Times New Roman" w:hAnsi="Times New Roman" w:eastAsia="宋体" w:cs="Times New Roman"/>
                <w:color w:val="auto"/>
                <w:kern w:val="10"/>
                <w:highlight w:val="none"/>
                <w:lang w:val="en-US" w:eastAsia="zh-CN"/>
              </w:rPr>
              <w:t>4.44</w:t>
            </w:r>
            <w:r>
              <w:rPr>
                <w:rFonts w:hint="default" w:ascii="Times New Roman" w:hAnsi="Times New Roman" w:eastAsia="宋体" w:cs="Times New Roman"/>
                <w:color w:val="auto"/>
                <w:kern w:val="10"/>
                <w:highlight w:val="none"/>
              </w:rPr>
              <w:t>%</w:t>
            </w:r>
            <w:r>
              <w:rPr>
                <w:rFonts w:hint="eastAsia" w:ascii="Times New Roman" w:hAnsi="Times New Roman" w:eastAsia="宋体" w:cs="Times New Roman"/>
                <w:color w:val="auto"/>
                <w:kern w:val="10"/>
                <w:highlight w:val="none"/>
                <w:lang w:eastAsia="zh-CN"/>
              </w:rPr>
              <w:t>。</w:t>
            </w:r>
          </w:p>
          <w:p w14:paraId="77C540C0">
            <w:pPr>
              <w:pStyle w:val="3"/>
              <w:rPr>
                <w:rFonts w:hint="default" w:ascii="Times New Roman" w:hAnsi="Times New Roman" w:cs="Times New Roman"/>
                <w:color w:val="auto"/>
                <w:highlight w:val="none"/>
              </w:rPr>
            </w:pPr>
            <w:bookmarkStart w:id="42" w:name="_Toc14095"/>
            <w:bookmarkStart w:id="43" w:name="_Toc19734"/>
            <w:bookmarkStart w:id="44" w:name="_Toc133251536"/>
            <w:r>
              <w:rPr>
                <w:rFonts w:hint="default" w:ascii="Times New Roman" w:hAnsi="Times New Roman" w:cs="Times New Roman"/>
                <w:color w:val="auto"/>
                <w:highlight w:val="none"/>
              </w:rPr>
              <w:t>项目组成</w:t>
            </w:r>
            <w:bookmarkEnd w:id="42"/>
            <w:bookmarkEnd w:id="43"/>
            <w:bookmarkEnd w:id="44"/>
          </w:p>
          <w:p w14:paraId="4917E62C">
            <w:pPr>
              <w:pStyle w:val="157"/>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本</w:t>
            </w:r>
            <w:r>
              <w:rPr>
                <w:rFonts w:hint="default" w:ascii="Times New Roman" w:hAnsi="Times New Roman" w:eastAsia="宋体" w:cs="Times New Roman"/>
                <w:color w:val="auto"/>
                <w:highlight w:val="none"/>
              </w:rPr>
              <w:t>项目租赁</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项目地址 \h  \* MERGEFORMAT </w:instrText>
            </w:r>
            <w:r>
              <w:rPr>
                <w:rFonts w:hint="default" w:ascii="Times New Roman" w:hAnsi="Times New Roman" w:cs="Times New Roman"/>
                <w:color w:val="auto"/>
                <w:highlight w:val="none"/>
              </w:rPr>
              <w:fldChar w:fldCharType="separate"/>
            </w:r>
            <w:r>
              <w:rPr>
                <w:rFonts w:hint="eastAsia" w:ascii="Times New Roman" w:hAnsi="Times New Roman" w:eastAsia="宋体" w:cs="Times New Roman"/>
                <w:color w:val="auto"/>
                <w:szCs w:val="21"/>
                <w:highlight w:val="none"/>
                <w:lang w:eastAsia="zh-CN"/>
              </w:rPr>
              <w:t>福建省福州市晋安区玉井路99号蓝光公馆8#楼1层20商业（餐饮）</w:t>
            </w:r>
            <w:r>
              <w:rPr>
                <w:rFonts w:hint="default" w:ascii="Times New Roman" w:hAnsi="Times New Roman" w:eastAsia="宋体" w:cs="Times New Roman"/>
                <w:color w:val="auto"/>
                <w:szCs w:val="21"/>
                <w:highlight w:val="none"/>
              </w:rPr>
              <w:fldChar w:fldCharType="end"/>
            </w:r>
            <w:r>
              <w:rPr>
                <w:rFonts w:hint="default" w:ascii="Times New Roman" w:hAnsi="Times New Roman" w:eastAsia="宋体" w:cs="Times New Roman"/>
                <w:color w:val="auto"/>
                <w:highlight w:val="none"/>
                <w:lang w:val="en-US" w:eastAsia="zh-CN"/>
              </w:rPr>
              <w:t>作为项目经营场所</w:t>
            </w:r>
            <w:r>
              <w:rPr>
                <w:rFonts w:hint="default" w:ascii="Times New Roman" w:hAnsi="Times New Roman" w:eastAsia="宋体" w:cs="Times New Roman"/>
                <w:color w:val="auto"/>
                <w:highlight w:val="none"/>
              </w:rPr>
              <w:t>（附件3）</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本</w:t>
            </w: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val="en-US" w:eastAsia="zh-CN"/>
              </w:rPr>
              <w:t>主要由诊室、手术室、化验室、DR室、药房等组成</w:t>
            </w:r>
            <w:r>
              <w:rPr>
                <w:rFonts w:hint="eastAsia" w:ascii="Times New Roman" w:hAnsi="Times New Roman" w:eastAsia="宋体" w:cs="Times New Roman"/>
                <w:color w:val="auto"/>
                <w:highlight w:val="none"/>
                <w:lang w:val="en-US" w:eastAsia="zh-CN"/>
              </w:rPr>
              <w:t>，各个分区功能明确。项目总平面布置基本合理、可行。</w:t>
            </w:r>
            <w:r>
              <w:rPr>
                <w:rFonts w:hint="default" w:ascii="Times New Roman" w:hAnsi="Times New Roman" w:eastAsia="宋体" w:cs="Times New Roman"/>
                <w:color w:val="auto"/>
                <w:highlight w:val="none"/>
              </w:rPr>
              <w:t>其具体的建设内容见表2-</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医院</w:t>
            </w:r>
            <w:r>
              <w:rPr>
                <w:rFonts w:hint="default" w:ascii="Times New Roman" w:hAnsi="Times New Roman" w:eastAsia="宋体" w:cs="Times New Roman"/>
                <w:color w:val="auto"/>
                <w:highlight w:val="none"/>
              </w:rPr>
              <w:t>总平面布置图见（附图</w:t>
            </w:r>
            <w:r>
              <w:rPr>
                <w:rFonts w:hint="eastAsia" w:ascii="Times New Roman" w:hAnsi="Times New Roman" w:eastAsia="宋体" w:cs="Times New Roman"/>
                <w:color w:val="auto"/>
                <w:highlight w:val="none"/>
                <w:lang w:val="en-US" w:eastAsia="zh-CN"/>
              </w:rPr>
              <w:t>5-1，5-2</w:t>
            </w:r>
            <w:r>
              <w:rPr>
                <w:rFonts w:hint="default" w:ascii="Times New Roman" w:hAnsi="Times New Roman" w:eastAsia="宋体" w:cs="Times New Roman"/>
                <w:color w:val="auto"/>
                <w:highlight w:val="none"/>
              </w:rPr>
              <w:t>）。</w:t>
            </w:r>
          </w:p>
          <w:p w14:paraId="44B83863">
            <w:pPr>
              <w:pStyle w:val="472"/>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2-</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lang w:val="en-US" w:eastAsia="zh-CN"/>
              </w:rPr>
              <w:t xml:space="preserve">  </w:t>
            </w:r>
            <w:r>
              <w:rPr>
                <w:rFonts w:hint="eastAsia" w:ascii="Times New Roman" w:hAnsi="Times New Roman" w:cs="Times New Roman"/>
                <w:color w:val="auto"/>
                <w:highlight w:val="none"/>
                <w:lang w:val="en-US" w:eastAsia="zh-CN"/>
              </w:rPr>
              <w:t>项目</w:t>
            </w:r>
            <w:r>
              <w:rPr>
                <w:rFonts w:hint="default" w:ascii="Times New Roman" w:hAnsi="Times New Roman" w:cs="Times New Roman"/>
                <w:color w:val="auto"/>
                <w:highlight w:val="none"/>
                <w:lang w:val="en-US" w:eastAsia="zh-CN"/>
              </w:rPr>
              <w:t>建设内容</w:t>
            </w:r>
          </w:p>
          <w:tbl>
            <w:tblPr>
              <w:tblStyle w:val="50"/>
              <w:tblW w:w="844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2"/>
              <w:gridCol w:w="759"/>
              <w:gridCol w:w="6541"/>
            </w:tblGrid>
            <w:tr w14:paraId="7050BA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142" w:type="dxa"/>
                  <w:vAlign w:val="center"/>
                </w:tcPr>
                <w:p w14:paraId="33471B4B">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工程名称</w:t>
                  </w:r>
                </w:p>
              </w:tc>
              <w:tc>
                <w:tcPr>
                  <w:tcW w:w="7300" w:type="dxa"/>
                  <w:gridSpan w:val="2"/>
                  <w:vAlign w:val="center"/>
                </w:tcPr>
                <w:p w14:paraId="3578651B">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主要建设内容</w:t>
                  </w:r>
                </w:p>
              </w:tc>
            </w:tr>
            <w:tr w14:paraId="4F19BE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142" w:type="dxa"/>
                  <w:vMerge w:val="restart"/>
                  <w:vAlign w:val="center"/>
                </w:tcPr>
                <w:p w14:paraId="6FBC3956">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主体工程</w:t>
                  </w:r>
                </w:p>
              </w:tc>
              <w:tc>
                <w:tcPr>
                  <w:tcW w:w="759" w:type="dxa"/>
                  <w:vAlign w:val="center"/>
                </w:tcPr>
                <w:p w14:paraId="6710EAD7">
                  <w:pPr>
                    <w:pStyle w:val="189"/>
                    <w:spacing w:line="240" w:lineRule="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1</w:t>
                  </w:r>
                  <w:r>
                    <w:rPr>
                      <w:rFonts w:hint="eastAsia" w:ascii="Times New Roman" w:hAnsi="Times New Roman" w:eastAsia="宋体" w:cs="Times New Roman"/>
                      <w:color w:val="auto"/>
                      <w:highlight w:val="none"/>
                      <w:lang w:val="en-US" w:eastAsia="zh-CN"/>
                    </w:rPr>
                    <w:t>层</w:t>
                  </w:r>
                </w:p>
              </w:tc>
              <w:tc>
                <w:tcPr>
                  <w:tcW w:w="6541" w:type="dxa"/>
                  <w:vAlign w:val="center"/>
                </w:tcPr>
                <w:p w14:paraId="78B404C1">
                  <w:pPr>
                    <w:pStyle w:val="189"/>
                    <w:spacing w:line="240" w:lineRule="auto"/>
                    <w:rPr>
                      <w:rFonts w:hint="default" w:ascii="Times New Roman" w:hAnsi="Times New Roman" w:eastAsia="宋体" w:cs="Times New Roman"/>
                      <w:color w:val="auto"/>
                      <w:highlight w:val="none"/>
                      <w:lang w:val="en-US"/>
                    </w:rPr>
                  </w:pPr>
                  <w:r>
                    <w:rPr>
                      <w:rFonts w:hint="eastAsia" w:ascii="Times New Roman" w:hAnsi="Times New Roman" w:eastAsia="宋体" w:cs="Times New Roman"/>
                      <w:color w:val="auto"/>
                      <w:highlight w:val="none"/>
                      <w:lang w:val="en-US" w:eastAsia="zh-CN"/>
                    </w:rPr>
                    <w:t>手术室、DR</w:t>
                  </w:r>
                  <w:r>
                    <w:rPr>
                      <w:rFonts w:hint="default" w:ascii="Times New Roman" w:hAnsi="Times New Roman" w:eastAsia="宋体" w:cs="Times New Roman"/>
                      <w:color w:val="auto"/>
                      <w:highlight w:val="none"/>
                      <w:lang w:eastAsia="zh-CN"/>
                    </w:rPr>
                    <w:t>室</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狗住院部、美容区、药房、诊室1、诊室2、免疫室</w:t>
                  </w:r>
                </w:p>
              </w:tc>
            </w:tr>
            <w:tr w14:paraId="1B9FE6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142" w:type="dxa"/>
                  <w:vMerge w:val="continue"/>
                  <w:vAlign w:val="center"/>
                </w:tcPr>
                <w:p w14:paraId="4291EC0B">
                  <w:pPr>
                    <w:pStyle w:val="189"/>
                    <w:spacing w:line="240" w:lineRule="auto"/>
                    <w:rPr>
                      <w:rFonts w:hint="default" w:ascii="Times New Roman" w:hAnsi="Times New Roman" w:eastAsia="宋体" w:cs="Times New Roman"/>
                      <w:color w:val="auto"/>
                      <w:highlight w:val="none"/>
                    </w:rPr>
                  </w:pPr>
                </w:p>
              </w:tc>
              <w:tc>
                <w:tcPr>
                  <w:tcW w:w="759" w:type="dxa"/>
                  <w:vAlign w:val="center"/>
                </w:tcPr>
                <w:p w14:paraId="795DB53D">
                  <w:pPr>
                    <w:pStyle w:val="189"/>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层</w:t>
                  </w:r>
                </w:p>
              </w:tc>
              <w:tc>
                <w:tcPr>
                  <w:tcW w:w="6541" w:type="dxa"/>
                  <w:vAlign w:val="center"/>
                </w:tcPr>
                <w:p w14:paraId="40A17327">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隔离室、化验室、猫住院部</w:t>
                  </w:r>
                </w:p>
              </w:tc>
            </w:tr>
            <w:tr w14:paraId="075948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142" w:type="dxa"/>
                  <w:vAlign w:val="center"/>
                </w:tcPr>
                <w:p w14:paraId="70520CE3">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辅助工程</w:t>
                  </w:r>
                </w:p>
              </w:tc>
              <w:tc>
                <w:tcPr>
                  <w:tcW w:w="7300" w:type="dxa"/>
                  <w:gridSpan w:val="2"/>
                  <w:vAlign w:val="center"/>
                </w:tcPr>
                <w:p w14:paraId="736CC9BF">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储物间、办公室、大厅、</w:t>
                  </w:r>
                  <w:r>
                    <w:rPr>
                      <w:rFonts w:hint="default" w:ascii="Times New Roman" w:hAnsi="Times New Roman" w:eastAsia="宋体" w:cs="Times New Roman"/>
                      <w:color w:val="auto"/>
                      <w:highlight w:val="none"/>
                      <w:lang w:val="en-US" w:eastAsia="zh-CN"/>
                    </w:rPr>
                    <w:t>前台、过道、</w:t>
                  </w:r>
                  <w:r>
                    <w:rPr>
                      <w:rFonts w:hint="eastAsia" w:ascii="Times New Roman" w:hAnsi="Times New Roman" w:eastAsia="宋体" w:cs="Times New Roman"/>
                      <w:color w:val="auto"/>
                      <w:highlight w:val="none"/>
                      <w:lang w:val="en-US" w:eastAsia="zh-CN"/>
                    </w:rPr>
                    <w:t>卫生间、等候区</w:t>
                  </w:r>
                </w:p>
              </w:tc>
            </w:tr>
            <w:tr w14:paraId="582ACB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2" w:type="dxa"/>
                  <w:vMerge w:val="restart"/>
                  <w:vAlign w:val="center"/>
                </w:tcPr>
                <w:p w14:paraId="5ED25D21">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公用工程</w:t>
                  </w:r>
                </w:p>
              </w:tc>
              <w:tc>
                <w:tcPr>
                  <w:tcW w:w="759" w:type="dxa"/>
                  <w:vAlign w:val="center"/>
                </w:tcPr>
                <w:p w14:paraId="5BA9BBC8">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供水</w:t>
                  </w:r>
                </w:p>
              </w:tc>
              <w:tc>
                <w:tcPr>
                  <w:tcW w:w="6541" w:type="dxa"/>
                  <w:vAlign w:val="center"/>
                </w:tcPr>
                <w:p w14:paraId="0036084F">
                  <w:pPr>
                    <w:pStyle w:val="189"/>
                    <w:spacing w:line="240" w:lineRule="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市政管网</w:t>
                  </w:r>
                  <w:r>
                    <w:rPr>
                      <w:rFonts w:hint="default" w:ascii="Times New Roman" w:hAnsi="Times New Roman" w:eastAsia="宋体" w:cs="Times New Roman"/>
                      <w:color w:val="auto"/>
                      <w:highlight w:val="none"/>
                    </w:rPr>
                    <w:t>给水</w:t>
                  </w:r>
                </w:p>
              </w:tc>
            </w:tr>
            <w:tr w14:paraId="6800D6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2" w:type="dxa"/>
                  <w:vMerge w:val="continue"/>
                  <w:vAlign w:val="center"/>
                </w:tcPr>
                <w:p w14:paraId="4E042F15">
                  <w:pPr>
                    <w:pStyle w:val="189"/>
                    <w:spacing w:line="240" w:lineRule="auto"/>
                    <w:rPr>
                      <w:rFonts w:hint="default" w:ascii="Times New Roman" w:hAnsi="Times New Roman" w:eastAsia="宋体" w:cs="Times New Roman"/>
                      <w:color w:val="auto"/>
                      <w:highlight w:val="none"/>
                    </w:rPr>
                  </w:pPr>
                </w:p>
              </w:tc>
              <w:tc>
                <w:tcPr>
                  <w:tcW w:w="759" w:type="dxa"/>
                  <w:vAlign w:val="center"/>
                </w:tcPr>
                <w:p w14:paraId="4600E5D0">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供电</w:t>
                  </w:r>
                </w:p>
              </w:tc>
              <w:tc>
                <w:tcPr>
                  <w:tcW w:w="6541" w:type="dxa"/>
                  <w:vAlign w:val="center"/>
                </w:tcPr>
                <w:p w14:paraId="56815749">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市政供电</w:t>
                  </w:r>
                </w:p>
              </w:tc>
            </w:tr>
            <w:tr w14:paraId="20557B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1142" w:type="dxa"/>
                  <w:vMerge w:val="restart"/>
                  <w:vAlign w:val="center"/>
                </w:tcPr>
                <w:p w14:paraId="0B5A3A40">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环保工程</w:t>
                  </w:r>
                </w:p>
              </w:tc>
              <w:tc>
                <w:tcPr>
                  <w:tcW w:w="759" w:type="dxa"/>
                  <w:vAlign w:val="center"/>
                </w:tcPr>
                <w:p w14:paraId="3D277ED9">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6541" w:type="dxa"/>
                  <w:vAlign w:val="center"/>
                </w:tcPr>
                <w:p w14:paraId="7681004B">
                  <w:pPr>
                    <w:pStyle w:val="189"/>
                    <w:spacing w:line="240" w:lineRule="auto"/>
                    <w:jc w:val="both"/>
                    <w:rPr>
                      <w:rFonts w:hint="default" w:ascii="宋体" w:hAnsi="宋体" w:eastAsia="宋体" w:cs="宋体"/>
                      <w:color w:val="000000" w:themeColor="text1"/>
                      <w:highlight w:val="none"/>
                      <w:lang w:val="en-US" w:eastAsia="zh-CN"/>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①</w:t>
                  </w:r>
                  <w:r>
                    <w:rPr>
                      <w:rFonts w:hint="eastAsia" w:ascii="宋体" w:hAnsi="宋体" w:eastAsia="宋体" w:cs="宋体"/>
                      <w:color w:val="000000" w:themeColor="text1"/>
                      <w:highlight w:val="none"/>
                      <w:lang w:val="en-US" w:eastAsia="zh-CN"/>
                      <w14:textFill>
                        <w14:solidFill>
                          <w14:schemeClr w14:val="tx1"/>
                        </w14:solidFill>
                      </w14:textFill>
                    </w:rPr>
                    <w:t>生活污水与各股废水一并通过企业总排口排放化粪池经</w:t>
                  </w:r>
                  <w:r>
                    <w:rPr>
                      <w:rFonts w:hint="default" w:ascii="Times New Roman" w:hAnsi="Times New Roman" w:eastAsia="宋体" w:cs="Times New Roman"/>
                      <w:color w:val="000000" w:themeColor="text1"/>
                      <w:kern w:val="0"/>
                      <w:highlight w:val="none"/>
                      <w14:textFill>
                        <w14:solidFill>
                          <w14:schemeClr w14:val="tx1"/>
                        </w14:solidFill>
                      </w14:textFill>
                    </w:rPr>
                    <w:t>市政污水管网</w:t>
                  </w:r>
                  <w:r>
                    <w:rPr>
                      <w:rFonts w:hint="default" w:ascii="Times New Roman" w:hAnsi="Times New Roman" w:eastAsia="宋体" w:cs="Times New Roman"/>
                      <w:color w:val="000000" w:themeColor="text1"/>
                      <w:kern w:val="0"/>
                      <w:highlight w:val="none"/>
                      <w:lang w:val="en-US" w:eastAsia="zh-CN"/>
                      <w14:textFill>
                        <w14:solidFill>
                          <w14:schemeClr w14:val="tx1"/>
                        </w14:solidFill>
                      </w14:textFill>
                    </w:rPr>
                    <w:t>统一纳入</w:t>
                  </w:r>
                  <w:r>
                    <w:rPr>
                      <w:rFonts w:hint="default" w:ascii="Times New Roman" w:hAnsi="Times New Roman" w:eastAsia="宋体" w:cs="Times New Roman"/>
                      <w:color w:val="000000" w:themeColor="text1"/>
                      <w:kern w:val="0"/>
                      <w:highlight w:val="none"/>
                      <w:lang w:eastAsia="zh-CN"/>
                      <w14:textFill>
                        <w14:solidFill>
                          <w14:schemeClr w14:val="tx1"/>
                        </w14:solidFill>
                      </w14:textFill>
                    </w:rPr>
                    <w:t>洋里污水处理厂。</w:t>
                  </w:r>
                </w:p>
                <w:p w14:paraId="4E0D86D5">
                  <w:pPr>
                    <w:pStyle w:val="189"/>
                    <w:spacing w:line="240" w:lineRule="auto"/>
                    <w:jc w:val="both"/>
                    <w:rPr>
                      <w:rFonts w:hint="default" w:ascii="Times New Roman" w:hAnsi="Times New Roman" w:eastAsia="宋体" w:cs="Times New Roman"/>
                      <w:color w:val="000000" w:themeColor="text1"/>
                      <w:kern w:val="0"/>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②</w:t>
                  </w:r>
                  <w:r>
                    <w:rPr>
                      <w:rFonts w:hint="eastAsia" w:ascii="宋体" w:hAnsi="宋体" w:eastAsia="宋体" w:cs="宋体"/>
                      <w:color w:val="000000" w:themeColor="text1"/>
                      <w:highlight w:val="none"/>
                      <w:lang w:val="en-US" w:eastAsia="zh-CN"/>
                      <w14:textFill>
                        <w14:solidFill>
                          <w14:schemeClr w14:val="tx1"/>
                        </w14:solidFill>
                      </w14:textFill>
                    </w:rPr>
                    <w:t>美容室安装一台消毒设备</w:t>
                  </w:r>
                  <w:r>
                    <w:rPr>
                      <w:rFonts w:hint="default" w:ascii="Times New Roman" w:hAnsi="Times New Roman" w:eastAsia="宋体" w:cs="Times New Roman"/>
                      <w:color w:val="000000" w:themeColor="text1"/>
                      <w:highlight w:val="none"/>
                      <w:lang w:val="en-US" w:eastAsia="zh-CN"/>
                      <w14:textFill>
                        <w14:solidFill>
                          <w14:schemeClr w14:val="tx1"/>
                        </w14:solidFill>
                      </w14:textFill>
                    </w:rPr>
                    <w:t>（01），宠物美容废水</w:t>
                  </w:r>
                  <w:r>
                    <w:rPr>
                      <w:rFonts w:hint="default" w:ascii="Times New Roman" w:hAnsi="Times New Roman" w:eastAsia="宋体" w:cs="Times New Roman"/>
                      <w:color w:val="000000" w:themeColor="text1"/>
                      <w:kern w:val="0"/>
                      <w:highlight w:val="none"/>
                      <w14:textFill>
                        <w14:solidFill>
                          <w14:schemeClr w14:val="tx1"/>
                        </w14:solidFill>
                      </w14:textFill>
                    </w:rPr>
                    <w:t>经</w:t>
                  </w:r>
                  <w:r>
                    <w:rPr>
                      <w:rFonts w:hint="eastAsia" w:ascii="Times New Roman" w:hAnsi="Times New Roman" w:eastAsia="宋体" w:cs="Times New Roman"/>
                      <w:color w:val="000000" w:themeColor="text1"/>
                      <w:highlight w:val="none"/>
                      <w:lang w:val="en-US" w:eastAsia="zh-CN"/>
                      <w14:textFill>
                        <w14:solidFill>
                          <w14:schemeClr w14:val="tx1"/>
                        </w14:solidFill>
                      </w14:textFill>
                    </w:rPr>
                    <w:t>消毒设备</w:t>
                  </w:r>
                  <w:r>
                    <w:rPr>
                      <w:rFonts w:hint="default" w:ascii="Times New Roman" w:hAnsi="Times New Roman" w:eastAsia="宋体" w:cs="Times New Roman"/>
                      <w:color w:val="000000" w:themeColor="text1"/>
                      <w:kern w:val="0"/>
                      <w:highlight w:val="none"/>
                      <w:lang w:val="en-US" w:eastAsia="zh-CN"/>
                      <w14:textFill>
                        <w14:solidFill>
                          <w14:schemeClr w14:val="tx1"/>
                        </w14:solidFill>
                      </w14:textFill>
                    </w:rPr>
                    <w:t>消毒</w:t>
                  </w:r>
                  <w:r>
                    <w:rPr>
                      <w:rFonts w:hint="eastAsia" w:ascii="Times New Roman" w:hAnsi="Times New Roman" w:eastAsia="宋体" w:cs="Times New Roman"/>
                      <w:color w:val="000000" w:themeColor="text1"/>
                      <w:kern w:val="0"/>
                      <w:highlight w:val="none"/>
                      <w:lang w:val="en-US" w:eastAsia="zh-CN"/>
                      <w14:textFill>
                        <w14:solidFill>
                          <w14:schemeClr w14:val="tx1"/>
                        </w14:solidFill>
                      </w14:textFill>
                    </w:rPr>
                    <w:t>后</w:t>
                  </w:r>
                  <w:r>
                    <w:rPr>
                      <w:rFonts w:hint="eastAsia" w:ascii="宋体" w:hAnsi="宋体" w:eastAsia="宋体" w:cs="宋体"/>
                      <w:color w:val="000000" w:themeColor="text1"/>
                      <w:highlight w:val="none"/>
                      <w:lang w:val="en-US" w:eastAsia="zh-CN"/>
                      <w14:textFill>
                        <w14:solidFill>
                          <w14:schemeClr w14:val="tx1"/>
                        </w14:solidFill>
                      </w14:textFill>
                    </w:rPr>
                    <w:t>与各股废水一并通过企业总排口排放</w:t>
                  </w:r>
                  <w:r>
                    <w:rPr>
                      <w:rFonts w:hint="default" w:ascii="Times New Roman" w:hAnsi="Times New Roman" w:eastAsia="宋体" w:cs="Times New Roman"/>
                      <w:color w:val="000000" w:themeColor="text1"/>
                      <w:kern w:val="0"/>
                      <w:highlight w:val="none"/>
                      <w14:textFill>
                        <w14:solidFill>
                          <w14:schemeClr w14:val="tx1"/>
                        </w14:solidFill>
                      </w14:textFill>
                    </w:rPr>
                    <w:t>化粪池</w:t>
                  </w:r>
                  <w:r>
                    <w:rPr>
                      <w:rFonts w:hint="default" w:ascii="Times New Roman" w:hAnsi="Times New Roman" w:eastAsia="宋体" w:cs="Times New Roman"/>
                      <w:color w:val="000000" w:themeColor="text1"/>
                      <w:kern w:val="0"/>
                      <w:highlight w:val="none"/>
                      <w:lang w:val="en-US" w:eastAsia="zh-CN"/>
                      <w14:textFill>
                        <w14:solidFill>
                          <w14:schemeClr w14:val="tx1"/>
                        </w14:solidFill>
                      </w14:textFill>
                    </w:rPr>
                    <w:t>经</w:t>
                  </w:r>
                  <w:r>
                    <w:rPr>
                      <w:rFonts w:hint="default" w:ascii="Times New Roman" w:hAnsi="Times New Roman" w:eastAsia="宋体" w:cs="Times New Roman"/>
                      <w:color w:val="000000" w:themeColor="text1"/>
                      <w:kern w:val="0"/>
                      <w:highlight w:val="none"/>
                      <w14:textFill>
                        <w14:solidFill>
                          <w14:schemeClr w14:val="tx1"/>
                        </w14:solidFill>
                      </w14:textFill>
                    </w:rPr>
                    <w:t>市政污水管网</w:t>
                  </w:r>
                  <w:r>
                    <w:rPr>
                      <w:rFonts w:hint="default" w:ascii="Times New Roman" w:hAnsi="Times New Roman" w:eastAsia="宋体" w:cs="Times New Roman"/>
                      <w:color w:val="000000" w:themeColor="text1"/>
                      <w:kern w:val="0"/>
                      <w:highlight w:val="none"/>
                      <w:lang w:val="en-US" w:eastAsia="zh-CN"/>
                      <w14:textFill>
                        <w14:solidFill>
                          <w14:schemeClr w14:val="tx1"/>
                        </w14:solidFill>
                      </w14:textFill>
                    </w:rPr>
                    <w:t>统一纳入</w:t>
                  </w:r>
                  <w:r>
                    <w:rPr>
                      <w:rFonts w:hint="default" w:ascii="Times New Roman" w:hAnsi="Times New Roman" w:eastAsia="宋体" w:cs="Times New Roman"/>
                      <w:color w:val="000000" w:themeColor="text1"/>
                      <w:kern w:val="0"/>
                      <w:highlight w:val="none"/>
                      <w:lang w:eastAsia="zh-CN"/>
                      <w14:textFill>
                        <w14:solidFill>
                          <w14:schemeClr w14:val="tx1"/>
                        </w14:solidFill>
                      </w14:textFill>
                    </w:rPr>
                    <w:t>洋里污水处理厂。</w:t>
                  </w:r>
                </w:p>
                <w:p w14:paraId="5A3E331B">
                  <w:pPr>
                    <w:pStyle w:val="189"/>
                    <w:spacing w:line="240" w:lineRule="auto"/>
                    <w:jc w:val="both"/>
                    <w:rPr>
                      <w:rFonts w:hint="eastAsia"/>
                      <w:color w:val="000000" w:themeColor="text1"/>
                      <w:lang w:eastAsia="zh-CN"/>
                      <w14:textFill>
                        <w14:solidFill>
                          <w14:schemeClr w14:val="tx1"/>
                        </w14:solidFill>
                      </w14:textFill>
                    </w:rPr>
                  </w:pPr>
                  <w:r>
                    <w:rPr>
                      <w:rFonts w:hint="eastAsia" w:ascii="宋体" w:hAnsi="宋体" w:eastAsia="宋体" w:cs="宋体"/>
                      <w:color w:val="000000" w:themeColor="text1"/>
                      <w:highlight w:val="none"/>
                      <w:lang w:val="en-US" w:eastAsia="zh-CN"/>
                      <w14:textFill>
                        <w14:solidFill>
                          <w14:schemeClr w14:val="tx1"/>
                        </w14:solidFill>
                      </w14:textFill>
                    </w:rPr>
                    <w:t>③</w:t>
                  </w:r>
                  <w:r>
                    <w:rPr>
                      <w:rFonts w:hint="default" w:ascii="Times New Roman" w:hAnsi="Times New Roman" w:eastAsia="宋体" w:cs="Times New Roman"/>
                      <w:color w:val="000000" w:themeColor="text1"/>
                      <w:highlight w:val="none"/>
                      <w:lang w:val="en-US" w:eastAsia="zh-CN"/>
                      <w14:textFill>
                        <w14:solidFill>
                          <w14:schemeClr w14:val="tx1"/>
                        </w14:solidFill>
                      </w14:textFill>
                    </w:rPr>
                    <w:t>手术室安装一台</w:t>
                  </w:r>
                  <w:r>
                    <w:rPr>
                      <w:rFonts w:hint="eastAsia" w:ascii="Times New Roman" w:hAnsi="Times New Roman" w:eastAsia="宋体" w:cs="Times New Roman"/>
                      <w:color w:val="000000" w:themeColor="text1"/>
                      <w:highlight w:val="none"/>
                      <w:lang w:val="en-US" w:eastAsia="zh-CN"/>
                      <w14:textFill>
                        <w14:solidFill>
                          <w14:schemeClr w14:val="tx1"/>
                        </w14:solidFill>
                      </w14:textFill>
                    </w:rPr>
                    <w:t>消毒设备</w:t>
                  </w:r>
                  <w:r>
                    <w:rPr>
                      <w:rFonts w:hint="default" w:ascii="Times New Roman" w:hAnsi="Times New Roman" w:eastAsia="宋体" w:cs="Times New Roman"/>
                      <w:color w:val="000000" w:themeColor="text1"/>
                      <w:highlight w:val="none"/>
                      <w:lang w:val="en-US" w:eastAsia="zh-CN"/>
                      <w14:textFill>
                        <w14:solidFill>
                          <w14:schemeClr w14:val="tx1"/>
                        </w14:solidFill>
                      </w14:textFill>
                    </w:rPr>
                    <w:t>（02）</w:t>
                  </w:r>
                  <w:r>
                    <w:rPr>
                      <w:rFonts w:hint="eastAsia" w:ascii="宋体" w:hAnsi="宋体" w:eastAsia="宋体" w:cs="宋体"/>
                      <w:color w:val="000000" w:themeColor="text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kern w:val="0"/>
                      <w:highlight w:val="none"/>
                      <w:lang w:val="en-US" w:eastAsia="zh-CN"/>
                      <w14:textFill>
                        <w14:solidFill>
                          <w14:schemeClr w14:val="tx1"/>
                        </w14:solidFill>
                      </w14:textFill>
                    </w:rPr>
                    <w:t>医疗废水</w:t>
                  </w:r>
                  <w:r>
                    <w:rPr>
                      <w:rFonts w:hint="default" w:ascii="Times New Roman" w:hAnsi="Times New Roman" w:eastAsia="宋体" w:cs="Times New Roman"/>
                      <w:color w:val="000000" w:themeColor="text1"/>
                      <w:kern w:val="0"/>
                      <w:highlight w:val="none"/>
                      <w14:textFill>
                        <w14:solidFill>
                          <w14:schemeClr w14:val="tx1"/>
                        </w14:solidFill>
                      </w14:textFill>
                    </w:rPr>
                    <w:t>经</w:t>
                  </w:r>
                  <w:r>
                    <w:rPr>
                      <w:rFonts w:hint="eastAsia" w:ascii="Times New Roman" w:hAnsi="Times New Roman" w:eastAsia="宋体" w:cs="Times New Roman"/>
                      <w:color w:val="000000" w:themeColor="text1"/>
                      <w:highlight w:val="none"/>
                      <w:lang w:val="en-US" w:eastAsia="zh-CN"/>
                      <w14:textFill>
                        <w14:solidFill>
                          <w14:schemeClr w14:val="tx1"/>
                        </w14:solidFill>
                      </w14:textFill>
                    </w:rPr>
                    <w:t>消毒设备</w:t>
                  </w:r>
                  <w:r>
                    <w:rPr>
                      <w:rFonts w:hint="eastAsia" w:ascii="Times New Roman" w:hAnsi="Times New Roman" w:eastAsia="宋体" w:cs="Times New Roman"/>
                      <w:color w:val="000000" w:themeColor="text1"/>
                      <w:kern w:val="0"/>
                      <w:highlight w:val="none"/>
                      <w:lang w:val="en-US" w:eastAsia="zh-CN"/>
                      <w14:textFill>
                        <w14:solidFill>
                          <w14:schemeClr w14:val="tx1"/>
                        </w14:solidFill>
                      </w14:textFill>
                    </w:rPr>
                    <w:t>消毒后</w:t>
                  </w:r>
                  <w:r>
                    <w:rPr>
                      <w:rFonts w:hint="eastAsia" w:ascii="宋体" w:hAnsi="宋体" w:eastAsia="宋体" w:cs="宋体"/>
                      <w:color w:val="000000" w:themeColor="text1"/>
                      <w:highlight w:val="none"/>
                      <w:lang w:val="en-US" w:eastAsia="zh-CN"/>
                      <w14:textFill>
                        <w14:solidFill>
                          <w14:schemeClr w14:val="tx1"/>
                        </w14:solidFill>
                      </w14:textFill>
                    </w:rPr>
                    <w:t>与各股废水一并通过企业总排口</w:t>
                  </w:r>
                  <w:r>
                    <w:rPr>
                      <w:rFonts w:hint="eastAsia" w:ascii="Times New Roman" w:hAnsi="Times New Roman" w:eastAsia="宋体" w:cs="Times New Roman"/>
                      <w:color w:val="000000" w:themeColor="text1"/>
                      <w:kern w:val="0"/>
                      <w:highlight w:val="none"/>
                      <w:lang w:val="en-US" w:eastAsia="zh-CN"/>
                      <w14:textFill>
                        <w14:solidFill>
                          <w14:schemeClr w14:val="tx1"/>
                        </w14:solidFill>
                      </w14:textFill>
                    </w:rPr>
                    <w:t>排放</w:t>
                  </w:r>
                  <w:r>
                    <w:rPr>
                      <w:rFonts w:hint="default" w:ascii="Times New Roman" w:hAnsi="Times New Roman" w:eastAsia="宋体" w:cs="Times New Roman"/>
                      <w:color w:val="000000" w:themeColor="text1"/>
                      <w:kern w:val="0"/>
                      <w:highlight w:val="none"/>
                      <w14:textFill>
                        <w14:solidFill>
                          <w14:schemeClr w14:val="tx1"/>
                        </w14:solidFill>
                      </w14:textFill>
                    </w:rPr>
                    <w:t>化粪池</w:t>
                  </w:r>
                  <w:r>
                    <w:rPr>
                      <w:rFonts w:hint="eastAsia" w:ascii="Times New Roman" w:hAnsi="Times New Roman" w:eastAsia="宋体" w:cs="Times New Roman"/>
                      <w:color w:val="000000" w:themeColor="text1"/>
                      <w:kern w:val="0"/>
                      <w:highlight w:val="none"/>
                      <w:lang w:val="en-US" w:eastAsia="zh-CN"/>
                      <w14:textFill>
                        <w14:solidFill>
                          <w14:schemeClr w14:val="tx1"/>
                        </w14:solidFill>
                      </w14:textFill>
                    </w:rPr>
                    <w:t>经</w:t>
                  </w:r>
                  <w:r>
                    <w:rPr>
                      <w:rFonts w:hint="default" w:ascii="Times New Roman" w:hAnsi="Times New Roman" w:eastAsia="宋体" w:cs="Times New Roman"/>
                      <w:color w:val="000000" w:themeColor="text1"/>
                      <w:kern w:val="0"/>
                      <w:highlight w:val="none"/>
                      <w14:textFill>
                        <w14:solidFill>
                          <w14:schemeClr w14:val="tx1"/>
                        </w14:solidFill>
                      </w14:textFill>
                    </w:rPr>
                    <w:t>市政污水管网</w:t>
                  </w:r>
                  <w:r>
                    <w:rPr>
                      <w:rFonts w:hint="eastAsia" w:ascii="Times New Roman" w:hAnsi="Times New Roman" w:eastAsia="宋体" w:cs="Times New Roman"/>
                      <w:color w:val="000000" w:themeColor="text1"/>
                      <w:kern w:val="0"/>
                      <w:highlight w:val="none"/>
                      <w:lang w:val="en-US" w:eastAsia="zh-CN"/>
                      <w14:textFill>
                        <w14:solidFill>
                          <w14:schemeClr w14:val="tx1"/>
                        </w14:solidFill>
                      </w14:textFill>
                    </w:rPr>
                    <w:t>统一纳入</w:t>
                  </w:r>
                  <w:r>
                    <w:rPr>
                      <w:rFonts w:hint="eastAsia" w:ascii="Times New Roman" w:hAnsi="Times New Roman" w:eastAsia="宋体" w:cs="Times New Roman"/>
                      <w:color w:val="000000" w:themeColor="text1"/>
                      <w:kern w:val="0"/>
                      <w:highlight w:val="none"/>
                      <w:lang w:eastAsia="zh-CN"/>
                      <w14:textFill>
                        <w14:solidFill>
                          <w14:schemeClr w14:val="tx1"/>
                        </w14:solidFill>
                      </w14:textFill>
                    </w:rPr>
                    <w:t>洋里污水处理厂。</w:t>
                  </w:r>
                </w:p>
                <w:p w14:paraId="69740A64">
                  <w:pPr>
                    <w:pStyle w:val="189"/>
                    <w:spacing w:line="240" w:lineRule="auto"/>
                    <w:jc w:val="both"/>
                    <w:rPr>
                      <w:rFonts w:hint="eastAsia"/>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val="en-US" w:eastAsia="zh-CN"/>
                      <w14:textFill>
                        <w14:solidFill>
                          <w14:schemeClr w14:val="tx1"/>
                        </w14:solidFill>
                      </w14:textFill>
                    </w:rPr>
                    <w:t>④化验室安装一台</w:t>
                  </w:r>
                  <w:r>
                    <w:rPr>
                      <w:rFonts w:hint="eastAsia" w:ascii="Times New Roman" w:hAnsi="Times New Roman" w:eastAsia="宋体" w:cs="Times New Roman"/>
                      <w:color w:val="000000" w:themeColor="text1"/>
                      <w:highlight w:val="none"/>
                      <w:lang w:val="en-US" w:eastAsia="zh-CN"/>
                      <w14:textFill>
                        <w14:solidFill>
                          <w14:schemeClr w14:val="tx1"/>
                        </w14:solidFill>
                      </w14:textFill>
                    </w:rPr>
                    <w:t>消毒设备</w:t>
                  </w:r>
                  <w:r>
                    <w:rPr>
                      <w:rFonts w:hint="default" w:ascii="Times New Roman" w:hAnsi="Times New Roman" w:eastAsia="宋体" w:cs="Times New Roman"/>
                      <w:color w:val="000000" w:themeColor="text1"/>
                      <w:highlight w:val="none"/>
                      <w:lang w:val="en-US" w:eastAsia="zh-CN"/>
                      <w14:textFill>
                        <w14:solidFill>
                          <w14:schemeClr w14:val="tx1"/>
                        </w14:solidFill>
                      </w14:textFill>
                    </w:rPr>
                    <w:t>（0</w:t>
                  </w:r>
                  <w:r>
                    <w:rPr>
                      <w:rFonts w:hint="eastAsia" w:ascii="Times New Roman" w:hAnsi="Times New Roman" w:eastAsia="宋体" w:cs="Times New Roman"/>
                      <w:color w:val="000000" w:themeColor="text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r>
                    <w:rPr>
                      <w:rFonts w:hint="eastAsia" w:ascii="宋体" w:hAnsi="宋体" w:eastAsia="宋体" w:cs="宋体"/>
                      <w:color w:val="000000" w:themeColor="text1"/>
                      <w:highlight w:val="none"/>
                      <w:lang w:val="en-US" w:eastAsia="zh-CN"/>
                      <w14:textFill>
                        <w14:solidFill>
                          <w14:schemeClr w14:val="tx1"/>
                        </w14:solidFill>
                      </w14:textFill>
                    </w:rPr>
                    <w:t>检验设备头道清洗废水，当危废处理，定期委托有资质单位处理；第二、三道检验设备清洗废水（非强酸、强碱、高浓度等）经消毒设备消毒后与各股废水一并通过企业总排口排放化粪池经市政污水管网纳入洋里污水处理厂。</w:t>
                  </w:r>
                </w:p>
              </w:tc>
            </w:tr>
            <w:tr w14:paraId="7C78B7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1142" w:type="dxa"/>
                  <w:vMerge w:val="continue"/>
                  <w:vAlign w:val="center"/>
                </w:tcPr>
                <w:p w14:paraId="1EFF32CF">
                  <w:pPr>
                    <w:pStyle w:val="189"/>
                    <w:spacing w:line="240" w:lineRule="auto"/>
                    <w:rPr>
                      <w:rFonts w:hint="default" w:ascii="Times New Roman" w:hAnsi="Times New Roman" w:eastAsia="宋体" w:cs="Times New Roman"/>
                      <w:color w:val="auto"/>
                      <w:highlight w:val="none"/>
                    </w:rPr>
                  </w:pPr>
                </w:p>
              </w:tc>
              <w:tc>
                <w:tcPr>
                  <w:tcW w:w="759" w:type="dxa"/>
                  <w:vAlign w:val="center"/>
                </w:tcPr>
                <w:p w14:paraId="677C3B28">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w:t>
                  </w:r>
                </w:p>
              </w:tc>
              <w:tc>
                <w:tcPr>
                  <w:tcW w:w="6541" w:type="dxa"/>
                  <w:vAlign w:val="center"/>
                </w:tcPr>
                <w:p w14:paraId="55E7EADF">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eastAsia="zh-CN"/>
                      <w14:textFill>
                        <w14:solidFill>
                          <w14:schemeClr w14:val="tx1"/>
                        </w14:solidFill>
                      </w14:textFill>
                    </w:rPr>
                    <w:t>合理布局、</w:t>
                  </w:r>
                  <w:r>
                    <w:rPr>
                      <w:rFonts w:hint="default" w:ascii="Times New Roman" w:hAnsi="Times New Roman" w:eastAsia="宋体" w:cs="Times New Roman"/>
                      <w:color w:val="000000" w:themeColor="text1"/>
                      <w:highlight w:val="none"/>
                      <w14:textFill>
                        <w14:solidFill>
                          <w14:schemeClr w14:val="tx1"/>
                        </w14:solidFill>
                      </w14:textFill>
                    </w:rPr>
                    <w:t>墙体隔声</w:t>
                  </w:r>
                </w:p>
              </w:tc>
            </w:tr>
            <w:tr w14:paraId="524E13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1142" w:type="dxa"/>
                  <w:vMerge w:val="continue"/>
                  <w:vAlign w:val="center"/>
                </w:tcPr>
                <w:p w14:paraId="176C9FB7">
                  <w:pPr>
                    <w:pStyle w:val="189"/>
                    <w:spacing w:line="240" w:lineRule="auto"/>
                    <w:rPr>
                      <w:rFonts w:hint="default" w:ascii="Times New Roman" w:hAnsi="Times New Roman" w:eastAsia="宋体" w:cs="Times New Roman"/>
                      <w:color w:val="auto"/>
                      <w:highlight w:val="none"/>
                    </w:rPr>
                  </w:pPr>
                </w:p>
              </w:tc>
              <w:tc>
                <w:tcPr>
                  <w:tcW w:w="759" w:type="dxa"/>
                  <w:vAlign w:val="center"/>
                </w:tcPr>
                <w:p w14:paraId="5D18CB84">
                  <w:pPr>
                    <w:pStyle w:val="189"/>
                    <w:spacing w:line="24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废气</w:t>
                  </w:r>
                </w:p>
              </w:tc>
              <w:tc>
                <w:tcPr>
                  <w:tcW w:w="6541" w:type="dxa"/>
                  <w:vAlign w:val="center"/>
                </w:tcPr>
                <w:p w14:paraId="43EA1253">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安装新风系统</w:t>
                  </w:r>
                  <w:r>
                    <w:rPr>
                      <w:rFonts w:hint="default" w:ascii="Times New Roman" w:hAnsi="Times New Roman" w:eastAsia="宋体" w:cs="Times New Roman"/>
                      <w:color w:val="000000" w:themeColor="text1"/>
                      <w:highlight w:val="none"/>
                      <w:lang w:val="en-US" w:eastAsia="zh-CN"/>
                      <w14:textFill>
                        <w14:solidFill>
                          <w14:schemeClr w14:val="tx1"/>
                        </w14:solidFill>
                      </w14:textFill>
                    </w:rPr>
                    <w:t>、喷洒除臭剂等方式，防治恶臭污染</w:t>
                  </w:r>
                  <w:r>
                    <w:rPr>
                      <w:rFonts w:hint="eastAsia" w:ascii="Times New Roman" w:hAnsi="Times New Roman" w:eastAsia="宋体" w:cs="Times New Roman"/>
                      <w:color w:val="000000" w:themeColor="text1"/>
                      <w:highlight w:val="none"/>
                      <w:lang w:val="en-US" w:eastAsia="zh-CN"/>
                      <w14:textFill>
                        <w14:solidFill>
                          <w14:schemeClr w14:val="tx1"/>
                        </w14:solidFill>
                      </w14:textFill>
                    </w:rPr>
                    <w:t>。</w:t>
                  </w:r>
                </w:p>
              </w:tc>
            </w:tr>
            <w:tr w14:paraId="689488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 w:hRule="atLeast"/>
                <w:jc w:val="center"/>
              </w:trPr>
              <w:tc>
                <w:tcPr>
                  <w:tcW w:w="1142" w:type="dxa"/>
                  <w:vMerge w:val="continue"/>
                  <w:vAlign w:val="center"/>
                </w:tcPr>
                <w:p w14:paraId="1CA158B6">
                  <w:pPr>
                    <w:pStyle w:val="189"/>
                    <w:spacing w:line="240" w:lineRule="auto"/>
                    <w:rPr>
                      <w:rFonts w:hint="default" w:ascii="Times New Roman" w:hAnsi="Times New Roman" w:eastAsia="宋体" w:cs="Times New Roman"/>
                      <w:color w:val="auto"/>
                      <w:highlight w:val="none"/>
                    </w:rPr>
                  </w:pPr>
                </w:p>
              </w:tc>
              <w:tc>
                <w:tcPr>
                  <w:tcW w:w="759" w:type="dxa"/>
                  <w:vAlign w:val="center"/>
                </w:tcPr>
                <w:p w14:paraId="649BBD45">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w:t>
                  </w:r>
                </w:p>
              </w:tc>
              <w:tc>
                <w:tcPr>
                  <w:tcW w:w="6541" w:type="dxa"/>
                  <w:vAlign w:val="center"/>
                </w:tcPr>
                <w:p w14:paraId="6F8596E7">
                  <w:pPr>
                    <w:pStyle w:val="189"/>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宋体" w:hAnsi="宋体" w:eastAsia="宋体" w:cs="宋体"/>
                      <w:color w:val="000000" w:themeColor="text1"/>
                      <w:highlight w:val="none"/>
                      <w14:textFill>
                        <w14:solidFill>
                          <w14:schemeClr w14:val="tx1"/>
                        </w14:solidFill>
                      </w14:textFill>
                    </w:rPr>
                    <w:t>①</w:t>
                  </w:r>
                  <w:r>
                    <w:rPr>
                      <w:rFonts w:hint="default" w:ascii="Times New Roman" w:hAnsi="Times New Roman" w:eastAsia="宋体" w:cs="Times New Roman"/>
                      <w:color w:val="000000" w:themeColor="text1"/>
                      <w:highlight w:val="none"/>
                      <w14:textFill>
                        <w14:solidFill>
                          <w14:schemeClr w14:val="tx1"/>
                        </w14:solidFill>
                      </w14:textFill>
                    </w:rPr>
                    <w:t>生活垃圾分类收集在垃圾桶中，由环卫部门收集处理</w:t>
                  </w:r>
                  <w:r>
                    <w:rPr>
                      <w:rFonts w:hint="eastAsia" w:ascii="Times New Roman" w:hAnsi="Times New Roman" w:eastAsia="宋体" w:cs="Times New Roman"/>
                      <w:color w:val="000000" w:themeColor="text1"/>
                      <w:highlight w:val="none"/>
                      <w:lang w:eastAsia="zh-CN"/>
                      <w14:textFill>
                        <w14:solidFill>
                          <w14:schemeClr w14:val="tx1"/>
                        </w14:solidFill>
                      </w14:textFill>
                    </w:rPr>
                    <w:t>。</w:t>
                  </w:r>
                </w:p>
                <w:p w14:paraId="059CD6CC">
                  <w:pPr>
                    <w:pStyle w:val="189"/>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ascii="宋体" w:hAnsi="宋体" w:eastAsia="宋体" w:cs="宋体"/>
                      <w:color w:val="000000" w:themeColor="text1"/>
                      <w:highlight w:val="none"/>
                      <w:lang w:val="en-US" w:eastAsia="zh-CN"/>
                      <w14:textFill>
                        <w14:solidFill>
                          <w14:schemeClr w14:val="tx1"/>
                        </w14:solidFill>
                      </w14:textFill>
                    </w:rPr>
                    <w:t>②一楼</w:t>
                  </w:r>
                  <w:r>
                    <w:rPr>
                      <w:rFonts w:hint="default" w:ascii="Times New Roman" w:hAnsi="Times New Roman" w:eastAsia="宋体" w:cs="Times New Roman"/>
                      <w:color w:val="000000" w:themeColor="text1"/>
                      <w:highlight w:val="none"/>
                      <w14:textFill>
                        <w14:solidFill>
                          <w14:schemeClr w14:val="tx1"/>
                        </w14:solidFill>
                      </w14:textFill>
                    </w:rPr>
                    <w:t>设置</w:t>
                  </w:r>
                  <w:r>
                    <w:rPr>
                      <w:rFonts w:hint="eastAsia" w:ascii="Times New Roman" w:hAnsi="Times New Roman" w:eastAsia="宋体" w:cs="Times New Roman"/>
                      <w:color w:val="000000" w:themeColor="text1"/>
                      <w:highlight w:val="none"/>
                      <w:lang w:eastAsia="zh-CN"/>
                      <w14:textFill>
                        <w14:solidFill>
                          <w14:schemeClr w14:val="tx1"/>
                        </w14:solidFill>
                      </w14:textFill>
                    </w:rPr>
                    <w:t>危废间</w:t>
                  </w:r>
                  <w:r>
                    <w:rPr>
                      <w:rFonts w:hint="default" w:ascii="Times New Roman" w:hAnsi="Times New Roman" w:eastAsia="宋体" w:cs="Times New Roman"/>
                      <w:color w:val="000000" w:themeColor="text1"/>
                      <w:highlight w:val="none"/>
                      <w14:textFill>
                        <w14:solidFill>
                          <w14:schemeClr w14:val="tx1"/>
                        </w14:solidFill>
                      </w14:textFill>
                    </w:rPr>
                    <w:t>，</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宠物疾病预防、诊治</w:t>
                  </w:r>
                  <w:r>
                    <w:rPr>
                      <w:rFonts w:hint="eastAsia" w:ascii="Times New Roman" w:hAnsi="Times New Roman" w:eastAsia="宋体" w:cs="Times New Roman"/>
                      <w:color w:val="000000" w:themeColor="text1"/>
                      <w:highlight w:val="none"/>
                      <w14:textFill>
                        <w14:solidFill>
                          <w14:schemeClr w14:val="tx1"/>
                        </w14:solidFill>
                      </w14:textFill>
                    </w:rPr>
                    <w:t>或手术产生</w:t>
                  </w:r>
                  <w:r>
                    <w:rPr>
                      <w:rFonts w:hint="eastAsia" w:ascii="Times New Roman" w:hAnsi="Times New Roman" w:eastAsia="宋体" w:cs="Times New Roman"/>
                      <w:color w:val="000000" w:themeColor="text1"/>
                      <w:highlight w:val="none"/>
                      <w:lang w:val="en-US" w:eastAsia="zh-CN"/>
                      <w14:textFill>
                        <w14:solidFill>
                          <w14:schemeClr w14:val="tx1"/>
                        </w14:solidFill>
                      </w14:textFill>
                    </w:rPr>
                    <w:t>的</w:t>
                  </w:r>
                  <w:r>
                    <w:rPr>
                      <w:rFonts w:hint="eastAsia" w:ascii="Times New Roman" w:hAnsi="Times New Roman" w:eastAsia="宋体" w:cs="Times New Roman"/>
                      <w:color w:val="000000" w:themeColor="text1"/>
                      <w:highlight w:val="none"/>
                      <w14:textFill>
                        <w14:solidFill>
                          <w14:schemeClr w14:val="tx1"/>
                        </w14:solidFill>
                      </w14:textFill>
                    </w:rPr>
                    <w:t>医疗废物</w:t>
                  </w:r>
                  <w:r>
                    <w:rPr>
                      <w:rFonts w:hint="eastAsia" w:ascii="Times New Roman" w:hAnsi="Times New Roman" w:eastAsia="宋体" w:cs="Times New Roman"/>
                      <w:color w:val="000000" w:themeColor="text1"/>
                      <w:highlight w:val="none"/>
                      <w:lang w:val="en-US" w:eastAsia="zh-CN"/>
                      <w14:textFill>
                        <w14:solidFill>
                          <w14:schemeClr w14:val="tx1"/>
                        </w14:solidFill>
                      </w14:textFill>
                    </w:rPr>
                    <w:t>使用专用危废垃圾桶分类收集并</w:t>
                  </w:r>
                  <w:r>
                    <w:rPr>
                      <w:rFonts w:ascii="Times New Roman" w:hAnsi="Times New Roman" w:eastAsia="宋体" w:cs="Times New Roman"/>
                      <w:color w:val="000000" w:themeColor="text1"/>
                      <w:highlight w:val="none"/>
                      <w14:textFill>
                        <w14:solidFill>
                          <w14:schemeClr w14:val="tx1"/>
                        </w14:solidFill>
                      </w14:textFill>
                    </w:rPr>
                    <w:t>暂存危废间</w:t>
                  </w:r>
                  <w:r>
                    <w:rPr>
                      <w:rFonts w:hint="eastAsia"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由有资质单位定期</w:t>
                  </w:r>
                  <w:r>
                    <w:rPr>
                      <w:rFonts w:hint="eastAsia" w:ascii="Times New Roman" w:hAnsi="Times New Roman" w:eastAsia="宋体" w:cs="Times New Roman"/>
                      <w:color w:val="000000" w:themeColor="text1"/>
                      <w:highlight w:val="none"/>
                      <w:lang w:val="en-US" w:eastAsia="zh-CN"/>
                      <w14:textFill>
                        <w14:solidFill>
                          <w14:schemeClr w14:val="tx1"/>
                        </w14:solidFill>
                      </w14:textFill>
                    </w:rPr>
                    <w:t>清运</w:t>
                  </w:r>
                  <w:r>
                    <w:rPr>
                      <w:rFonts w:hint="default" w:ascii="Times New Roman" w:hAnsi="Times New Roman" w:eastAsia="宋体" w:cs="Times New Roman"/>
                      <w:color w:val="000000" w:themeColor="text1"/>
                      <w:highlight w:val="none"/>
                      <w14:textFill>
                        <w14:solidFill>
                          <w14:schemeClr w14:val="tx1"/>
                        </w14:solidFill>
                      </w14:textFill>
                    </w:rPr>
                    <w:t>。</w:t>
                  </w:r>
                </w:p>
                <w:p w14:paraId="5E216432">
                  <w:pPr>
                    <w:pStyle w:val="189"/>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宋体" w:hAnsi="宋体" w:eastAsia="宋体" w:cs="宋体"/>
                      <w:color w:val="000000" w:themeColor="text1"/>
                      <w:highlight w:val="none"/>
                      <w:lang w:val="en-US" w:eastAsia="zh-CN"/>
                      <w14:textFill>
                        <w14:solidFill>
                          <w14:schemeClr w14:val="tx1"/>
                        </w14:solidFill>
                      </w14:textFill>
                    </w:rPr>
                    <w:t>③</w:t>
                  </w:r>
                  <w:r>
                    <w:rPr>
                      <w:rFonts w:hint="eastAsia" w:ascii="Times New Roman" w:hAnsi="Times New Roman" w:eastAsia="宋体" w:cs="Times New Roman"/>
                      <w:color w:val="000000" w:themeColor="text1"/>
                      <w:highlight w:val="none"/>
                      <w:lang w:val="en-US" w:eastAsia="zh-CN"/>
                      <w14:textFill>
                        <w14:solidFill>
                          <w14:schemeClr w14:val="tx1"/>
                        </w14:solidFill>
                      </w14:textFill>
                    </w:rPr>
                    <w:t>消毒设备消毒宠物美容废水、医疗</w:t>
                  </w:r>
                  <w:r>
                    <w:rPr>
                      <w:rFonts w:hint="eastAsia" w:ascii="Times New Roman" w:hAnsi="Times New Roman" w:eastAsia="宋体" w:cs="Times New Roman"/>
                      <w:color w:val="000000" w:themeColor="text1"/>
                      <w:highlight w:val="none"/>
                      <w14:textFill>
                        <w14:solidFill>
                          <w14:schemeClr w14:val="tx1"/>
                        </w14:solidFill>
                      </w14:textFill>
                    </w:rPr>
                    <w:t>废水</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和</w:t>
                  </w:r>
                  <w:r>
                    <w:rPr>
                      <w:rFonts w:hint="eastAsia" w:ascii="宋体" w:hAnsi="宋体" w:eastAsia="宋体" w:cs="宋体"/>
                      <w:color w:val="000000" w:themeColor="text1"/>
                      <w:highlight w:val="none"/>
                      <w:lang w:val="en-US" w:eastAsia="zh-CN"/>
                      <w14:textFill>
                        <w14:solidFill>
                          <w14:schemeClr w14:val="tx1"/>
                        </w14:solidFill>
                      </w14:textFill>
                    </w:rPr>
                    <w:t>第二、三道检验设备清洗废水</w:t>
                  </w:r>
                  <w:r>
                    <w:rPr>
                      <w:rFonts w:hint="eastAsia" w:ascii="Times New Roman" w:hAnsi="Times New Roman" w:eastAsia="宋体" w:cs="Times New Roman"/>
                      <w:color w:val="000000" w:themeColor="text1"/>
                      <w:highlight w:val="none"/>
                      <w14:textFill>
                        <w14:solidFill>
                          <w14:schemeClr w14:val="tx1"/>
                        </w14:solidFill>
                      </w14:textFill>
                    </w:rPr>
                    <w:t>产生的污泥</w:t>
                  </w:r>
                  <w:r>
                    <w:rPr>
                      <w:rFonts w:hint="eastAsia" w:ascii="Times New Roman" w:hAnsi="Times New Roman" w:eastAsia="宋体" w:cs="Times New Roman"/>
                      <w:color w:val="000000" w:themeColor="text1"/>
                      <w:highlight w:val="none"/>
                      <w:lang w:eastAsia="zh-CN"/>
                      <w14:textFill>
                        <w14:solidFill>
                          <w14:schemeClr w14:val="tx1"/>
                        </w14:solidFill>
                      </w14:textFill>
                    </w:rPr>
                    <w:t>，</w:t>
                  </w:r>
                  <w:r>
                    <w:rPr>
                      <w:rFonts w:hint="eastAsia" w:ascii="Times New Roman" w:hAnsi="Times New Roman" w:eastAsia="宋体" w:cs="Times New Roman"/>
                      <w:color w:val="000000" w:themeColor="text1"/>
                      <w:highlight w:val="none"/>
                      <w:lang w:val="en-US" w:eastAsia="zh-CN"/>
                      <w14:textFill>
                        <w14:solidFill>
                          <w14:schemeClr w14:val="tx1"/>
                        </w14:solidFill>
                      </w14:textFill>
                    </w:rPr>
                    <w:t>每3</w:t>
                  </w:r>
                  <w:r>
                    <w:rPr>
                      <w:rFonts w:hint="eastAsia" w:ascii="Times New Roman" w:hAnsi="Times New Roman" w:eastAsia="宋体" w:cs="Times New Roman"/>
                      <w:color w:val="000000" w:themeColor="text1"/>
                      <w:highlight w:val="none"/>
                      <w:lang w:eastAsia="zh-CN"/>
                      <w14:textFill>
                        <w14:solidFill>
                          <w14:schemeClr w14:val="tx1"/>
                        </w14:solidFill>
                      </w14:textFill>
                    </w:rPr>
                    <w:t>～</w:t>
                  </w:r>
                  <w:r>
                    <w:rPr>
                      <w:rFonts w:hint="eastAsia" w:ascii="Times New Roman" w:hAnsi="Times New Roman" w:eastAsia="宋体" w:cs="Times New Roman"/>
                      <w:color w:val="000000" w:themeColor="text1"/>
                      <w:highlight w:val="none"/>
                      <w:lang w:val="en-US" w:eastAsia="zh-CN"/>
                      <w14:textFill>
                        <w14:solidFill>
                          <w14:schemeClr w14:val="tx1"/>
                        </w14:solidFill>
                      </w14:textFill>
                    </w:rPr>
                    <w:t>5天清掏一次，</w:t>
                  </w:r>
                  <w:r>
                    <w:rPr>
                      <w:rFonts w:hint="default" w:ascii="Times New Roman" w:hAnsi="Times New Roman" w:eastAsia="宋体" w:cs="Times New Roman"/>
                      <w:color w:val="000000" w:themeColor="text1"/>
                      <w:highlight w:val="none"/>
                      <w14:textFill>
                        <w14:solidFill>
                          <w14:schemeClr w14:val="tx1"/>
                        </w14:solidFill>
                      </w14:textFill>
                    </w:rPr>
                    <w:t>由有资质单位定期</w:t>
                  </w:r>
                  <w:r>
                    <w:rPr>
                      <w:rFonts w:hint="eastAsia" w:ascii="Times New Roman" w:hAnsi="Times New Roman" w:eastAsia="宋体" w:cs="Times New Roman"/>
                      <w:color w:val="000000" w:themeColor="text1"/>
                      <w:highlight w:val="none"/>
                      <w:lang w:val="en-US" w:eastAsia="zh-CN"/>
                      <w14:textFill>
                        <w14:solidFill>
                          <w14:schemeClr w14:val="tx1"/>
                        </w14:solidFill>
                      </w14:textFill>
                    </w:rPr>
                    <w:t>清运</w:t>
                  </w:r>
                  <w:r>
                    <w:rPr>
                      <w:rFonts w:hint="default" w:ascii="Times New Roman" w:hAnsi="Times New Roman" w:eastAsia="宋体" w:cs="Times New Roman"/>
                      <w:color w:val="000000" w:themeColor="text1"/>
                      <w:highlight w:val="none"/>
                      <w14:textFill>
                        <w14:solidFill>
                          <w14:schemeClr w14:val="tx1"/>
                        </w14:solidFill>
                      </w14:textFill>
                    </w:rPr>
                    <w:t>。</w:t>
                  </w:r>
                </w:p>
              </w:tc>
            </w:tr>
          </w:tbl>
          <w:p w14:paraId="4C1FD208">
            <w:pPr>
              <w:pStyle w:val="3"/>
              <w:numPr>
                <w:ilvl w:val="-1"/>
                <w:numId w:val="0"/>
              </w:numPr>
              <w:rPr>
                <w:rFonts w:hint="default" w:ascii="Times New Roman" w:hAnsi="Times New Roman" w:cs="Times New Roman"/>
                <w:color w:val="auto"/>
                <w:highlight w:val="none"/>
              </w:rPr>
            </w:pPr>
            <w:bookmarkStart w:id="45" w:name="_Toc28331"/>
            <w:bookmarkStart w:id="46" w:name="_Toc133251537"/>
            <w:bookmarkStart w:id="47" w:name="_Toc10193"/>
            <w:bookmarkStart w:id="48" w:name="_Toc2489"/>
          </w:p>
          <w:p w14:paraId="066ADCED">
            <w:pPr>
              <w:pStyle w:val="3"/>
              <w:numPr>
                <w:ilvl w:val="-1"/>
                <w:numId w:val="0"/>
              </w:numPr>
              <w:rPr>
                <w:rFonts w:hint="default" w:ascii="Times New Roman" w:hAnsi="Times New Roman" w:cs="Times New Roman"/>
                <w:color w:val="auto"/>
                <w:highlight w:val="none"/>
              </w:rPr>
            </w:pPr>
          </w:p>
          <w:p w14:paraId="2D4D56CC">
            <w:pPr>
              <w:pStyle w:val="3"/>
              <w:numPr>
                <w:ilvl w:val="-1"/>
                <w:numId w:val="0"/>
              </w:numPr>
              <w:rPr>
                <w:rFonts w:hint="default" w:ascii="Times New Roman" w:hAnsi="Times New Roman" w:cs="Times New Roman"/>
                <w:color w:val="auto"/>
                <w:highlight w:val="none"/>
              </w:rPr>
            </w:pPr>
          </w:p>
          <w:p w14:paraId="24B0CA48">
            <w:pPr>
              <w:pStyle w:val="3"/>
              <w:keepNext/>
              <w:keepLines/>
              <w:pageBreakBefore w:val="0"/>
              <w:kinsoku/>
              <w:wordWrap/>
              <w:overflowPunct/>
              <w:topLinePunct w:val="0"/>
              <w:autoSpaceDE/>
              <w:autoSpaceDN/>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项目主要医疗设备</w:t>
            </w:r>
            <w:bookmarkEnd w:id="45"/>
            <w:bookmarkEnd w:id="46"/>
            <w:bookmarkEnd w:id="47"/>
            <w:bookmarkEnd w:id="48"/>
          </w:p>
          <w:p w14:paraId="04A9D83A">
            <w:pPr>
              <w:pStyle w:val="471"/>
              <w:keepNext/>
              <w:keepLines/>
              <w:pageBreakBefore w:val="0"/>
              <w:kinsoku/>
              <w:wordWrap/>
              <w:overflowPunct/>
              <w:topLinePunct w:val="0"/>
              <w:autoSpaceDE/>
              <w:autoSpaceDN/>
              <w:bidi w:val="0"/>
              <w:spacing w:after="0" w:line="240" w:lineRule="auto"/>
              <w:ind w:firstLine="480" w:firstLineChars="200"/>
              <w:jc w:val="both"/>
              <w:rPr>
                <w:rFonts w:hint="default" w:ascii="Times New Roman" w:hAnsi="Times New Roman" w:cs="Times New Roman"/>
                <w:b/>
                <w:bCs/>
                <w:color w:val="auto"/>
                <w:highlight w:val="none"/>
              </w:rPr>
            </w:pPr>
            <w:r>
              <w:rPr>
                <w:rFonts w:hint="eastAsia" w:ascii="Times New Roman" w:hAnsi="Times New Roman" w:eastAsia="宋体" w:cs="Times New Roman"/>
                <w:color w:val="auto"/>
                <w:szCs w:val="24"/>
                <w:highlight w:val="none"/>
                <w:lang w:val="en-US" w:eastAsia="zh-CN"/>
              </w:rPr>
              <w:t>本</w:t>
            </w:r>
            <w:r>
              <w:rPr>
                <w:rFonts w:hint="default" w:ascii="Times New Roman" w:hAnsi="Times New Roman" w:eastAsia="宋体" w:cs="Times New Roman"/>
                <w:color w:val="auto"/>
                <w:szCs w:val="24"/>
                <w:highlight w:val="none"/>
              </w:rPr>
              <w:t>项目</w:t>
            </w:r>
            <w:r>
              <w:rPr>
                <w:rFonts w:hint="default" w:ascii="Times New Roman" w:hAnsi="Times New Roman" w:cs="Times New Roman"/>
                <w:color w:val="auto"/>
                <w:highlight w:val="none"/>
              </w:rPr>
              <w:t>主要医疗设备见表2-</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p>
          <w:p w14:paraId="2A2A22AD">
            <w:pPr>
              <w:pStyle w:val="471"/>
              <w:keepNext/>
              <w:keepLines/>
              <w:pageBreakBefore w:val="0"/>
              <w:kinsoku/>
              <w:wordWrap/>
              <w:overflowPunct/>
              <w:topLinePunct w:val="0"/>
              <w:autoSpaceDE/>
              <w:autoSpaceDN/>
              <w:bidi w:val="0"/>
              <w:spacing w:after="0" w:line="240" w:lineRule="auto"/>
              <w:ind w:firstLine="0"/>
              <w:jc w:val="center"/>
              <w:rPr>
                <w:rFonts w:hint="default" w:ascii="Times New Roman" w:hAnsi="Times New Roman" w:eastAsia="PMingLiU" w:cs="Times New Roman"/>
                <w:b/>
                <w:bCs/>
                <w:color w:val="auto"/>
                <w:highlight w:val="none"/>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bidi="en-US"/>
              </w:rPr>
              <w:t>2-</w:t>
            </w:r>
            <w:r>
              <w:rPr>
                <w:rFonts w:hint="eastAsia" w:ascii="Times New Roman" w:hAnsi="Times New Roman" w:cs="Times New Roman"/>
                <w:b/>
                <w:bCs/>
                <w:color w:val="auto"/>
                <w:highlight w:val="none"/>
                <w:lang w:val="en-US" w:eastAsia="zh-CN" w:bidi="en-US"/>
              </w:rPr>
              <w:t>3</w:t>
            </w:r>
            <w:r>
              <w:rPr>
                <w:rFonts w:hint="default" w:ascii="Times New Roman" w:hAnsi="Times New Roman" w:cs="Times New Roman"/>
                <w:b/>
                <w:bCs/>
                <w:color w:val="auto"/>
                <w:highlight w:val="none"/>
                <w:lang w:val="en-US" w:eastAsia="zh-CN" w:bidi="en-US"/>
              </w:rPr>
              <w:t xml:space="preserve">  </w:t>
            </w:r>
            <w:r>
              <w:rPr>
                <w:rFonts w:hint="default" w:ascii="Times New Roman" w:hAnsi="Times New Roman" w:cs="Times New Roman"/>
                <w:b/>
                <w:bCs/>
                <w:color w:val="auto"/>
                <w:highlight w:val="none"/>
              </w:rPr>
              <w:t>主要</w:t>
            </w:r>
            <w:r>
              <w:rPr>
                <w:rFonts w:hint="default" w:ascii="Times New Roman" w:hAnsi="Times New Roman" w:cs="Times New Roman"/>
                <w:b/>
                <w:bCs/>
                <w:color w:val="auto"/>
                <w:highlight w:val="none"/>
                <w:lang w:val="en-US" w:eastAsia="zh-CN"/>
              </w:rPr>
              <w:t>医疗</w:t>
            </w:r>
            <w:r>
              <w:rPr>
                <w:rFonts w:hint="default" w:ascii="Times New Roman" w:hAnsi="Times New Roman" w:cs="Times New Roman"/>
                <w:b/>
                <w:bCs/>
                <w:color w:val="auto"/>
                <w:highlight w:val="none"/>
              </w:rPr>
              <w:t>设备一览表</w:t>
            </w:r>
          </w:p>
          <w:tbl>
            <w:tblPr>
              <w:tblStyle w:val="50"/>
              <w:tblW w:w="8403"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467"/>
              <w:gridCol w:w="4274"/>
              <w:gridCol w:w="2662"/>
            </w:tblGrid>
            <w:tr w14:paraId="7EADD4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4" w:hRule="atLeast"/>
                <w:jc w:val="center"/>
              </w:trPr>
              <w:tc>
                <w:tcPr>
                  <w:tcW w:w="1467" w:type="dxa"/>
                  <w:vAlign w:val="center"/>
                </w:tcPr>
                <w:p w14:paraId="720FD36F">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序号</w:t>
                  </w:r>
                </w:p>
              </w:tc>
              <w:tc>
                <w:tcPr>
                  <w:tcW w:w="4274" w:type="dxa"/>
                  <w:vAlign w:val="center"/>
                </w:tcPr>
                <w:p w14:paraId="4A02C6D8">
                  <w:pPr>
                    <w:keepNext/>
                    <w:keepLines/>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设备名称</w:t>
                  </w:r>
                </w:p>
              </w:tc>
              <w:tc>
                <w:tcPr>
                  <w:tcW w:w="2662" w:type="dxa"/>
                  <w:vAlign w:val="center"/>
                </w:tcPr>
                <w:p w14:paraId="24A5A537">
                  <w:pPr>
                    <w:keepNext/>
                    <w:keepLines/>
                    <w:pageBreakBefore w:val="0"/>
                    <w:widowControl/>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数量（台）</w:t>
                  </w:r>
                </w:p>
              </w:tc>
            </w:tr>
            <w:tr w14:paraId="4EC4C1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467" w:type="dxa"/>
                  <w:vAlign w:val="center"/>
                </w:tcPr>
                <w:p w14:paraId="2FED3596">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1</w:t>
                  </w:r>
                </w:p>
              </w:tc>
              <w:tc>
                <w:tcPr>
                  <w:tcW w:w="4274" w:type="dxa"/>
                  <w:vAlign w:val="top"/>
                </w:tcPr>
                <w:p w14:paraId="4C407907">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显微镜</w:t>
                  </w:r>
                </w:p>
              </w:tc>
              <w:tc>
                <w:tcPr>
                  <w:tcW w:w="2662" w:type="dxa"/>
                  <w:vAlign w:val="top"/>
                </w:tcPr>
                <w:p w14:paraId="6E29B61E">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1</w:t>
                  </w:r>
                </w:p>
              </w:tc>
            </w:tr>
            <w:tr w14:paraId="765E3C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1467" w:type="dxa"/>
                  <w:vAlign w:val="center"/>
                </w:tcPr>
                <w:p w14:paraId="11093262">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2</w:t>
                  </w:r>
                </w:p>
              </w:tc>
              <w:tc>
                <w:tcPr>
                  <w:tcW w:w="4274" w:type="dxa"/>
                  <w:vAlign w:val="top"/>
                </w:tcPr>
                <w:p w14:paraId="1283C1C0">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彩超</w:t>
                  </w:r>
                </w:p>
              </w:tc>
              <w:tc>
                <w:tcPr>
                  <w:tcW w:w="2662" w:type="dxa"/>
                  <w:vAlign w:val="top"/>
                </w:tcPr>
                <w:p w14:paraId="51050E8C">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1</w:t>
                  </w:r>
                </w:p>
              </w:tc>
            </w:tr>
            <w:tr w14:paraId="61A704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4" w:hRule="atLeast"/>
                <w:jc w:val="center"/>
              </w:trPr>
              <w:tc>
                <w:tcPr>
                  <w:tcW w:w="1467" w:type="dxa"/>
                  <w:vAlign w:val="center"/>
                </w:tcPr>
                <w:p w14:paraId="38A67F8D">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3</w:t>
                  </w:r>
                </w:p>
              </w:tc>
              <w:tc>
                <w:tcPr>
                  <w:tcW w:w="4274" w:type="dxa"/>
                  <w:vAlign w:val="top"/>
                </w:tcPr>
                <w:p w14:paraId="0C24DC3C">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血常规</w:t>
                  </w:r>
                </w:p>
              </w:tc>
              <w:tc>
                <w:tcPr>
                  <w:tcW w:w="2662" w:type="dxa"/>
                  <w:vAlign w:val="top"/>
                </w:tcPr>
                <w:p w14:paraId="25A83ABE">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1</w:t>
                  </w:r>
                </w:p>
              </w:tc>
            </w:tr>
            <w:tr w14:paraId="7013C5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4" w:hRule="atLeast"/>
                <w:jc w:val="center"/>
              </w:trPr>
              <w:tc>
                <w:tcPr>
                  <w:tcW w:w="1467" w:type="dxa"/>
                  <w:vAlign w:val="center"/>
                </w:tcPr>
                <w:p w14:paraId="189CFDAB">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4</w:t>
                  </w:r>
                </w:p>
              </w:tc>
              <w:tc>
                <w:tcPr>
                  <w:tcW w:w="4274" w:type="dxa"/>
                  <w:vAlign w:val="top"/>
                </w:tcPr>
                <w:p w14:paraId="23BA1CCA">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X光机</w:t>
                  </w:r>
                </w:p>
              </w:tc>
              <w:tc>
                <w:tcPr>
                  <w:tcW w:w="2662" w:type="dxa"/>
                  <w:vAlign w:val="top"/>
                </w:tcPr>
                <w:p w14:paraId="4FF66E0F">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1</w:t>
                  </w:r>
                </w:p>
              </w:tc>
            </w:tr>
            <w:tr w14:paraId="34BBB8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4" w:hRule="atLeast"/>
                <w:jc w:val="center"/>
              </w:trPr>
              <w:tc>
                <w:tcPr>
                  <w:tcW w:w="1467" w:type="dxa"/>
                  <w:vAlign w:val="center"/>
                </w:tcPr>
                <w:p w14:paraId="159F01CC">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5</w:t>
                  </w:r>
                </w:p>
              </w:tc>
              <w:tc>
                <w:tcPr>
                  <w:tcW w:w="4274" w:type="dxa"/>
                  <w:vAlign w:val="top"/>
                </w:tcPr>
                <w:p w14:paraId="14101B76">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离心机</w:t>
                  </w:r>
                </w:p>
              </w:tc>
              <w:tc>
                <w:tcPr>
                  <w:tcW w:w="2662" w:type="dxa"/>
                  <w:vAlign w:val="top"/>
                </w:tcPr>
                <w:p w14:paraId="546FFB7D">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1</w:t>
                  </w:r>
                </w:p>
              </w:tc>
            </w:tr>
            <w:tr w14:paraId="5469A4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4" w:hRule="atLeast"/>
                <w:jc w:val="center"/>
              </w:trPr>
              <w:tc>
                <w:tcPr>
                  <w:tcW w:w="1467" w:type="dxa"/>
                  <w:vAlign w:val="center"/>
                </w:tcPr>
                <w:p w14:paraId="7D079A37">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6</w:t>
                  </w:r>
                </w:p>
              </w:tc>
              <w:tc>
                <w:tcPr>
                  <w:tcW w:w="4274" w:type="dxa"/>
                  <w:vAlign w:val="top"/>
                </w:tcPr>
                <w:p w14:paraId="56C6D2E6">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无影灯</w:t>
                  </w:r>
                </w:p>
              </w:tc>
              <w:tc>
                <w:tcPr>
                  <w:tcW w:w="2662" w:type="dxa"/>
                  <w:vAlign w:val="top"/>
                </w:tcPr>
                <w:p w14:paraId="487FBCAC">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1</w:t>
                  </w:r>
                </w:p>
              </w:tc>
            </w:tr>
            <w:tr w14:paraId="5D1C2D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14:paraId="731D5E38">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7</w:t>
                  </w:r>
                </w:p>
              </w:tc>
              <w:tc>
                <w:tcPr>
                  <w:tcW w:w="4274" w:type="dxa"/>
                  <w:vAlign w:val="top"/>
                </w:tcPr>
                <w:p w14:paraId="13D05945">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全自动生化仪</w:t>
                  </w:r>
                </w:p>
              </w:tc>
              <w:tc>
                <w:tcPr>
                  <w:tcW w:w="2662" w:type="dxa"/>
                  <w:vAlign w:val="top"/>
                </w:tcPr>
                <w:p w14:paraId="5285B106">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1</w:t>
                  </w:r>
                </w:p>
              </w:tc>
            </w:tr>
            <w:tr w14:paraId="1C3DAA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1" w:hRule="atLeast"/>
                <w:jc w:val="center"/>
              </w:trPr>
              <w:tc>
                <w:tcPr>
                  <w:tcW w:w="1467" w:type="dxa"/>
                  <w:vAlign w:val="center"/>
                </w:tcPr>
                <w:p w14:paraId="794CC0FE">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8</w:t>
                  </w:r>
                </w:p>
              </w:tc>
              <w:tc>
                <w:tcPr>
                  <w:tcW w:w="4274" w:type="dxa"/>
                  <w:vAlign w:val="top"/>
                </w:tcPr>
                <w:p w14:paraId="68A9EF9B">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处置台</w:t>
                  </w:r>
                </w:p>
              </w:tc>
              <w:tc>
                <w:tcPr>
                  <w:tcW w:w="2662" w:type="dxa"/>
                  <w:vAlign w:val="top"/>
                </w:tcPr>
                <w:p w14:paraId="184B849A">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2</w:t>
                  </w:r>
                </w:p>
              </w:tc>
            </w:tr>
            <w:tr w14:paraId="0DEC6C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14:paraId="56E3EB7D">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9</w:t>
                  </w:r>
                </w:p>
              </w:tc>
              <w:tc>
                <w:tcPr>
                  <w:tcW w:w="4274" w:type="dxa"/>
                  <w:vAlign w:val="top"/>
                </w:tcPr>
                <w:p w14:paraId="01B50036">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荧光免疫分析仪</w:t>
                  </w:r>
                </w:p>
              </w:tc>
              <w:tc>
                <w:tcPr>
                  <w:tcW w:w="2662" w:type="dxa"/>
                  <w:vAlign w:val="top"/>
                </w:tcPr>
                <w:p w14:paraId="72BE9E40">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2</w:t>
                  </w:r>
                </w:p>
              </w:tc>
            </w:tr>
            <w:tr w14:paraId="4616AC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467" w:type="dxa"/>
                  <w:vAlign w:val="center"/>
                </w:tcPr>
                <w:p w14:paraId="6E592BEF">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10</w:t>
                  </w:r>
                </w:p>
              </w:tc>
              <w:tc>
                <w:tcPr>
                  <w:tcW w:w="4274" w:type="dxa"/>
                  <w:vAlign w:val="top"/>
                </w:tcPr>
                <w:p w14:paraId="3FDD3E32">
                  <w:pPr>
                    <w:keepNext/>
                    <w:keepLines/>
                    <w:pageBreakBefore w:val="0"/>
                    <w:kinsoku/>
                    <w:wordWrap/>
                    <w:overflowPunct/>
                    <w:topLinePunct w:val="0"/>
                    <w:autoSpaceDE/>
                    <w:autoSpaceDN/>
                    <w:bidi w:val="0"/>
                    <w:jc w:val="center"/>
                    <w:rPr>
                      <w:rFonts w:hint="default" w:ascii="Times New Roman" w:hAnsi="宋体"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宋体" w:eastAsia="宋体" w:cs="Times New Roman"/>
                      <w:color w:val="000000" w:themeColor="text1"/>
                      <w:sz w:val="21"/>
                      <w:szCs w:val="21"/>
                      <w:lang w:val="en-US" w:eastAsia="zh-CN"/>
                      <w14:textFill>
                        <w14:solidFill>
                          <w14:schemeClr w14:val="tx1"/>
                        </w14:solidFill>
                      </w14:textFill>
                    </w:rPr>
                    <w:t>全自动核酸检测</w:t>
                  </w:r>
                </w:p>
              </w:tc>
              <w:tc>
                <w:tcPr>
                  <w:tcW w:w="2662" w:type="dxa"/>
                  <w:vAlign w:val="top"/>
                </w:tcPr>
                <w:p w14:paraId="1242477D">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1</w:t>
                  </w:r>
                </w:p>
              </w:tc>
            </w:tr>
            <w:tr w14:paraId="31FDED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9" w:hRule="atLeast"/>
                <w:jc w:val="center"/>
              </w:trPr>
              <w:tc>
                <w:tcPr>
                  <w:tcW w:w="1467" w:type="dxa"/>
                  <w:vAlign w:val="center"/>
                </w:tcPr>
                <w:p w14:paraId="047979FF">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11</w:t>
                  </w:r>
                </w:p>
              </w:tc>
              <w:tc>
                <w:tcPr>
                  <w:tcW w:w="4274" w:type="dxa"/>
                  <w:vAlign w:val="top"/>
                </w:tcPr>
                <w:p w14:paraId="26EFC894">
                  <w:pPr>
                    <w:keepNext/>
                    <w:keepLines/>
                    <w:pageBreakBefore w:val="0"/>
                    <w:kinsoku/>
                    <w:wordWrap/>
                    <w:overflowPunct/>
                    <w:topLinePunct w:val="0"/>
                    <w:autoSpaceDE/>
                    <w:autoSpaceDN/>
                    <w:bidi w:val="0"/>
                    <w:jc w:val="center"/>
                    <w:rPr>
                      <w:rFonts w:hint="default" w:ascii="Times New Roman" w:hAnsi="宋体"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宋体" w:eastAsia="宋体" w:cs="Times New Roman"/>
                      <w:color w:val="000000" w:themeColor="text1"/>
                      <w:sz w:val="21"/>
                      <w:szCs w:val="21"/>
                      <w:lang w:val="en-US" w:eastAsia="zh-CN"/>
                      <w14:textFill>
                        <w14:solidFill>
                          <w14:schemeClr w14:val="tx1"/>
                        </w14:solidFill>
                      </w14:textFill>
                    </w:rPr>
                    <w:t>麻醉机工作站</w:t>
                  </w:r>
                </w:p>
              </w:tc>
              <w:tc>
                <w:tcPr>
                  <w:tcW w:w="2662" w:type="dxa"/>
                  <w:vAlign w:val="top"/>
                </w:tcPr>
                <w:p w14:paraId="08EF29B7">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1</w:t>
                  </w:r>
                </w:p>
              </w:tc>
            </w:tr>
            <w:tr w14:paraId="608B92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14:paraId="3A943365">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rPr>
                  </w:pPr>
                  <w:r>
                    <w:rPr>
                      <w:rStyle w:val="484"/>
                      <w:rFonts w:hint="default" w:ascii="Times New Roman" w:hAnsi="Times New Roman" w:eastAsia="宋体" w:cs="Times New Roman"/>
                      <w:color w:val="auto"/>
                      <w:sz w:val="21"/>
                      <w:szCs w:val="21"/>
                      <w:highlight w:val="none"/>
                    </w:rPr>
                    <w:t>12</w:t>
                  </w:r>
                </w:p>
              </w:tc>
              <w:tc>
                <w:tcPr>
                  <w:tcW w:w="4274" w:type="dxa"/>
                  <w:vAlign w:val="top"/>
                </w:tcPr>
                <w:p w14:paraId="33B45D25">
                  <w:pPr>
                    <w:keepNext/>
                    <w:keepLines/>
                    <w:pageBreakBefore w:val="0"/>
                    <w:kinsoku/>
                    <w:wordWrap/>
                    <w:overflowPunct/>
                    <w:topLinePunct w:val="0"/>
                    <w:autoSpaceDE/>
                    <w:autoSpaceDN/>
                    <w:bidi w:val="0"/>
                    <w:jc w:val="center"/>
                    <w:rPr>
                      <w:rFonts w:hint="default" w:ascii="Times New Roman" w:hAnsi="宋体"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宋体" w:eastAsia="宋体" w:cs="Times New Roman"/>
                      <w:color w:val="000000" w:themeColor="text1"/>
                      <w:sz w:val="21"/>
                      <w:szCs w:val="21"/>
                      <w:lang w:val="en-US" w:eastAsia="zh-CN"/>
                      <w14:textFill>
                        <w14:solidFill>
                          <w14:schemeClr w14:val="tx1"/>
                        </w14:solidFill>
                      </w14:textFill>
                    </w:rPr>
                    <w:t>心电监护</w:t>
                  </w:r>
                </w:p>
              </w:tc>
              <w:tc>
                <w:tcPr>
                  <w:tcW w:w="2662" w:type="dxa"/>
                  <w:vAlign w:val="top"/>
                </w:tcPr>
                <w:p w14:paraId="52545FD5">
                  <w:pPr>
                    <w:keepNext/>
                    <w:keepLines/>
                    <w:pageBreakBefore w:val="0"/>
                    <w:kinsoku/>
                    <w:wordWrap/>
                    <w:overflowPunct/>
                    <w:topLinePunct w:val="0"/>
                    <w:autoSpaceDE/>
                    <w:autoSpaceDN/>
                    <w:bidi w:val="0"/>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1</w:t>
                  </w:r>
                </w:p>
              </w:tc>
            </w:tr>
            <w:tr w14:paraId="6B9F25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14:paraId="1E8A8EF5">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lang w:val="en-US" w:eastAsia="zh-CN"/>
                    </w:rPr>
                  </w:pPr>
                  <w:bookmarkStart w:id="49" w:name="_Toc14655_WPSOffice_Level2"/>
                  <w:bookmarkStart w:id="50" w:name="_Toc11858"/>
                  <w:bookmarkStart w:id="51" w:name="_Toc26832"/>
                  <w:bookmarkStart w:id="52" w:name="_Toc22386"/>
                  <w:bookmarkStart w:id="53" w:name="_Toc15806"/>
                  <w:bookmarkStart w:id="54" w:name="_Toc133251538"/>
                  <w:r>
                    <w:rPr>
                      <w:rStyle w:val="484"/>
                      <w:rFonts w:hint="eastAsia" w:ascii="Times New Roman" w:hAnsi="Times New Roman" w:eastAsia="宋体" w:cs="Times New Roman"/>
                      <w:color w:val="auto"/>
                      <w:sz w:val="21"/>
                      <w:szCs w:val="21"/>
                      <w:highlight w:val="none"/>
                      <w:lang w:val="en-US" w:eastAsia="zh-CN"/>
                    </w:rPr>
                    <w:t>13</w:t>
                  </w:r>
                </w:p>
              </w:tc>
              <w:tc>
                <w:tcPr>
                  <w:tcW w:w="4274" w:type="dxa"/>
                  <w:vAlign w:val="top"/>
                </w:tcPr>
                <w:p w14:paraId="34C0F85C">
                  <w:pPr>
                    <w:keepNext/>
                    <w:keepLines/>
                    <w:pageBreakBefore w:val="0"/>
                    <w:kinsoku/>
                    <w:wordWrap/>
                    <w:overflowPunct/>
                    <w:topLinePunct w:val="0"/>
                    <w:autoSpaceDE/>
                    <w:autoSpaceDN/>
                    <w:bidi w:val="0"/>
                    <w:jc w:val="center"/>
                    <w:rPr>
                      <w:rFonts w:hint="default" w:ascii="Times New Roman" w:hAnsi="宋体" w:eastAsia="宋体" w:cs="Times New Roman"/>
                      <w:color w:val="000000" w:themeColor="text1"/>
                      <w:sz w:val="21"/>
                      <w:szCs w:val="21"/>
                      <w:lang w:val="en-US" w:eastAsia="zh-CN"/>
                      <w14:textFill>
                        <w14:solidFill>
                          <w14:schemeClr w14:val="tx1"/>
                        </w14:solidFill>
                      </w14:textFill>
                    </w:rPr>
                  </w:pPr>
                  <w:r>
                    <w:rPr>
                      <w:rFonts w:hint="default" w:ascii="Times New Roman" w:hAnsi="宋体" w:eastAsia="宋体" w:cs="Times New Roman"/>
                      <w:color w:val="000000" w:themeColor="text1"/>
                      <w:sz w:val="21"/>
                      <w:szCs w:val="21"/>
                      <w:lang w:val="en-US" w:eastAsia="zh-CN"/>
                      <w14:textFill>
                        <w14:solidFill>
                          <w14:schemeClr w14:val="tx1"/>
                        </w14:solidFill>
                      </w14:textFill>
                    </w:rPr>
                    <w:t>手术台</w:t>
                  </w:r>
                </w:p>
              </w:tc>
              <w:tc>
                <w:tcPr>
                  <w:tcW w:w="2662" w:type="dxa"/>
                  <w:vAlign w:val="top"/>
                </w:tcPr>
                <w:p w14:paraId="4476E18E">
                  <w:pPr>
                    <w:keepNext/>
                    <w:keepLines/>
                    <w:pageBreakBefore w:val="0"/>
                    <w:kinsoku/>
                    <w:wordWrap/>
                    <w:overflowPunct/>
                    <w:topLinePunct w:val="0"/>
                    <w:autoSpaceDE/>
                    <w:autoSpaceDN/>
                    <w:bidi w:val="0"/>
                    <w:jc w:val="center"/>
                    <w:rPr>
                      <w:rFonts w:hint="default" w:ascii="Times New Roman" w:hAnsi="宋体" w:eastAsia="宋体" w:cs="Times New Roman"/>
                      <w:sz w:val="21"/>
                      <w:szCs w:val="21"/>
                      <w:lang w:val="en-US" w:eastAsia="zh-CN"/>
                    </w:rPr>
                  </w:pPr>
                  <w:r>
                    <w:rPr>
                      <w:rFonts w:hint="default" w:ascii="Times New Roman" w:hAnsi="宋体" w:eastAsia="宋体" w:cs="Times New Roman"/>
                      <w:sz w:val="21"/>
                      <w:szCs w:val="21"/>
                      <w:lang w:val="en-US" w:eastAsia="zh-CN"/>
                    </w:rPr>
                    <w:t>1</w:t>
                  </w:r>
                </w:p>
              </w:tc>
            </w:tr>
            <w:tr w14:paraId="10CEE2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14:paraId="5B87AF63">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lang w:val="en-US" w:eastAsia="zh-CN"/>
                    </w:rPr>
                  </w:pPr>
                  <w:r>
                    <w:rPr>
                      <w:rStyle w:val="484"/>
                      <w:rFonts w:hint="eastAsia" w:ascii="Times New Roman" w:hAnsi="Times New Roman" w:eastAsia="宋体" w:cs="Times New Roman"/>
                      <w:color w:val="auto"/>
                      <w:sz w:val="21"/>
                      <w:szCs w:val="21"/>
                      <w:highlight w:val="none"/>
                      <w:lang w:val="en-US" w:eastAsia="zh-CN"/>
                    </w:rPr>
                    <w:t>14</w:t>
                  </w:r>
                </w:p>
              </w:tc>
              <w:tc>
                <w:tcPr>
                  <w:tcW w:w="4274" w:type="dxa"/>
                  <w:vAlign w:val="top"/>
                </w:tcPr>
                <w:p w14:paraId="553E6AB1">
                  <w:pPr>
                    <w:keepNext/>
                    <w:keepLines/>
                    <w:pageBreakBefore w:val="0"/>
                    <w:kinsoku/>
                    <w:wordWrap/>
                    <w:overflowPunct/>
                    <w:topLinePunct w:val="0"/>
                    <w:autoSpaceDE/>
                    <w:autoSpaceDN/>
                    <w:bidi w:val="0"/>
                    <w:jc w:val="center"/>
                    <w:rPr>
                      <w:rFonts w:hint="default" w:ascii="Times New Roman" w:hAnsi="宋体" w:eastAsia="宋体" w:cs="Times New Roman"/>
                      <w:color w:val="000000" w:themeColor="text1"/>
                      <w:sz w:val="21"/>
                      <w:szCs w:val="21"/>
                      <w:lang w:val="en-US" w:eastAsia="zh-CN"/>
                      <w14:textFill>
                        <w14:solidFill>
                          <w14:schemeClr w14:val="tx1"/>
                        </w14:solidFill>
                      </w14:textFill>
                    </w:rPr>
                  </w:pPr>
                  <w:r>
                    <w:rPr>
                      <w:rFonts w:hint="default" w:ascii="Times New Roman" w:hAnsi="宋体" w:eastAsia="宋体" w:cs="Times New Roman"/>
                      <w:color w:val="000000" w:themeColor="text1"/>
                      <w:sz w:val="21"/>
                      <w:szCs w:val="21"/>
                      <w:lang w:val="en-US" w:eastAsia="zh-CN"/>
                      <w14:textFill>
                        <w14:solidFill>
                          <w14:schemeClr w14:val="tx1"/>
                        </w14:solidFill>
                      </w14:textFill>
                    </w:rPr>
                    <w:t>紫外线消毒灯</w:t>
                  </w:r>
                </w:p>
              </w:tc>
              <w:tc>
                <w:tcPr>
                  <w:tcW w:w="2662" w:type="dxa"/>
                  <w:vAlign w:val="top"/>
                </w:tcPr>
                <w:p w14:paraId="088A7081">
                  <w:pPr>
                    <w:keepNext/>
                    <w:keepLines/>
                    <w:pageBreakBefore w:val="0"/>
                    <w:kinsoku/>
                    <w:wordWrap/>
                    <w:overflowPunct/>
                    <w:topLinePunct w:val="0"/>
                    <w:autoSpaceDE/>
                    <w:autoSpaceDN/>
                    <w:bidi w:val="0"/>
                    <w:jc w:val="center"/>
                    <w:rPr>
                      <w:rFonts w:hint="default" w:ascii="Times New Roman" w:hAnsi="宋体" w:eastAsia="宋体" w:cs="Times New Roman"/>
                      <w:sz w:val="21"/>
                      <w:szCs w:val="21"/>
                      <w:lang w:val="en-US" w:eastAsia="zh-CN"/>
                    </w:rPr>
                  </w:pPr>
                  <w:r>
                    <w:rPr>
                      <w:rFonts w:hint="default" w:ascii="Times New Roman" w:hAnsi="宋体" w:eastAsia="宋体" w:cs="Times New Roman"/>
                      <w:sz w:val="21"/>
                      <w:szCs w:val="21"/>
                      <w:lang w:val="en-US" w:eastAsia="zh-CN"/>
                    </w:rPr>
                    <w:t>2</w:t>
                  </w:r>
                </w:p>
              </w:tc>
            </w:tr>
            <w:tr w14:paraId="03FDE8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14:paraId="6FD91A99">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lang w:val="en-US" w:eastAsia="zh-CN"/>
                    </w:rPr>
                  </w:pPr>
                  <w:r>
                    <w:rPr>
                      <w:rStyle w:val="484"/>
                      <w:rFonts w:hint="eastAsia" w:ascii="Times New Roman" w:hAnsi="Times New Roman" w:eastAsia="宋体" w:cs="Times New Roman"/>
                      <w:color w:val="auto"/>
                      <w:sz w:val="21"/>
                      <w:szCs w:val="21"/>
                      <w:highlight w:val="none"/>
                      <w:lang w:val="en-US" w:eastAsia="zh-CN"/>
                    </w:rPr>
                    <w:t>15</w:t>
                  </w:r>
                </w:p>
              </w:tc>
              <w:tc>
                <w:tcPr>
                  <w:tcW w:w="4274" w:type="dxa"/>
                  <w:vAlign w:val="top"/>
                </w:tcPr>
                <w:p w14:paraId="2E35D623">
                  <w:pPr>
                    <w:jc w:val="center"/>
                    <w:rPr>
                      <w:rFonts w:hint="default" w:ascii="Times New Roman" w:hAnsi="宋体"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宋体" w:eastAsia="宋体" w:cs="Times New Roman"/>
                      <w:color w:val="000000" w:themeColor="text1"/>
                      <w:sz w:val="21"/>
                      <w:szCs w:val="21"/>
                      <w:lang w:val="en-US" w:eastAsia="zh-CN"/>
                      <w14:textFill>
                        <w14:solidFill>
                          <w14:schemeClr w14:val="tx1"/>
                        </w14:solidFill>
                      </w14:textFill>
                    </w:rPr>
                    <w:t>输液泵</w:t>
                  </w:r>
                </w:p>
              </w:tc>
              <w:tc>
                <w:tcPr>
                  <w:tcW w:w="2662" w:type="dxa"/>
                  <w:vAlign w:val="top"/>
                </w:tcPr>
                <w:p w14:paraId="2A7DEE31">
                  <w:pPr>
                    <w:jc w:val="center"/>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sz w:val="21"/>
                      <w:szCs w:val="21"/>
                      <w:lang w:val="en-US" w:eastAsia="zh-CN"/>
                    </w:rPr>
                    <w:t>4</w:t>
                  </w:r>
                </w:p>
              </w:tc>
            </w:tr>
            <w:tr w14:paraId="0943DA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14:paraId="3D73E462">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lang w:val="en-US" w:eastAsia="zh-CN"/>
                    </w:rPr>
                  </w:pPr>
                  <w:r>
                    <w:rPr>
                      <w:rStyle w:val="484"/>
                      <w:rFonts w:hint="eastAsia" w:ascii="Times New Roman" w:hAnsi="Times New Roman" w:eastAsia="宋体" w:cs="Times New Roman"/>
                      <w:color w:val="auto"/>
                      <w:sz w:val="21"/>
                      <w:szCs w:val="21"/>
                      <w:highlight w:val="none"/>
                      <w:lang w:val="en-US" w:eastAsia="zh-CN"/>
                    </w:rPr>
                    <w:t>16</w:t>
                  </w:r>
                </w:p>
              </w:tc>
              <w:tc>
                <w:tcPr>
                  <w:tcW w:w="4274" w:type="dxa"/>
                  <w:vAlign w:val="top"/>
                </w:tcPr>
                <w:p w14:paraId="769EBADD">
                  <w:pPr>
                    <w:jc w:val="center"/>
                    <w:rPr>
                      <w:rFonts w:hint="default" w:ascii="Times New Roman" w:hAnsi="宋体" w:eastAsia="宋体" w:cs="Times New Roman"/>
                      <w:color w:val="000000" w:themeColor="text1"/>
                      <w:sz w:val="21"/>
                      <w:szCs w:val="21"/>
                      <w:lang w:val="en-US" w:eastAsia="zh-CN"/>
                      <w14:textFill>
                        <w14:solidFill>
                          <w14:schemeClr w14:val="tx1"/>
                        </w14:solidFill>
                      </w14:textFill>
                    </w:rPr>
                  </w:pPr>
                  <w:r>
                    <w:rPr>
                      <w:rFonts w:hint="default" w:ascii="Times New Roman" w:hAnsi="宋体" w:eastAsia="宋体" w:cs="Times New Roman"/>
                      <w:color w:val="000000" w:themeColor="text1"/>
                      <w:sz w:val="21"/>
                      <w:szCs w:val="21"/>
                      <w:lang w:val="en-US" w:eastAsia="zh-CN"/>
                      <w14:textFill>
                        <w14:solidFill>
                          <w14:schemeClr w14:val="tx1"/>
                        </w14:solidFill>
                      </w14:textFill>
                    </w:rPr>
                    <w:t>美容室安装一台消毒设备（01）</w:t>
                  </w:r>
                </w:p>
              </w:tc>
              <w:tc>
                <w:tcPr>
                  <w:tcW w:w="2662" w:type="dxa"/>
                  <w:vAlign w:val="top"/>
                </w:tcPr>
                <w:p w14:paraId="7C7EB693">
                  <w:pPr>
                    <w:jc w:val="center"/>
                    <w:rPr>
                      <w:rFonts w:hint="default" w:ascii="Times New Roman" w:hAnsi="宋体" w:eastAsia="宋体" w:cs="Times New Roman"/>
                      <w:sz w:val="21"/>
                      <w:szCs w:val="21"/>
                      <w:lang w:val="en-US" w:eastAsia="zh-CN"/>
                    </w:rPr>
                  </w:pPr>
                  <w:r>
                    <w:rPr>
                      <w:rFonts w:hint="eastAsia" w:hAnsi="宋体" w:cs="Times New Roman"/>
                      <w:sz w:val="21"/>
                      <w:szCs w:val="21"/>
                      <w:lang w:val="en-US" w:eastAsia="zh-CN"/>
                    </w:rPr>
                    <w:t>1</w:t>
                  </w:r>
                </w:p>
              </w:tc>
            </w:tr>
            <w:tr w14:paraId="4B479B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14:paraId="6ED583DA">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lang w:val="en-US" w:eastAsia="zh-CN"/>
                    </w:rPr>
                  </w:pPr>
                  <w:r>
                    <w:rPr>
                      <w:rStyle w:val="484"/>
                      <w:rFonts w:hint="eastAsia" w:ascii="Times New Roman" w:hAnsi="Times New Roman" w:eastAsia="宋体" w:cs="Times New Roman"/>
                      <w:color w:val="auto"/>
                      <w:sz w:val="21"/>
                      <w:szCs w:val="21"/>
                      <w:highlight w:val="none"/>
                      <w:lang w:val="en-US" w:eastAsia="zh-CN"/>
                    </w:rPr>
                    <w:t>17</w:t>
                  </w:r>
                </w:p>
              </w:tc>
              <w:tc>
                <w:tcPr>
                  <w:tcW w:w="4274" w:type="dxa"/>
                  <w:vAlign w:val="top"/>
                </w:tcPr>
                <w:p w14:paraId="68D2B11F">
                  <w:pPr>
                    <w:jc w:val="center"/>
                    <w:rPr>
                      <w:rFonts w:hint="default" w:ascii="Times New Roman" w:hAnsi="宋体" w:eastAsia="宋体" w:cs="Times New Roman"/>
                      <w:sz w:val="21"/>
                      <w:szCs w:val="21"/>
                      <w:lang w:val="en-US" w:eastAsia="zh-CN"/>
                    </w:rPr>
                  </w:pPr>
                  <w:r>
                    <w:rPr>
                      <w:rFonts w:hint="default" w:ascii="Times New Roman" w:hAnsi="宋体" w:eastAsia="宋体" w:cs="Times New Roman"/>
                      <w:sz w:val="21"/>
                      <w:szCs w:val="21"/>
                      <w:lang w:val="en-US" w:eastAsia="zh-CN"/>
                    </w:rPr>
                    <w:t>手术室安装一台消毒设备（02）</w:t>
                  </w:r>
                </w:p>
              </w:tc>
              <w:tc>
                <w:tcPr>
                  <w:tcW w:w="2662" w:type="dxa"/>
                  <w:vAlign w:val="top"/>
                </w:tcPr>
                <w:p w14:paraId="3026345A">
                  <w:pPr>
                    <w:jc w:val="center"/>
                    <w:rPr>
                      <w:rFonts w:hint="default" w:ascii="Times New Roman" w:hAnsi="宋体" w:eastAsia="宋体" w:cs="Times New Roman"/>
                      <w:sz w:val="21"/>
                      <w:szCs w:val="21"/>
                      <w:lang w:val="en-US" w:eastAsia="zh-CN"/>
                    </w:rPr>
                  </w:pPr>
                  <w:r>
                    <w:rPr>
                      <w:rFonts w:hint="eastAsia" w:hAnsi="宋体" w:cs="Times New Roman"/>
                      <w:sz w:val="21"/>
                      <w:szCs w:val="21"/>
                      <w:lang w:val="en-US" w:eastAsia="zh-CN"/>
                    </w:rPr>
                    <w:t>1</w:t>
                  </w:r>
                </w:p>
              </w:tc>
            </w:tr>
            <w:tr w14:paraId="3E1AD9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14:paraId="098BEC67">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lang w:val="en-US" w:eastAsia="zh-CN"/>
                    </w:rPr>
                  </w:pPr>
                  <w:r>
                    <w:rPr>
                      <w:rStyle w:val="484"/>
                      <w:rFonts w:hint="eastAsia" w:ascii="Times New Roman" w:hAnsi="Times New Roman" w:eastAsia="宋体" w:cs="Times New Roman"/>
                      <w:color w:val="auto"/>
                      <w:sz w:val="21"/>
                      <w:szCs w:val="21"/>
                      <w:highlight w:val="none"/>
                      <w:lang w:val="en-US" w:eastAsia="zh-CN"/>
                    </w:rPr>
                    <w:t>18</w:t>
                  </w:r>
                </w:p>
              </w:tc>
              <w:tc>
                <w:tcPr>
                  <w:tcW w:w="4274" w:type="dxa"/>
                  <w:vAlign w:val="top"/>
                </w:tcPr>
                <w:p w14:paraId="69B92C1F">
                  <w:pPr>
                    <w:jc w:val="center"/>
                    <w:rPr>
                      <w:rFonts w:hint="default" w:ascii="Times New Roman" w:hAnsi="宋体" w:eastAsia="宋体" w:cs="Times New Roman"/>
                      <w:sz w:val="21"/>
                      <w:szCs w:val="21"/>
                      <w:lang w:val="en-US" w:eastAsia="zh-CN"/>
                    </w:rPr>
                  </w:pPr>
                  <w:r>
                    <w:rPr>
                      <w:rFonts w:hint="default" w:ascii="Times New Roman" w:hAnsi="宋体" w:eastAsia="宋体" w:cs="Times New Roman"/>
                      <w:sz w:val="21"/>
                      <w:szCs w:val="21"/>
                      <w:lang w:val="en-US" w:eastAsia="zh-CN"/>
                    </w:rPr>
                    <w:t>化验室安装一台消毒设备（03）</w:t>
                  </w:r>
                </w:p>
              </w:tc>
              <w:tc>
                <w:tcPr>
                  <w:tcW w:w="2662" w:type="dxa"/>
                  <w:vAlign w:val="top"/>
                </w:tcPr>
                <w:p w14:paraId="6F2E7803">
                  <w:pPr>
                    <w:jc w:val="center"/>
                    <w:rPr>
                      <w:rFonts w:hint="default" w:ascii="Times New Roman" w:hAnsi="宋体" w:eastAsia="宋体" w:cs="Times New Roman"/>
                      <w:sz w:val="21"/>
                      <w:szCs w:val="21"/>
                      <w:lang w:val="en-US" w:eastAsia="zh-CN"/>
                    </w:rPr>
                  </w:pPr>
                  <w:r>
                    <w:rPr>
                      <w:rFonts w:hint="eastAsia" w:hAnsi="宋体" w:cs="Times New Roman"/>
                      <w:sz w:val="21"/>
                      <w:szCs w:val="21"/>
                      <w:lang w:val="en-US" w:eastAsia="zh-CN"/>
                    </w:rPr>
                    <w:t>1</w:t>
                  </w:r>
                </w:p>
              </w:tc>
            </w:tr>
            <w:tr w14:paraId="6783FA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jc w:val="center"/>
              </w:trPr>
              <w:tc>
                <w:tcPr>
                  <w:tcW w:w="1467" w:type="dxa"/>
                  <w:vAlign w:val="center"/>
                </w:tcPr>
                <w:p w14:paraId="3EF04585">
                  <w:pPr>
                    <w:keepNext/>
                    <w:keepLines/>
                    <w:pageBreakBefore w:val="0"/>
                    <w:widowControl/>
                    <w:kinsoku/>
                    <w:wordWrap/>
                    <w:overflowPunct/>
                    <w:topLinePunct w:val="0"/>
                    <w:autoSpaceDE/>
                    <w:autoSpaceDN/>
                    <w:bidi w:val="0"/>
                    <w:adjustRightInd w:val="0"/>
                    <w:snapToGrid w:val="0"/>
                    <w:jc w:val="center"/>
                    <w:textAlignment w:val="center"/>
                    <w:rPr>
                      <w:rStyle w:val="484"/>
                      <w:rFonts w:hint="default" w:ascii="Times New Roman" w:hAnsi="Times New Roman" w:eastAsia="宋体" w:cs="Times New Roman"/>
                      <w:color w:val="auto"/>
                      <w:sz w:val="21"/>
                      <w:szCs w:val="21"/>
                      <w:highlight w:val="none"/>
                      <w:lang w:val="en-US" w:eastAsia="zh-CN"/>
                    </w:rPr>
                  </w:pPr>
                  <w:r>
                    <w:rPr>
                      <w:rStyle w:val="484"/>
                      <w:rFonts w:hint="eastAsia" w:ascii="Times New Roman" w:hAnsi="Times New Roman" w:eastAsia="宋体" w:cs="Times New Roman"/>
                      <w:color w:val="auto"/>
                      <w:sz w:val="21"/>
                      <w:szCs w:val="21"/>
                      <w:highlight w:val="none"/>
                      <w:lang w:val="en-US" w:eastAsia="zh-CN"/>
                    </w:rPr>
                    <w:t>19</w:t>
                  </w:r>
                </w:p>
              </w:tc>
              <w:tc>
                <w:tcPr>
                  <w:tcW w:w="4274" w:type="dxa"/>
                  <w:vAlign w:val="top"/>
                </w:tcPr>
                <w:p w14:paraId="4E54456D">
                  <w:pPr>
                    <w:jc w:val="center"/>
                    <w:rPr>
                      <w:rFonts w:hint="default" w:ascii="Times New Roman" w:hAnsi="宋体" w:eastAsia="宋体" w:cs="Times New Roman"/>
                      <w:sz w:val="21"/>
                      <w:szCs w:val="21"/>
                      <w:lang w:val="en-US" w:eastAsia="zh-CN"/>
                    </w:rPr>
                  </w:pPr>
                  <w:r>
                    <w:rPr>
                      <w:rFonts w:hint="eastAsia" w:hAnsi="宋体" w:cs="Times New Roman"/>
                      <w:sz w:val="21"/>
                      <w:szCs w:val="21"/>
                      <w:lang w:val="en-US" w:eastAsia="zh-CN"/>
                    </w:rPr>
                    <w:t>化粪池</w:t>
                  </w:r>
                </w:p>
              </w:tc>
              <w:tc>
                <w:tcPr>
                  <w:tcW w:w="2662" w:type="dxa"/>
                  <w:vAlign w:val="top"/>
                </w:tcPr>
                <w:p w14:paraId="67F6ACF6">
                  <w:pPr>
                    <w:jc w:val="center"/>
                    <w:rPr>
                      <w:rFonts w:hint="default" w:hAnsi="宋体" w:cs="Times New Roman"/>
                      <w:sz w:val="21"/>
                      <w:szCs w:val="21"/>
                      <w:lang w:val="en-US" w:eastAsia="zh-CN"/>
                    </w:rPr>
                  </w:pPr>
                  <w:r>
                    <w:rPr>
                      <w:rFonts w:hint="eastAsia" w:hAnsi="宋体" w:cs="Times New Roman"/>
                      <w:sz w:val="21"/>
                      <w:szCs w:val="21"/>
                      <w:lang w:val="en-US" w:eastAsia="zh-CN"/>
                    </w:rPr>
                    <w:t>1</w:t>
                  </w:r>
                </w:p>
              </w:tc>
            </w:tr>
          </w:tbl>
          <w:p w14:paraId="372E5C30">
            <w:pPr>
              <w:pStyle w:val="3"/>
              <w:keepNext/>
              <w:keepLines/>
              <w:pageBreakBefore w:val="0"/>
              <w:kinsoku/>
              <w:wordWrap/>
              <w:overflowPunct/>
              <w:topLinePunct w:val="0"/>
              <w:autoSpaceDE/>
              <w:autoSpaceDN/>
              <w:bidi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bookmarkEnd w:id="49"/>
            <w:bookmarkEnd w:id="50"/>
            <w:bookmarkEnd w:id="51"/>
            <w:bookmarkEnd w:id="52"/>
            <w:r>
              <w:rPr>
                <w:rFonts w:hint="default" w:ascii="Times New Roman" w:hAnsi="Times New Roman" w:cs="Times New Roman"/>
                <w:color w:val="auto"/>
                <w:highlight w:val="none"/>
              </w:rPr>
              <w:t>所用药剂情况</w:t>
            </w:r>
            <w:bookmarkEnd w:id="53"/>
            <w:bookmarkEnd w:id="54"/>
          </w:p>
          <w:p w14:paraId="71BF8541">
            <w:pPr>
              <w:pStyle w:val="157"/>
              <w:keepNext/>
              <w:keepLines/>
              <w:pageBreakBefore w:val="0"/>
              <w:kinsoku/>
              <w:wordWrap/>
              <w:overflowPunct/>
              <w:topLinePunct w:val="0"/>
              <w:autoSpaceDE/>
              <w:autoSpaceDN/>
              <w:bidi w:val="0"/>
              <w:ind w:firstLine="480"/>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szCs w:val="24"/>
                <w:highlight w:val="none"/>
                <w:lang w:val="en-US" w:eastAsia="zh-CN"/>
              </w:rPr>
              <w:t>本</w:t>
            </w:r>
            <w:r>
              <w:rPr>
                <w:rFonts w:hint="default" w:ascii="Times New Roman" w:hAnsi="Times New Roman" w:eastAsia="宋体" w:cs="Times New Roman"/>
                <w:color w:val="auto"/>
                <w:szCs w:val="24"/>
                <w:highlight w:val="none"/>
              </w:rPr>
              <w:t>项目所用药剂</w:t>
            </w:r>
            <w:r>
              <w:rPr>
                <w:rFonts w:hint="default" w:ascii="Times New Roman" w:hAnsi="Times New Roman" w:eastAsia="宋体" w:cs="Times New Roman"/>
                <w:color w:val="auto"/>
                <w:highlight w:val="none"/>
              </w:rPr>
              <w:t>见表2-</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p>
          <w:p w14:paraId="40C9DCB1">
            <w:pPr>
              <w:pStyle w:val="198"/>
              <w:keepNext/>
              <w:keepLines/>
              <w:pageBreakBefore w:val="0"/>
              <w:kinsoku/>
              <w:wordWrap/>
              <w:overflowPunct/>
              <w:topLinePunct w:val="0"/>
              <w:autoSpaceDE/>
              <w:autoSpaceDN/>
              <w:bidi w:val="0"/>
              <w:spacing w:line="240"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表2-</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 xml:space="preserve">  项目所用药剂一览表</w:t>
            </w:r>
          </w:p>
          <w:tbl>
            <w:tblPr>
              <w:tblStyle w:val="50"/>
              <w:tblW w:w="82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25"/>
              <w:gridCol w:w="1802"/>
              <w:gridCol w:w="1575"/>
              <w:gridCol w:w="2257"/>
            </w:tblGrid>
            <w:tr w14:paraId="77CEB0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14:paraId="5837E7BD">
                  <w:pPr>
                    <w:pStyle w:val="189"/>
                    <w:keepNext/>
                    <w:keepLines/>
                    <w:pageBreakBefore w:val="0"/>
                    <w:kinsoku/>
                    <w:wordWrap/>
                    <w:overflowPunct/>
                    <w:topLinePunct w:val="0"/>
                    <w:autoSpaceDE/>
                    <w:autoSpaceDN/>
                    <w:bidi w:val="0"/>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药剂名称</w:t>
                  </w:r>
                </w:p>
              </w:tc>
              <w:tc>
                <w:tcPr>
                  <w:tcW w:w="1802" w:type="dxa"/>
                  <w:vAlign w:val="center"/>
                </w:tcPr>
                <w:p w14:paraId="244A71F0">
                  <w:pPr>
                    <w:pStyle w:val="189"/>
                    <w:keepNext/>
                    <w:keepLines/>
                    <w:pageBreakBefore w:val="0"/>
                    <w:kinsoku/>
                    <w:wordWrap/>
                    <w:overflowPunct/>
                    <w:topLinePunct w:val="0"/>
                    <w:autoSpaceDE/>
                    <w:autoSpaceDN/>
                    <w:bidi w:val="0"/>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规格</w:t>
                  </w:r>
                </w:p>
              </w:tc>
              <w:tc>
                <w:tcPr>
                  <w:tcW w:w="1575" w:type="dxa"/>
                  <w:vAlign w:val="center"/>
                </w:tcPr>
                <w:p w14:paraId="26DC66F8">
                  <w:pPr>
                    <w:pStyle w:val="189"/>
                    <w:keepNext/>
                    <w:keepLines/>
                    <w:pageBreakBefore w:val="0"/>
                    <w:kinsoku/>
                    <w:wordWrap/>
                    <w:overflowPunct/>
                    <w:topLinePunct w:val="0"/>
                    <w:autoSpaceDE/>
                    <w:autoSpaceDN/>
                    <w:bidi w:val="0"/>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年消耗量</w:t>
                  </w:r>
                </w:p>
              </w:tc>
              <w:tc>
                <w:tcPr>
                  <w:tcW w:w="2257" w:type="dxa"/>
                  <w:vAlign w:val="center"/>
                </w:tcPr>
                <w:p w14:paraId="37A266F7">
                  <w:pPr>
                    <w:pStyle w:val="189"/>
                    <w:keepNext/>
                    <w:keepLines/>
                    <w:pageBreakBefore w:val="0"/>
                    <w:kinsoku/>
                    <w:wordWrap/>
                    <w:overflowPunct/>
                    <w:topLinePunct w:val="0"/>
                    <w:autoSpaceDE/>
                    <w:autoSpaceDN/>
                    <w:bidi w:val="0"/>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最大储存量</w:t>
                  </w:r>
                </w:p>
              </w:tc>
            </w:tr>
            <w:tr w14:paraId="62EAF8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14:paraId="3DA22B0F">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柴胡注射液</w:t>
                  </w:r>
                </w:p>
              </w:tc>
              <w:tc>
                <w:tcPr>
                  <w:tcW w:w="1802" w:type="dxa"/>
                  <w:vAlign w:val="center"/>
                </w:tcPr>
                <w:p w14:paraId="3C8271F7">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2ml/2g/支</w:t>
                  </w:r>
                </w:p>
              </w:tc>
              <w:tc>
                <w:tcPr>
                  <w:tcW w:w="1575" w:type="dxa"/>
                  <w:vAlign w:val="center"/>
                </w:tcPr>
                <w:p w14:paraId="2335BBC9">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50</w:t>
                  </w:r>
                  <w:r>
                    <w:rPr>
                      <w:rFonts w:hint="default" w:ascii="Times New Roman" w:hAnsi="宋体" w:eastAsia="宋体" w:cs="Times New Roman"/>
                      <w:sz w:val="21"/>
                      <w:szCs w:val="21"/>
                      <w:lang w:val="en-US" w:eastAsia="zh-CN" w:bidi="ar"/>
                    </w:rPr>
                    <w:t>支</w:t>
                  </w:r>
                </w:p>
              </w:tc>
              <w:tc>
                <w:tcPr>
                  <w:tcW w:w="2257" w:type="dxa"/>
                  <w:vAlign w:val="center"/>
                </w:tcPr>
                <w:p w14:paraId="7AB3F63C">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20</w:t>
                  </w:r>
                  <w:r>
                    <w:rPr>
                      <w:rFonts w:hint="default" w:ascii="Times New Roman" w:hAnsi="宋体" w:eastAsia="宋体" w:cs="Times New Roman"/>
                      <w:sz w:val="21"/>
                      <w:szCs w:val="21"/>
                      <w:lang w:val="en-US" w:eastAsia="zh-CN" w:bidi="ar"/>
                    </w:rPr>
                    <w:t>支</w:t>
                  </w:r>
                </w:p>
              </w:tc>
            </w:tr>
            <w:tr w14:paraId="2287BD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14:paraId="6F25093B">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舒泰50</w:t>
                  </w:r>
                </w:p>
              </w:tc>
              <w:tc>
                <w:tcPr>
                  <w:tcW w:w="1802" w:type="dxa"/>
                  <w:vAlign w:val="center"/>
                </w:tcPr>
                <w:p w14:paraId="1D3A8615">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5ml/瓶</w:t>
                  </w:r>
                </w:p>
              </w:tc>
              <w:tc>
                <w:tcPr>
                  <w:tcW w:w="1575" w:type="dxa"/>
                  <w:vAlign w:val="center"/>
                </w:tcPr>
                <w:p w14:paraId="0BB73BA1">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5</w:t>
                  </w:r>
                  <w:r>
                    <w:rPr>
                      <w:rFonts w:hint="default" w:ascii="Times New Roman" w:hAnsi="宋体" w:eastAsia="宋体" w:cs="Times New Roman"/>
                      <w:sz w:val="21"/>
                      <w:szCs w:val="21"/>
                      <w:lang w:val="en-US" w:eastAsia="zh-CN" w:bidi="ar"/>
                    </w:rPr>
                    <w:t>瓶</w:t>
                  </w:r>
                </w:p>
              </w:tc>
              <w:tc>
                <w:tcPr>
                  <w:tcW w:w="2257" w:type="dxa"/>
                  <w:vAlign w:val="center"/>
                </w:tcPr>
                <w:p w14:paraId="7E7F6040">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2</w:t>
                  </w:r>
                  <w:r>
                    <w:rPr>
                      <w:rFonts w:hint="default" w:ascii="Times New Roman" w:hAnsi="宋体" w:eastAsia="宋体" w:cs="Times New Roman"/>
                      <w:sz w:val="21"/>
                      <w:szCs w:val="21"/>
                      <w:lang w:val="en-US" w:eastAsia="zh-CN" w:bidi="ar"/>
                    </w:rPr>
                    <w:t>瓶</w:t>
                  </w:r>
                </w:p>
              </w:tc>
            </w:tr>
            <w:tr w14:paraId="3FE8FC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14:paraId="0D906060">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阿莫西林克拉维酸钾片</w:t>
                  </w:r>
                </w:p>
              </w:tc>
              <w:tc>
                <w:tcPr>
                  <w:tcW w:w="1802" w:type="dxa"/>
                  <w:vAlign w:val="center"/>
                </w:tcPr>
                <w:p w14:paraId="6F706EFF">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500mg/片</w:t>
                  </w:r>
                </w:p>
              </w:tc>
              <w:tc>
                <w:tcPr>
                  <w:tcW w:w="1575" w:type="dxa"/>
                  <w:vAlign w:val="center"/>
                </w:tcPr>
                <w:p w14:paraId="798FE3D7">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200</w:t>
                  </w:r>
                  <w:r>
                    <w:rPr>
                      <w:rFonts w:hint="default" w:ascii="Times New Roman" w:hAnsi="宋体" w:eastAsia="宋体" w:cs="Times New Roman"/>
                      <w:sz w:val="21"/>
                      <w:szCs w:val="21"/>
                      <w:lang w:val="en-US" w:eastAsia="zh-CN" w:bidi="ar"/>
                    </w:rPr>
                    <w:t>片</w:t>
                  </w:r>
                </w:p>
              </w:tc>
              <w:tc>
                <w:tcPr>
                  <w:tcW w:w="2257" w:type="dxa"/>
                  <w:vAlign w:val="center"/>
                </w:tcPr>
                <w:p w14:paraId="793BED91">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60</w:t>
                  </w:r>
                  <w:r>
                    <w:rPr>
                      <w:rFonts w:hint="default" w:ascii="Times New Roman" w:hAnsi="宋体" w:eastAsia="宋体" w:cs="Times New Roman"/>
                      <w:sz w:val="21"/>
                      <w:szCs w:val="21"/>
                      <w:lang w:val="en-US" w:eastAsia="zh-CN" w:bidi="ar"/>
                    </w:rPr>
                    <w:t>片</w:t>
                  </w:r>
                </w:p>
              </w:tc>
            </w:tr>
            <w:tr w14:paraId="3A0C2E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2625" w:type="dxa"/>
                  <w:vAlign w:val="center"/>
                </w:tcPr>
                <w:p w14:paraId="191AD36E">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阿莫西林克拉维酸钾片</w:t>
                  </w:r>
                </w:p>
              </w:tc>
              <w:tc>
                <w:tcPr>
                  <w:tcW w:w="1802" w:type="dxa"/>
                  <w:vAlign w:val="center"/>
                </w:tcPr>
                <w:p w14:paraId="76E0839A">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250mg/片</w:t>
                  </w:r>
                </w:p>
              </w:tc>
              <w:tc>
                <w:tcPr>
                  <w:tcW w:w="1575" w:type="dxa"/>
                  <w:vAlign w:val="center"/>
                </w:tcPr>
                <w:p w14:paraId="58D371E4">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400</w:t>
                  </w:r>
                  <w:r>
                    <w:rPr>
                      <w:rFonts w:hint="default" w:ascii="Times New Roman" w:hAnsi="宋体" w:eastAsia="宋体" w:cs="Times New Roman"/>
                      <w:sz w:val="21"/>
                      <w:szCs w:val="21"/>
                      <w:lang w:val="en-US" w:eastAsia="zh-CN" w:bidi="ar"/>
                    </w:rPr>
                    <w:t>片</w:t>
                  </w:r>
                </w:p>
              </w:tc>
              <w:tc>
                <w:tcPr>
                  <w:tcW w:w="2257" w:type="dxa"/>
                  <w:vAlign w:val="center"/>
                </w:tcPr>
                <w:p w14:paraId="06D797AA">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60</w:t>
                  </w:r>
                  <w:r>
                    <w:rPr>
                      <w:rFonts w:hint="default" w:ascii="Times New Roman" w:hAnsi="宋体" w:eastAsia="宋体" w:cs="Times New Roman"/>
                      <w:sz w:val="21"/>
                      <w:szCs w:val="21"/>
                      <w:lang w:val="en-US" w:eastAsia="zh-CN" w:bidi="ar"/>
                    </w:rPr>
                    <w:t>片</w:t>
                  </w:r>
                </w:p>
              </w:tc>
            </w:tr>
            <w:tr w14:paraId="071359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14:paraId="7392587E">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阿莫西林克拉维酸钾片</w:t>
                  </w:r>
                </w:p>
              </w:tc>
              <w:tc>
                <w:tcPr>
                  <w:tcW w:w="1802" w:type="dxa"/>
                  <w:vAlign w:val="center"/>
                </w:tcPr>
                <w:p w14:paraId="5494C3C3">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50mg/片</w:t>
                  </w:r>
                </w:p>
              </w:tc>
              <w:tc>
                <w:tcPr>
                  <w:tcW w:w="1575" w:type="dxa"/>
                  <w:vAlign w:val="center"/>
                </w:tcPr>
                <w:p w14:paraId="0D2DA85F">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500</w:t>
                  </w:r>
                  <w:r>
                    <w:rPr>
                      <w:rFonts w:hint="default" w:ascii="Times New Roman" w:hAnsi="宋体" w:eastAsia="宋体" w:cs="Times New Roman"/>
                      <w:sz w:val="21"/>
                      <w:szCs w:val="21"/>
                      <w:lang w:val="en-US" w:eastAsia="zh-CN" w:bidi="ar"/>
                    </w:rPr>
                    <w:t>片</w:t>
                  </w:r>
                </w:p>
              </w:tc>
              <w:tc>
                <w:tcPr>
                  <w:tcW w:w="2257" w:type="dxa"/>
                  <w:vAlign w:val="center"/>
                </w:tcPr>
                <w:p w14:paraId="24F3CDE6">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200</w:t>
                  </w:r>
                  <w:r>
                    <w:rPr>
                      <w:rFonts w:hint="default" w:ascii="Times New Roman" w:hAnsi="宋体" w:eastAsia="宋体" w:cs="Times New Roman"/>
                      <w:sz w:val="21"/>
                      <w:szCs w:val="21"/>
                      <w:lang w:val="en-US" w:eastAsia="zh-CN" w:bidi="ar"/>
                    </w:rPr>
                    <w:t>片</w:t>
                  </w:r>
                </w:p>
              </w:tc>
            </w:tr>
            <w:tr w14:paraId="35805B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14:paraId="47708A75">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丙泊酚</w:t>
                  </w:r>
                </w:p>
              </w:tc>
              <w:tc>
                <w:tcPr>
                  <w:tcW w:w="1802" w:type="dxa"/>
                  <w:vAlign w:val="center"/>
                </w:tcPr>
                <w:p w14:paraId="2459A779">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10ml/100mg/支</w:t>
                  </w:r>
                </w:p>
              </w:tc>
              <w:tc>
                <w:tcPr>
                  <w:tcW w:w="1575" w:type="dxa"/>
                  <w:vAlign w:val="center"/>
                </w:tcPr>
                <w:p w14:paraId="2C2A5DFD">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50</w:t>
                  </w:r>
                  <w:r>
                    <w:rPr>
                      <w:rFonts w:hint="default" w:ascii="Times New Roman" w:hAnsi="宋体" w:eastAsia="宋体" w:cs="Times New Roman"/>
                      <w:sz w:val="21"/>
                      <w:szCs w:val="21"/>
                      <w:lang w:val="en-US" w:eastAsia="zh-CN" w:bidi="ar"/>
                    </w:rPr>
                    <w:t>支</w:t>
                  </w:r>
                </w:p>
              </w:tc>
              <w:tc>
                <w:tcPr>
                  <w:tcW w:w="2257" w:type="dxa"/>
                  <w:vAlign w:val="center"/>
                </w:tcPr>
                <w:p w14:paraId="5D702F16">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50</w:t>
                  </w:r>
                  <w:r>
                    <w:rPr>
                      <w:rFonts w:hint="default" w:ascii="Times New Roman" w:hAnsi="宋体" w:eastAsia="宋体" w:cs="Times New Roman"/>
                      <w:sz w:val="21"/>
                      <w:szCs w:val="21"/>
                      <w:lang w:val="en-US" w:eastAsia="zh-CN" w:bidi="ar"/>
                    </w:rPr>
                    <w:t>支</w:t>
                  </w:r>
                </w:p>
              </w:tc>
            </w:tr>
            <w:tr w14:paraId="4192D7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14:paraId="398055CA">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次氯酸钠缓释片</w:t>
                  </w:r>
                </w:p>
              </w:tc>
              <w:tc>
                <w:tcPr>
                  <w:tcW w:w="1802" w:type="dxa"/>
                  <w:vAlign w:val="center"/>
                </w:tcPr>
                <w:p w14:paraId="32F39138">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200g/片</w:t>
                  </w:r>
                </w:p>
              </w:tc>
              <w:tc>
                <w:tcPr>
                  <w:tcW w:w="1575" w:type="dxa"/>
                  <w:vAlign w:val="center"/>
                </w:tcPr>
                <w:p w14:paraId="6600C1E6">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120</w:t>
                  </w:r>
                  <w:r>
                    <w:rPr>
                      <w:rFonts w:hint="default" w:ascii="Times New Roman" w:hAnsi="宋体" w:eastAsia="宋体" w:cs="Times New Roman"/>
                      <w:sz w:val="21"/>
                      <w:szCs w:val="21"/>
                      <w:lang w:val="en-US" w:eastAsia="zh-CN" w:bidi="ar"/>
                    </w:rPr>
                    <w:t>片</w:t>
                  </w:r>
                </w:p>
              </w:tc>
              <w:tc>
                <w:tcPr>
                  <w:tcW w:w="2257" w:type="dxa"/>
                  <w:vAlign w:val="center"/>
                </w:tcPr>
                <w:p w14:paraId="4D6DE247">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20</w:t>
                  </w:r>
                  <w:r>
                    <w:rPr>
                      <w:rFonts w:hint="default" w:ascii="Times New Roman" w:hAnsi="宋体" w:eastAsia="宋体" w:cs="Times New Roman"/>
                      <w:sz w:val="21"/>
                      <w:szCs w:val="21"/>
                      <w:lang w:val="en-US" w:eastAsia="zh-CN" w:bidi="ar"/>
                    </w:rPr>
                    <w:t>片</w:t>
                  </w:r>
                </w:p>
              </w:tc>
            </w:tr>
            <w:tr w14:paraId="71DB35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625" w:type="dxa"/>
                  <w:vAlign w:val="center"/>
                </w:tcPr>
                <w:p w14:paraId="728CD869">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地塞米松磷酸钠注射液</w:t>
                  </w:r>
                </w:p>
              </w:tc>
              <w:tc>
                <w:tcPr>
                  <w:tcW w:w="1802" w:type="dxa"/>
                  <w:vAlign w:val="center"/>
                </w:tcPr>
                <w:p w14:paraId="3BDF4CCB">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1ml/1mg/支</w:t>
                  </w:r>
                </w:p>
              </w:tc>
              <w:tc>
                <w:tcPr>
                  <w:tcW w:w="1575" w:type="dxa"/>
                  <w:vAlign w:val="center"/>
                </w:tcPr>
                <w:p w14:paraId="0AD5FA9A">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50</w:t>
                  </w:r>
                  <w:r>
                    <w:rPr>
                      <w:rFonts w:hint="default" w:ascii="Times New Roman" w:hAnsi="宋体" w:eastAsia="宋体" w:cs="Times New Roman"/>
                      <w:sz w:val="21"/>
                      <w:szCs w:val="21"/>
                      <w:lang w:val="en-US" w:eastAsia="zh-CN" w:bidi="ar"/>
                    </w:rPr>
                    <w:t>支</w:t>
                  </w:r>
                </w:p>
              </w:tc>
              <w:tc>
                <w:tcPr>
                  <w:tcW w:w="2257" w:type="dxa"/>
                  <w:vAlign w:val="center"/>
                </w:tcPr>
                <w:p w14:paraId="27ABCDF2">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20</w:t>
                  </w:r>
                  <w:r>
                    <w:rPr>
                      <w:rFonts w:hint="default" w:ascii="Times New Roman" w:hAnsi="宋体" w:eastAsia="宋体" w:cs="Times New Roman"/>
                      <w:sz w:val="21"/>
                      <w:szCs w:val="21"/>
                      <w:lang w:val="en-US" w:eastAsia="zh-CN" w:bidi="ar"/>
                    </w:rPr>
                    <w:t>支</w:t>
                  </w:r>
                </w:p>
              </w:tc>
            </w:tr>
            <w:tr w14:paraId="6C1677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14:paraId="107B1C1D">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咹啶醒</w:t>
                  </w:r>
                </w:p>
              </w:tc>
              <w:tc>
                <w:tcPr>
                  <w:tcW w:w="1802" w:type="dxa"/>
                  <w:vAlign w:val="center"/>
                </w:tcPr>
                <w:p w14:paraId="5A124374">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10ml/瓶</w:t>
                  </w:r>
                </w:p>
              </w:tc>
              <w:tc>
                <w:tcPr>
                  <w:tcW w:w="1575" w:type="dxa"/>
                  <w:vAlign w:val="center"/>
                </w:tcPr>
                <w:p w14:paraId="6496C735">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2</w:t>
                  </w:r>
                  <w:r>
                    <w:rPr>
                      <w:rFonts w:hint="default" w:ascii="Times New Roman" w:hAnsi="宋体" w:eastAsia="宋体" w:cs="Times New Roman"/>
                      <w:sz w:val="21"/>
                      <w:szCs w:val="21"/>
                      <w:lang w:val="en-US" w:eastAsia="zh-CN" w:bidi="ar"/>
                    </w:rPr>
                    <w:t>瓶</w:t>
                  </w:r>
                </w:p>
              </w:tc>
              <w:tc>
                <w:tcPr>
                  <w:tcW w:w="2257" w:type="dxa"/>
                  <w:vAlign w:val="center"/>
                </w:tcPr>
                <w:p w14:paraId="76D6AD86">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1</w:t>
                  </w:r>
                  <w:r>
                    <w:rPr>
                      <w:rFonts w:hint="default" w:ascii="Times New Roman" w:hAnsi="宋体" w:eastAsia="宋体" w:cs="Times New Roman"/>
                      <w:sz w:val="21"/>
                      <w:szCs w:val="21"/>
                      <w:lang w:val="en-US" w:eastAsia="zh-CN" w:bidi="ar"/>
                    </w:rPr>
                    <w:t>瓶</w:t>
                  </w:r>
                </w:p>
              </w:tc>
            </w:tr>
            <w:tr w14:paraId="06012E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14:paraId="7EBCCE60">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呋塞米</w:t>
                  </w:r>
                </w:p>
              </w:tc>
              <w:tc>
                <w:tcPr>
                  <w:tcW w:w="1802" w:type="dxa"/>
                  <w:vAlign w:val="center"/>
                </w:tcPr>
                <w:p w14:paraId="73ED2936">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2ml/20mg/支</w:t>
                  </w:r>
                </w:p>
              </w:tc>
              <w:tc>
                <w:tcPr>
                  <w:tcW w:w="1575" w:type="dxa"/>
                  <w:vAlign w:val="center"/>
                </w:tcPr>
                <w:p w14:paraId="3A14EE28">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100</w:t>
                  </w:r>
                  <w:r>
                    <w:rPr>
                      <w:rFonts w:hint="default" w:ascii="Times New Roman" w:hAnsi="宋体" w:eastAsia="宋体" w:cs="Times New Roman"/>
                      <w:sz w:val="21"/>
                      <w:szCs w:val="21"/>
                      <w:lang w:val="en-US" w:eastAsia="zh-CN" w:bidi="ar"/>
                    </w:rPr>
                    <w:t>支</w:t>
                  </w:r>
                </w:p>
              </w:tc>
              <w:tc>
                <w:tcPr>
                  <w:tcW w:w="2257" w:type="dxa"/>
                  <w:vAlign w:val="center"/>
                </w:tcPr>
                <w:p w14:paraId="0C218E68">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20</w:t>
                  </w:r>
                  <w:r>
                    <w:rPr>
                      <w:rFonts w:hint="default" w:ascii="Times New Roman" w:hAnsi="宋体" w:eastAsia="宋体" w:cs="Times New Roman"/>
                      <w:sz w:val="21"/>
                      <w:szCs w:val="21"/>
                      <w:lang w:val="en-US" w:eastAsia="zh-CN" w:bidi="ar"/>
                    </w:rPr>
                    <w:t>支</w:t>
                  </w:r>
                </w:p>
              </w:tc>
            </w:tr>
            <w:tr w14:paraId="7CA9F5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14:paraId="5E18C416">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复合维生素B注射液</w:t>
                  </w:r>
                </w:p>
              </w:tc>
              <w:tc>
                <w:tcPr>
                  <w:tcW w:w="1802" w:type="dxa"/>
                  <w:vAlign w:val="center"/>
                </w:tcPr>
                <w:p w14:paraId="0DD1D625">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2ml/支</w:t>
                  </w:r>
                </w:p>
              </w:tc>
              <w:tc>
                <w:tcPr>
                  <w:tcW w:w="1575" w:type="dxa"/>
                  <w:vAlign w:val="center"/>
                </w:tcPr>
                <w:p w14:paraId="48885967">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200</w:t>
                  </w:r>
                  <w:r>
                    <w:rPr>
                      <w:rFonts w:hint="default" w:ascii="Times New Roman" w:hAnsi="宋体" w:eastAsia="宋体" w:cs="Times New Roman"/>
                      <w:sz w:val="21"/>
                      <w:szCs w:val="21"/>
                      <w:lang w:val="en-US" w:eastAsia="zh-CN" w:bidi="ar"/>
                    </w:rPr>
                    <w:t>支</w:t>
                  </w:r>
                </w:p>
              </w:tc>
              <w:tc>
                <w:tcPr>
                  <w:tcW w:w="2257" w:type="dxa"/>
                  <w:vAlign w:val="center"/>
                </w:tcPr>
                <w:p w14:paraId="36392C13">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100</w:t>
                  </w:r>
                  <w:r>
                    <w:rPr>
                      <w:rFonts w:hint="default" w:ascii="Times New Roman" w:hAnsi="宋体" w:eastAsia="宋体" w:cs="Times New Roman"/>
                      <w:sz w:val="21"/>
                      <w:szCs w:val="21"/>
                      <w:lang w:val="en-US" w:eastAsia="zh-CN" w:bidi="ar"/>
                    </w:rPr>
                    <w:t>支</w:t>
                  </w:r>
                </w:p>
              </w:tc>
            </w:tr>
            <w:tr w14:paraId="7AE03E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14:paraId="606201D0">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硫酸阿托品注射液</w:t>
                  </w:r>
                </w:p>
              </w:tc>
              <w:tc>
                <w:tcPr>
                  <w:tcW w:w="1802" w:type="dxa"/>
                  <w:vAlign w:val="center"/>
                </w:tcPr>
                <w:p w14:paraId="608797EE">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2ml/1mg/支</w:t>
                  </w:r>
                </w:p>
              </w:tc>
              <w:tc>
                <w:tcPr>
                  <w:tcW w:w="1575" w:type="dxa"/>
                  <w:vAlign w:val="center"/>
                </w:tcPr>
                <w:p w14:paraId="6D9680B0">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100</w:t>
                  </w:r>
                  <w:r>
                    <w:rPr>
                      <w:rFonts w:hint="default" w:ascii="Times New Roman" w:hAnsi="宋体" w:eastAsia="宋体" w:cs="Times New Roman"/>
                      <w:sz w:val="21"/>
                      <w:szCs w:val="21"/>
                      <w:lang w:val="en-US" w:eastAsia="zh-CN" w:bidi="ar"/>
                    </w:rPr>
                    <w:t>支</w:t>
                  </w:r>
                </w:p>
              </w:tc>
              <w:tc>
                <w:tcPr>
                  <w:tcW w:w="2257" w:type="dxa"/>
                  <w:vAlign w:val="center"/>
                </w:tcPr>
                <w:p w14:paraId="49CCB26E">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50</w:t>
                  </w:r>
                  <w:r>
                    <w:rPr>
                      <w:rFonts w:hint="default" w:ascii="Times New Roman" w:hAnsi="宋体" w:eastAsia="宋体" w:cs="Times New Roman"/>
                      <w:sz w:val="21"/>
                      <w:szCs w:val="21"/>
                      <w:lang w:val="en-US" w:eastAsia="zh-CN" w:bidi="ar"/>
                    </w:rPr>
                    <w:t>支</w:t>
                  </w:r>
                </w:p>
              </w:tc>
            </w:tr>
            <w:tr w14:paraId="3422F7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5" w:type="dxa"/>
                  <w:vAlign w:val="center"/>
                </w:tcPr>
                <w:p w14:paraId="6D8C447F">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硫酸庆大霉素注射液</w:t>
                  </w:r>
                </w:p>
              </w:tc>
              <w:tc>
                <w:tcPr>
                  <w:tcW w:w="1802" w:type="dxa"/>
                  <w:vAlign w:val="center"/>
                </w:tcPr>
                <w:p w14:paraId="79F0350F">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2ml/0.08g/支</w:t>
                  </w:r>
                </w:p>
              </w:tc>
              <w:tc>
                <w:tcPr>
                  <w:tcW w:w="1575" w:type="dxa"/>
                  <w:vAlign w:val="center"/>
                </w:tcPr>
                <w:p w14:paraId="2DFE14A9">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100</w:t>
                  </w:r>
                  <w:r>
                    <w:rPr>
                      <w:rFonts w:hint="default" w:ascii="Times New Roman" w:hAnsi="宋体" w:eastAsia="宋体" w:cs="Times New Roman"/>
                      <w:sz w:val="21"/>
                      <w:szCs w:val="21"/>
                      <w:lang w:val="en-US" w:eastAsia="zh-CN" w:bidi="ar"/>
                    </w:rPr>
                    <w:t>支</w:t>
                  </w:r>
                </w:p>
              </w:tc>
              <w:tc>
                <w:tcPr>
                  <w:tcW w:w="2257" w:type="dxa"/>
                  <w:vAlign w:val="center"/>
                </w:tcPr>
                <w:p w14:paraId="45F05F34">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50</w:t>
                  </w:r>
                  <w:r>
                    <w:rPr>
                      <w:rFonts w:hint="default" w:ascii="Times New Roman" w:hAnsi="宋体" w:eastAsia="宋体" w:cs="Times New Roman"/>
                      <w:sz w:val="21"/>
                      <w:szCs w:val="21"/>
                      <w:lang w:val="en-US" w:eastAsia="zh-CN" w:bidi="ar"/>
                    </w:rPr>
                    <w:t>支</w:t>
                  </w:r>
                </w:p>
              </w:tc>
            </w:tr>
            <w:tr w14:paraId="06678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14:paraId="6E44611E">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氯化钾注射液</w:t>
                  </w:r>
                </w:p>
              </w:tc>
              <w:tc>
                <w:tcPr>
                  <w:tcW w:w="1802" w:type="dxa"/>
                  <w:vAlign w:val="center"/>
                </w:tcPr>
                <w:p w14:paraId="0C7A0CFD">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10ml/1g/支</w:t>
                  </w:r>
                </w:p>
              </w:tc>
              <w:tc>
                <w:tcPr>
                  <w:tcW w:w="1575" w:type="dxa"/>
                  <w:vAlign w:val="center"/>
                </w:tcPr>
                <w:p w14:paraId="0D03648E">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kern w:val="2"/>
                      <w:sz w:val="21"/>
                      <w:szCs w:val="21"/>
                      <w:lang w:val="en-US" w:eastAsia="zh-CN" w:bidi="ar-SA"/>
                    </w:rPr>
                  </w:pPr>
                  <w:r>
                    <w:rPr>
                      <w:rFonts w:hint="default" w:ascii="Times New Roman" w:hAnsi="宋体" w:eastAsia="宋体" w:cs="Times New Roman"/>
                      <w:i w:val="0"/>
                      <w:iCs w:val="0"/>
                      <w:kern w:val="2"/>
                      <w:sz w:val="21"/>
                      <w:szCs w:val="21"/>
                      <w:u w:val="none"/>
                      <w:lang w:val="en-US" w:eastAsia="zh-CN" w:bidi="ar"/>
                    </w:rPr>
                    <w:t>100</w:t>
                  </w:r>
                  <w:r>
                    <w:rPr>
                      <w:rFonts w:hint="default" w:ascii="Times New Roman" w:hAnsi="宋体" w:eastAsia="宋体" w:cs="Times New Roman"/>
                      <w:sz w:val="21"/>
                      <w:szCs w:val="21"/>
                      <w:lang w:val="en-US" w:eastAsia="zh-CN" w:bidi="ar"/>
                    </w:rPr>
                    <w:t>支</w:t>
                  </w:r>
                </w:p>
              </w:tc>
              <w:tc>
                <w:tcPr>
                  <w:tcW w:w="2257" w:type="dxa"/>
                  <w:vAlign w:val="center"/>
                </w:tcPr>
                <w:p w14:paraId="3C3A1927">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50</w:t>
                  </w:r>
                  <w:r>
                    <w:rPr>
                      <w:rFonts w:hint="default" w:ascii="Times New Roman" w:hAnsi="宋体" w:eastAsia="宋体" w:cs="Times New Roman"/>
                      <w:sz w:val="21"/>
                      <w:szCs w:val="21"/>
                      <w:lang w:val="en-US" w:eastAsia="zh-CN" w:bidi="ar"/>
                    </w:rPr>
                    <w:t>支</w:t>
                  </w:r>
                </w:p>
              </w:tc>
            </w:tr>
            <w:tr w14:paraId="10FC03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14:paraId="7093D687">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i w:val="0"/>
                      <w:caps w:val="0"/>
                      <w:spacing w:val="0"/>
                      <w:sz w:val="21"/>
                      <w:szCs w:val="21"/>
                      <w:shd w:val="clear"/>
                    </w:rPr>
                  </w:pPr>
                  <w:bookmarkStart w:id="55" w:name="_Toc21202"/>
                  <w:bookmarkStart w:id="56" w:name="_Toc133251539"/>
                  <w:r>
                    <w:rPr>
                      <w:rFonts w:hint="default" w:ascii="Times New Roman" w:hAnsi="宋体" w:eastAsia="宋体" w:cs="Times New Roman"/>
                      <w:i w:val="0"/>
                      <w:iCs w:val="0"/>
                      <w:kern w:val="2"/>
                      <w:sz w:val="21"/>
                      <w:szCs w:val="21"/>
                      <w:u w:val="none"/>
                      <w:lang w:val="en-US" w:eastAsia="zh-CN" w:bidi="ar"/>
                    </w:rPr>
                    <w:t>尼可刹米注射液</w:t>
                  </w:r>
                </w:p>
              </w:tc>
              <w:tc>
                <w:tcPr>
                  <w:tcW w:w="1802" w:type="dxa"/>
                  <w:vAlign w:val="center"/>
                </w:tcPr>
                <w:p w14:paraId="49EC54C1">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rPr>
                  </w:pPr>
                  <w:r>
                    <w:rPr>
                      <w:rFonts w:hint="default" w:ascii="Times New Roman" w:hAnsi="宋体" w:eastAsia="宋体" w:cs="Times New Roman"/>
                      <w:i w:val="0"/>
                      <w:iCs w:val="0"/>
                      <w:kern w:val="2"/>
                      <w:sz w:val="21"/>
                      <w:szCs w:val="21"/>
                      <w:u w:val="none"/>
                      <w:lang w:val="en-US" w:eastAsia="zh-CN" w:bidi="ar"/>
                    </w:rPr>
                    <w:t>2ml/0.5g/支</w:t>
                  </w:r>
                </w:p>
              </w:tc>
              <w:tc>
                <w:tcPr>
                  <w:tcW w:w="1575" w:type="dxa"/>
                  <w:vAlign w:val="center"/>
                </w:tcPr>
                <w:p w14:paraId="4A563634">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10</w:t>
                  </w:r>
                  <w:r>
                    <w:rPr>
                      <w:rFonts w:hint="default" w:ascii="Times New Roman" w:hAnsi="宋体" w:eastAsia="宋体" w:cs="Times New Roman"/>
                      <w:sz w:val="21"/>
                      <w:szCs w:val="21"/>
                      <w:lang w:val="en-US" w:eastAsia="zh-CN" w:bidi="ar"/>
                    </w:rPr>
                    <w:t>支</w:t>
                  </w:r>
                </w:p>
              </w:tc>
              <w:tc>
                <w:tcPr>
                  <w:tcW w:w="2257" w:type="dxa"/>
                  <w:vAlign w:val="center"/>
                </w:tcPr>
                <w:p w14:paraId="6D83AAA1">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10</w:t>
                  </w:r>
                  <w:r>
                    <w:rPr>
                      <w:rFonts w:hint="default" w:ascii="Times New Roman" w:hAnsi="宋体" w:eastAsia="宋体" w:cs="Times New Roman"/>
                      <w:sz w:val="21"/>
                      <w:szCs w:val="21"/>
                      <w:lang w:val="en-US" w:eastAsia="zh-CN" w:bidi="ar"/>
                    </w:rPr>
                    <w:t>支</w:t>
                  </w:r>
                </w:p>
              </w:tc>
            </w:tr>
            <w:tr w14:paraId="70DB26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14:paraId="403C4A8C">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i w:val="0"/>
                      <w:caps w:val="0"/>
                      <w:spacing w:val="0"/>
                      <w:sz w:val="21"/>
                      <w:szCs w:val="21"/>
                      <w:shd w:val="clear"/>
                    </w:rPr>
                  </w:pPr>
                  <w:r>
                    <w:rPr>
                      <w:rFonts w:hint="default" w:ascii="Times New Roman" w:hAnsi="宋体" w:eastAsia="宋体" w:cs="Times New Roman"/>
                      <w:i w:val="0"/>
                      <w:iCs w:val="0"/>
                      <w:kern w:val="2"/>
                      <w:sz w:val="21"/>
                      <w:szCs w:val="21"/>
                      <w:u w:val="none"/>
                      <w:lang w:val="en-US" w:eastAsia="zh-CN" w:bidi="ar"/>
                    </w:rPr>
                    <w:t>葡萄糖酸钙注射液</w:t>
                  </w:r>
                </w:p>
              </w:tc>
              <w:tc>
                <w:tcPr>
                  <w:tcW w:w="1802" w:type="dxa"/>
                  <w:vAlign w:val="center"/>
                </w:tcPr>
                <w:p w14:paraId="588A30D0">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rPr>
                  </w:pPr>
                  <w:r>
                    <w:rPr>
                      <w:rFonts w:hint="default" w:ascii="Times New Roman" w:hAnsi="宋体" w:eastAsia="宋体" w:cs="Times New Roman"/>
                      <w:i w:val="0"/>
                      <w:iCs w:val="0"/>
                      <w:kern w:val="2"/>
                      <w:sz w:val="21"/>
                      <w:szCs w:val="21"/>
                      <w:u w:val="none"/>
                      <w:lang w:val="en-US" w:eastAsia="zh-CN" w:bidi="ar"/>
                    </w:rPr>
                    <w:t>20ml/1g/支</w:t>
                  </w:r>
                </w:p>
              </w:tc>
              <w:tc>
                <w:tcPr>
                  <w:tcW w:w="1575" w:type="dxa"/>
                  <w:vAlign w:val="center"/>
                </w:tcPr>
                <w:p w14:paraId="12AC99B8">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50</w:t>
                  </w:r>
                  <w:r>
                    <w:rPr>
                      <w:rFonts w:hint="default" w:ascii="Times New Roman" w:hAnsi="宋体" w:eastAsia="宋体" w:cs="Times New Roman"/>
                      <w:sz w:val="21"/>
                      <w:szCs w:val="21"/>
                      <w:lang w:val="en-US" w:eastAsia="zh-CN" w:bidi="ar"/>
                    </w:rPr>
                    <w:t>支</w:t>
                  </w:r>
                </w:p>
              </w:tc>
              <w:tc>
                <w:tcPr>
                  <w:tcW w:w="2257" w:type="dxa"/>
                  <w:vAlign w:val="center"/>
                </w:tcPr>
                <w:p w14:paraId="0070654D">
                  <w:pPr>
                    <w:keepNext/>
                    <w:keepLines/>
                    <w:pageBreakBefore w:val="0"/>
                    <w:widowControl/>
                    <w:suppressLineNumbers w:val="0"/>
                    <w:kinsoku/>
                    <w:wordWrap/>
                    <w:overflowPunct/>
                    <w:topLinePunct w:val="0"/>
                    <w:autoSpaceDE/>
                    <w:autoSpaceDN/>
                    <w:bidi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20</w:t>
                  </w:r>
                  <w:r>
                    <w:rPr>
                      <w:rFonts w:hint="default" w:ascii="Times New Roman" w:hAnsi="宋体" w:eastAsia="宋体" w:cs="Times New Roman"/>
                      <w:sz w:val="21"/>
                      <w:szCs w:val="21"/>
                      <w:lang w:val="en-US" w:eastAsia="zh-CN" w:bidi="ar"/>
                    </w:rPr>
                    <w:t>支</w:t>
                  </w:r>
                </w:p>
              </w:tc>
            </w:tr>
            <w:tr w14:paraId="222C7F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14:paraId="2CCF9592">
                  <w:pPr>
                    <w:keepNext w:val="0"/>
                    <w:keepLines w:val="0"/>
                    <w:widowControl/>
                    <w:suppressLineNumbers w:val="0"/>
                    <w:jc w:val="center"/>
                    <w:textAlignment w:val="auto"/>
                    <w:rPr>
                      <w:rFonts w:hint="default" w:ascii="Times New Roman" w:hAnsi="宋体" w:eastAsia="宋体" w:cs="Times New Roman"/>
                      <w:i w:val="0"/>
                      <w:caps w:val="0"/>
                      <w:spacing w:val="0"/>
                      <w:sz w:val="21"/>
                      <w:szCs w:val="21"/>
                      <w:shd w:val="clear"/>
                    </w:rPr>
                  </w:pPr>
                  <w:r>
                    <w:rPr>
                      <w:rFonts w:hint="default" w:ascii="Times New Roman" w:hAnsi="宋体" w:eastAsia="宋体" w:cs="Times New Roman"/>
                      <w:i w:val="0"/>
                      <w:iCs w:val="0"/>
                      <w:kern w:val="2"/>
                      <w:sz w:val="21"/>
                      <w:szCs w:val="21"/>
                      <w:u w:val="none"/>
                      <w:lang w:val="en-US" w:eastAsia="zh-CN" w:bidi="ar"/>
                    </w:rPr>
                    <w:t>缩宫素注射液</w:t>
                  </w:r>
                </w:p>
              </w:tc>
              <w:tc>
                <w:tcPr>
                  <w:tcW w:w="1802" w:type="dxa"/>
                  <w:vAlign w:val="center"/>
                </w:tcPr>
                <w:p w14:paraId="7BDACEA1">
                  <w:pPr>
                    <w:keepNext w:val="0"/>
                    <w:keepLines w:val="0"/>
                    <w:widowControl/>
                    <w:suppressLineNumbers w:val="0"/>
                    <w:jc w:val="center"/>
                    <w:textAlignment w:val="auto"/>
                    <w:rPr>
                      <w:rFonts w:hint="default" w:ascii="Times New Roman" w:hAnsi="宋体" w:eastAsia="宋体" w:cs="Times New Roman"/>
                      <w:sz w:val="21"/>
                      <w:szCs w:val="21"/>
                    </w:rPr>
                  </w:pPr>
                  <w:r>
                    <w:rPr>
                      <w:rFonts w:hint="default" w:ascii="Times New Roman" w:hAnsi="宋体" w:eastAsia="宋体" w:cs="Times New Roman"/>
                      <w:i w:val="0"/>
                      <w:iCs w:val="0"/>
                      <w:kern w:val="2"/>
                      <w:sz w:val="21"/>
                      <w:szCs w:val="21"/>
                      <w:u w:val="none"/>
                      <w:lang w:val="en-US" w:eastAsia="zh-CN" w:bidi="ar"/>
                    </w:rPr>
                    <w:t>2ml/支</w:t>
                  </w:r>
                </w:p>
              </w:tc>
              <w:tc>
                <w:tcPr>
                  <w:tcW w:w="1575" w:type="dxa"/>
                  <w:vAlign w:val="center"/>
                </w:tcPr>
                <w:p w14:paraId="7E9580F6">
                  <w:pPr>
                    <w:keepNext w:val="0"/>
                    <w:keepLines w:val="0"/>
                    <w:widowControl/>
                    <w:suppressLineNumbers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20</w:t>
                  </w:r>
                  <w:r>
                    <w:rPr>
                      <w:rFonts w:hint="default" w:ascii="Times New Roman" w:hAnsi="宋体" w:eastAsia="宋体" w:cs="Times New Roman"/>
                      <w:sz w:val="21"/>
                      <w:szCs w:val="21"/>
                      <w:lang w:val="en-US" w:eastAsia="zh-CN" w:bidi="ar"/>
                    </w:rPr>
                    <w:t>支</w:t>
                  </w:r>
                </w:p>
              </w:tc>
              <w:tc>
                <w:tcPr>
                  <w:tcW w:w="2257" w:type="dxa"/>
                  <w:vAlign w:val="center"/>
                </w:tcPr>
                <w:p w14:paraId="0E68D9C2">
                  <w:pPr>
                    <w:keepNext w:val="0"/>
                    <w:keepLines w:val="0"/>
                    <w:widowControl/>
                    <w:suppressLineNumbers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20</w:t>
                  </w:r>
                  <w:r>
                    <w:rPr>
                      <w:rFonts w:hint="default" w:ascii="Times New Roman" w:hAnsi="宋体" w:eastAsia="宋体" w:cs="Times New Roman"/>
                      <w:sz w:val="21"/>
                      <w:szCs w:val="21"/>
                      <w:lang w:val="en-US" w:eastAsia="zh-CN" w:bidi="ar"/>
                    </w:rPr>
                    <w:t>支</w:t>
                  </w:r>
                </w:p>
              </w:tc>
            </w:tr>
            <w:tr w14:paraId="5D93BA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14:paraId="43C3031F">
                  <w:pPr>
                    <w:keepNext w:val="0"/>
                    <w:keepLines w:val="0"/>
                    <w:widowControl/>
                    <w:suppressLineNumbers w:val="0"/>
                    <w:jc w:val="center"/>
                    <w:textAlignment w:val="auto"/>
                    <w:rPr>
                      <w:rFonts w:hint="default" w:ascii="Times New Roman" w:hAnsi="宋体" w:eastAsia="宋体" w:cs="Times New Roman"/>
                      <w:i w:val="0"/>
                      <w:caps w:val="0"/>
                      <w:spacing w:val="0"/>
                      <w:sz w:val="21"/>
                      <w:szCs w:val="21"/>
                      <w:shd w:val="clear"/>
                    </w:rPr>
                  </w:pPr>
                  <w:r>
                    <w:rPr>
                      <w:rFonts w:hint="default" w:ascii="Times New Roman" w:hAnsi="宋体" w:eastAsia="宋体" w:cs="Times New Roman"/>
                      <w:i w:val="0"/>
                      <w:iCs w:val="0"/>
                      <w:kern w:val="2"/>
                      <w:sz w:val="21"/>
                      <w:szCs w:val="21"/>
                      <w:u w:val="none"/>
                      <w:lang w:val="en-US" w:eastAsia="zh-CN" w:bidi="ar"/>
                    </w:rPr>
                    <w:t>维生素C注射液</w:t>
                  </w:r>
                </w:p>
              </w:tc>
              <w:tc>
                <w:tcPr>
                  <w:tcW w:w="1802" w:type="dxa"/>
                  <w:vAlign w:val="center"/>
                </w:tcPr>
                <w:p w14:paraId="17249855">
                  <w:pPr>
                    <w:keepNext w:val="0"/>
                    <w:keepLines w:val="0"/>
                    <w:widowControl/>
                    <w:suppressLineNumbers w:val="0"/>
                    <w:jc w:val="center"/>
                    <w:textAlignment w:val="auto"/>
                    <w:rPr>
                      <w:rFonts w:hint="default" w:ascii="Times New Roman" w:hAnsi="宋体" w:eastAsia="宋体" w:cs="Times New Roman"/>
                      <w:sz w:val="21"/>
                      <w:szCs w:val="21"/>
                    </w:rPr>
                  </w:pPr>
                  <w:r>
                    <w:rPr>
                      <w:rFonts w:hint="default" w:ascii="Times New Roman" w:hAnsi="宋体" w:eastAsia="宋体" w:cs="Times New Roman"/>
                      <w:i w:val="0"/>
                      <w:iCs w:val="0"/>
                      <w:kern w:val="2"/>
                      <w:sz w:val="21"/>
                      <w:szCs w:val="21"/>
                      <w:u w:val="none"/>
                      <w:lang w:val="en-US" w:eastAsia="zh-CN" w:bidi="ar"/>
                    </w:rPr>
                    <w:t>2ml/0.25g/支</w:t>
                  </w:r>
                </w:p>
              </w:tc>
              <w:tc>
                <w:tcPr>
                  <w:tcW w:w="1575" w:type="dxa"/>
                  <w:vAlign w:val="center"/>
                </w:tcPr>
                <w:p w14:paraId="370BB788">
                  <w:pPr>
                    <w:keepNext w:val="0"/>
                    <w:keepLines w:val="0"/>
                    <w:widowControl/>
                    <w:suppressLineNumbers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200</w:t>
                  </w:r>
                  <w:r>
                    <w:rPr>
                      <w:rFonts w:hint="default" w:ascii="Times New Roman" w:hAnsi="宋体" w:eastAsia="宋体" w:cs="Times New Roman"/>
                      <w:sz w:val="21"/>
                      <w:szCs w:val="21"/>
                      <w:lang w:val="en-US" w:eastAsia="zh-CN" w:bidi="ar"/>
                    </w:rPr>
                    <w:t>支</w:t>
                  </w:r>
                </w:p>
              </w:tc>
              <w:tc>
                <w:tcPr>
                  <w:tcW w:w="2257" w:type="dxa"/>
                  <w:vAlign w:val="center"/>
                </w:tcPr>
                <w:p w14:paraId="4C12ED66">
                  <w:pPr>
                    <w:keepNext w:val="0"/>
                    <w:keepLines w:val="0"/>
                    <w:widowControl/>
                    <w:suppressLineNumbers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100</w:t>
                  </w:r>
                  <w:r>
                    <w:rPr>
                      <w:rFonts w:hint="default" w:ascii="Times New Roman" w:hAnsi="宋体" w:eastAsia="宋体" w:cs="Times New Roman"/>
                      <w:sz w:val="21"/>
                      <w:szCs w:val="21"/>
                      <w:lang w:val="en-US" w:eastAsia="zh-CN" w:bidi="ar"/>
                    </w:rPr>
                    <w:t>支</w:t>
                  </w:r>
                </w:p>
              </w:tc>
            </w:tr>
            <w:tr w14:paraId="321D81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14:paraId="13BEC72B">
                  <w:pPr>
                    <w:keepNext w:val="0"/>
                    <w:keepLines w:val="0"/>
                    <w:widowControl/>
                    <w:suppressLineNumbers w:val="0"/>
                    <w:jc w:val="center"/>
                    <w:textAlignment w:val="auto"/>
                    <w:rPr>
                      <w:rFonts w:hint="default" w:ascii="Times New Roman" w:hAnsi="宋体" w:eastAsia="宋体" w:cs="Times New Roman"/>
                      <w:i w:val="0"/>
                      <w:caps w:val="0"/>
                      <w:spacing w:val="0"/>
                      <w:sz w:val="21"/>
                      <w:szCs w:val="21"/>
                      <w:shd w:val="clear"/>
                    </w:rPr>
                  </w:pPr>
                  <w:r>
                    <w:rPr>
                      <w:rFonts w:hint="default" w:ascii="Times New Roman" w:hAnsi="宋体" w:eastAsia="宋体" w:cs="Times New Roman"/>
                      <w:i w:val="0"/>
                      <w:iCs w:val="0"/>
                      <w:kern w:val="2"/>
                      <w:sz w:val="21"/>
                      <w:szCs w:val="21"/>
                      <w:u w:val="none"/>
                      <w:lang w:val="en-US" w:eastAsia="zh-CN" w:bidi="ar"/>
                    </w:rPr>
                    <w:t>盐酸右美托咪定</w:t>
                  </w:r>
                </w:p>
              </w:tc>
              <w:tc>
                <w:tcPr>
                  <w:tcW w:w="1802" w:type="dxa"/>
                  <w:vAlign w:val="center"/>
                </w:tcPr>
                <w:p w14:paraId="7CDCEB0A">
                  <w:pPr>
                    <w:keepNext w:val="0"/>
                    <w:keepLines w:val="0"/>
                    <w:widowControl/>
                    <w:suppressLineNumbers w:val="0"/>
                    <w:jc w:val="center"/>
                    <w:textAlignment w:val="auto"/>
                    <w:rPr>
                      <w:rFonts w:hint="default" w:ascii="Times New Roman" w:hAnsi="宋体" w:eastAsia="宋体" w:cs="Times New Roman"/>
                      <w:sz w:val="21"/>
                      <w:szCs w:val="21"/>
                    </w:rPr>
                  </w:pPr>
                  <w:r>
                    <w:rPr>
                      <w:rFonts w:hint="default" w:ascii="Times New Roman" w:hAnsi="宋体" w:eastAsia="宋体" w:cs="Times New Roman"/>
                      <w:i w:val="0"/>
                      <w:iCs w:val="0"/>
                      <w:kern w:val="2"/>
                      <w:sz w:val="21"/>
                      <w:szCs w:val="21"/>
                      <w:u w:val="none"/>
                      <w:lang w:val="en-US" w:eastAsia="zh-CN" w:bidi="ar"/>
                    </w:rPr>
                    <w:t>10ml/瓶</w:t>
                  </w:r>
                </w:p>
              </w:tc>
              <w:tc>
                <w:tcPr>
                  <w:tcW w:w="1575" w:type="dxa"/>
                  <w:vAlign w:val="center"/>
                </w:tcPr>
                <w:p w14:paraId="2C066F28">
                  <w:pPr>
                    <w:keepNext w:val="0"/>
                    <w:keepLines w:val="0"/>
                    <w:widowControl/>
                    <w:suppressLineNumbers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2</w:t>
                  </w:r>
                  <w:r>
                    <w:rPr>
                      <w:rFonts w:hint="default" w:ascii="Times New Roman" w:hAnsi="宋体" w:eastAsia="宋体" w:cs="Times New Roman"/>
                      <w:sz w:val="21"/>
                      <w:szCs w:val="21"/>
                      <w:lang w:val="en-US" w:eastAsia="zh-CN" w:bidi="ar"/>
                    </w:rPr>
                    <w:t>瓶</w:t>
                  </w:r>
                </w:p>
              </w:tc>
              <w:tc>
                <w:tcPr>
                  <w:tcW w:w="2257" w:type="dxa"/>
                  <w:vAlign w:val="center"/>
                </w:tcPr>
                <w:p w14:paraId="1CA09EF0">
                  <w:pPr>
                    <w:keepNext w:val="0"/>
                    <w:keepLines w:val="0"/>
                    <w:widowControl/>
                    <w:suppressLineNumbers w:val="0"/>
                    <w:jc w:val="center"/>
                    <w:textAlignment w:val="auto"/>
                    <w:rPr>
                      <w:rFonts w:hint="default" w:ascii="Times New Roman" w:hAnsi="宋体" w:eastAsia="宋体" w:cs="Times New Roman"/>
                      <w:sz w:val="21"/>
                      <w:szCs w:val="21"/>
                      <w:lang w:val="en-US" w:eastAsia="zh-CN"/>
                    </w:rPr>
                  </w:pPr>
                  <w:r>
                    <w:rPr>
                      <w:rFonts w:hint="default" w:ascii="Times New Roman" w:hAnsi="宋体" w:eastAsia="宋体" w:cs="Times New Roman"/>
                      <w:i w:val="0"/>
                      <w:iCs w:val="0"/>
                      <w:kern w:val="2"/>
                      <w:sz w:val="21"/>
                      <w:szCs w:val="21"/>
                      <w:u w:val="none"/>
                      <w:lang w:val="en-US" w:eastAsia="zh-CN" w:bidi="ar"/>
                    </w:rPr>
                    <w:t>1</w:t>
                  </w:r>
                  <w:r>
                    <w:rPr>
                      <w:rFonts w:hint="default" w:ascii="Times New Roman" w:hAnsi="宋体" w:eastAsia="宋体" w:cs="Times New Roman"/>
                      <w:sz w:val="21"/>
                      <w:szCs w:val="21"/>
                      <w:lang w:val="en-US" w:eastAsia="zh-CN" w:bidi="ar"/>
                    </w:rPr>
                    <w:t>瓶</w:t>
                  </w:r>
                </w:p>
              </w:tc>
            </w:tr>
            <w:tr w14:paraId="7359A2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14:paraId="2AEED73F">
                  <w:pPr>
                    <w:keepNext w:val="0"/>
                    <w:keepLines w:val="0"/>
                    <w:widowControl/>
                    <w:suppressLineNumbers w:val="0"/>
                    <w:jc w:val="center"/>
                    <w:textAlignment w:val="auto"/>
                    <w:rPr>
                      <w:rFonts w:hint="default" w:ascii="Times New Roman" w:hAnsi="宋体" w:eastAsia="宋体" w:cs="Times New Roman"/>
                      <w:i w:val="0"/>
                      <w:iCs w:val="0"/>
                      <w:kern w:val="2"/>
                      <w:sz w:val="21"/>
                      <w:szCs w:val="21"/>
                      <w:u w:val="none"/>
                      <w:lang w:val="en-US" w:eastAsia="zh-CN" w:bidi="ar"/>
                    </w:rPr>
                  </w:pPr>
                  <w:r>
                    <w:rPr>
                      <w:rFonts w:hint="default" w:ascii="Times New Roman" w:hAnsi="宋体" w:eastAsia="宋体" w:cs="Times New Roman"/>
                      <w:i w:val="0"/>
                      <w:iCs w:val="0"/>
                      <w:kern w:val="2"/>
                      <w:sz w:val="21"/>
                      <w:szCs w:val="21"/>
                      <w:u w:val="none"/>
                      <w:lang w:val="en-US" w:eastAsia="zh-CN" w:bidi="ar"/>
                    </w:rPr>
                    <w:t>异氟烷</w:t>
                  </w:r>
                </w:p>
              </w:tc>
              <w:tc>
                <w:tcPr>
                  <w:tcW w:w="1802" w:type="dxa"/>
                  <w:vAlign w:val="center"/>
                </w:tcPr>
                <w:p w14:paraId="24E19782">
                  <w:pPr>
                    <w:keepNext w:val="0"/>
                    <w:keepLines w:val="0"/>
                    <w:widowControl/>
                    <w:suppressLineNumbers w:val="0"/>
                    <w:jc w:val="center"/>
                    <w:textAlignment w:val="auto"/>
                    <w:rPr>
                      <w:rFonts w:hint="default" w:ascii="Times New Roman" w:hAnsi="宋体" w:eastAsia="宋体" w:cs="Times New Roman"/>
                      <w:i w:val="0"/>
                      <w:iCs w:val="0"/>
                      <w:kern w:val="2"/>
                      <w:sz w:val="21"/>
                      <w:szCs w:val="21"/>
                      <w:u w:val="none"/>
                      <w:lang w:val="en-US" w:eastAsia="zh-CN" w:bidi="ar"/>
                    </w:rPr>
                  </w:pPr>
                  <w:r>
                    <w:rPr>
                      <w:rFonts w:hint="default" w:ascii="Times New Roman" w:hAnsi="宋体" w:eastAsia="宋体" w:cs="Times New Roman"/>
                      <w:i w:val="0"/>
                      <w:iCs w:val="0"/>
                      <w:kern w:val="2"/>
                      <w:sz w:val="21"/>
                      <w:szCs w:val="21"/>
                      <w:u w:val="none"/>
                      <w:lang w:val="en-US" w:eastAsia="zh-CN" w:bidi="ar"/>
                    </w:rPr>
                    <w:t>100ml/瓶</w:t>
                  </w:r>
                </w:p>
              </w:tc>
              <w:tc>
                <w:tcPr>
                  <w:tcW w:w="1575" w:type="dxa"/>
                  <w:vAlign w:val="center"/>
                </w:tcPr>
                <w:p w14:paraId="6547952B">
                  <w:pPr>
                    <w:keepNext w:val="0"/>
                    <w:keepLines w:val="0"/>
                    <w:widowControl/>
                    <w:suppressLineNumbers w:val="0"/>
                    <w:jc w:val="center"/>
                    <w:textAlignment w:val="auto"/>
                    <w:rPr>
                      <w:rFonts w:hint="default" w:ascii="Times New Roman" w:hAnsi="宋体" w:eastAsia="宋体" w:cs="Times New Roman"/>
                      <w:i w:val="0"/>
                      <w:iCs w:val="0"/>
                      <w:kern w:val="2"/>
                      <w:sz w:val="21"/>
                      <w:szCs w:val="21"/>
                      <w:u w:val="none"/>
                      <w:lang w:val="en-US" w:eastAsia="zh-CN" w:bidi="ar"/>
                    </w:rPr>
                  </w:pPr>
                  <w:r>
                    <w:rPr>
                      <w:rFonts w:hint="default" w:ascii="Times New Roman" w:hAnsi="宋体" w:eastAsia="宋体" w:cs="Times New Roman"/>
                      <w:i w:val="0"/>
                      <w:iCs w:val="0"/>
                      <w:kern w:val="2"/>
                      <w:sz w:val="21"/>
                      <w:szCs w:val="21"/>
                      <w:u w:val="none"/>
                      <w:lang w:val="en-US" w:eastAsia="zh-CN" w:bidi="ar"/>
                    </w:rPr>
                    <w:t>100瓶</w:t>
                  </w:r>
                </w:p>
              </w:tc>
              <w:tc>
                <w:tcPr>
                  <w:tcW w:w="2257" w:type="dxa"/>
                  <w:vAlign w:val="center"/>
                </w:tcPr>
                <w:p w14:paraId="00E7EE6A">
                  <w:pPr>
                    <w:keepNext w:val="0"/>
                    <w:keepLines w:val="0"/>
                    <w:widowControl/>
                    <w:suppressLineNumbers w:val="0"/>
                    <w:jc w:val="center"/>
                    <w:textAlignment w:val="auto"/>
                    <w:rPr>
                      <w:rFonts w:hint="default" w:ascii="Times New Roman" w:hAnsi="宋体" w:eastAsia="宋体" w:cs="Times New Roman"/>
                      <w:i w:val="0"/>
                      <w:iCs w:val="0"/>
                      <w:kern w:val="2"/>
                      <w:sz w:val="21"/>
                      <w:szCs w:val="21"/>
                      <w:u w:val="none"/>
                      <w:lang w:val="en-US" w:eastAsia="zh-CN" w:bidi="ar"/>
                    </w:rPr>
                  </w:pPr>
                  <w:r>
                    <w:rPr>
                      <w:rFonts w:hint="default" w:ascii="Times New Roman" w:hAnsi="宋体" w:eastAsia="宋体" w:cs="Times New Roman"/>
                      <w:i w:val="0"/>
                      <w:iCs w:val="0"/>
                      <w:kern w:val="2"/>
                      <w:sz w:val="21"/>
                      <w:szCs w:val="21"/>
                      <w:u w:val="none"/>
                      <w:lang w:val="en-US" w:eastAsia="zh-CN" w:bidi="ar"/>
                    </w:rPr>
                    <w:t>20瓶</w:t>
                  </w:r>
                </w:p>
              </w:tc>
            </w:tr>
            <w:tr w14:paraId="215343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625" w:type="dxa"/>
                  <w:vAlign w:val="center"/>
                </w:tcPr>
                <w:p w14:paraId="6FAD82FB">
                  <w:pPr>
                    <w:keepNext w:val="0"/>
                    <w:keepLines w:val="0"/>
                    <w:widowControl/>
                    <w:suppressLineNumbers w:val="0"/>
                    <w:jc w:val="center"/>
                    <w:textAlignment w:val="auto"/>
                    <w:rPr>
                      <w:rFonts w:hint="default" w:ascii="Times New Roman" w:hAnsi="宋体" w:eastAsia="宋体" w:cs="Times New Roman"/>
                      <w:i w:val="0"/>
                      <w:iCs w:val="0"/>
                      <w:kern w:val="2"/>
                      <w:sz w:val="21"/>
                      <w:szCs w:val="21"/>
                      <w:u w:val="none"/>
                      <w:lang w:val="en-US" w:eastAsia="zh-CN" w:bidi="ar"/>
                    </w:rPr>
                  </w:pPr>
                  <w:r>
                    <w:rPr>
                      <w:rFonts w:hint="eastAsia" w:hAnsi="宋体" w:cs="Times New Roman"/>
                      <w:i w:val="0"/>
                      <w:iCs w:val="0"/>
                      <w:kern w:val="2"/>
                      <w:sz w:val="21"/>
                      <w:szCs w:val="21"/>
                      <w:u w:val="none"/>
                      <w:lang w:val="en-US" w:eastAsia="zh-CN" w:bidi="ar"/>
                    </w:rPr>
                    <w:t>二氧化氯片</w:t>
                  </w:r>
                </w:p>
              </w:tc>
              <w:tc>
                <w:tcPr>
                  <w:tcW w:w="1802" w:type="dxa"/>
                  <w:vAlign w:val="center"/>
                </w:tcPr>
                <w:p w14:paraId="0254CBE9">
                  <w:pPr>
                    <w:keepNext w:val="0"/>
                    <w:keepLines w:val="0"/>
                    <w:widowControl/>
                    <w:suppressLineNumbers w:val="0"/>
                    <w:jc w:val="center"/>
                    <w:textAlignment w:val="auto"/>
                    <w:rPr>
                      <w:rFonts w:hint="default" w:ascii="Times New Roman" w:hAnsi="宋体" w:eastAsia="宋体" w:cs="Times New Roman"/>
                      <w:i w:val="0"/>
                      <w:iCs w:val="0"/>
                      <w:kern w:val="2"/>
                      <w:sz w:val="21"/>
                      <w:szCs w:val="21"/>
                      <w:u w:val="none"/>
                      <w:lang w:val="en-US" w:eastAsia="zh-CN" w:bidi="ar"/>
                    </w:rPr>
                  </w:pPr>
                  <w:r>
                    <w:rPr>
                      <w:rFonts w:hint="eastAsia" w:hAnsi="宋体" w:cs="Times New Roman"/>
                      <w:i w:val="0"/>
                      <w:iCs w:val="0"/>
                      <w:kern w:val="2"/>
                      <w:sz w:val="21"/>
                      <w:szCs w:val="21"/>
                      <w:u w:val="none"/>
                      <w:lang w:val="en-US" w:eastAsia="zh-CN" w:bidi="ar"/>
                    </w:rPr>
                    <w:t>200g/片</w:t>
                  </w:r>
                </w:p>
              </w:tc>
              <w:tc>
                <w:tcPr>
                  <w:tcW w:w="1575" w:type="dxa"/>
                  <w:vAlign w:val="center"/>
                </w:tcPr>
                <w:p w14:paraId="7920660F">
                  <w:pPr>
                    <w:keepNext w:val="0"/>
                    <w:keepLines w:val="0"/>
                    <w:widowControl/>
                    <w:suppressLineNumbers w:val="0"/>
                    <w:jc w:val="center"/>
                    <w:textAlignment w:val="auto"/>
                    <w:rPr>
                      <w:rFonts w:hint="default" w:ascii="Times New Roman" w:hAnsi="宋体" w:eastAsia="宋体" w:cs="Times New Roman"/>
                      <w:i w:val="0"/>
                      <w:iCs w:val="0"/>
                      <w:kern w:val="2"/>
                      <w:sz w:val="21"/>
                      <w:szCs w:val="21"/>
                      <w:u w:val="none"/>
                      <w:lang w:val="en-US" w:eastAsia="zh-CN" w:bidi="ar"/>
                    </w:rPr>
                  </w:pPr>
                  <w:r>
                    <w:rPr>
                      <w:rFonts w:hint="eastAsia" w:hAnsi="宋体" w:cs="Times New Roman"/>
                      <w:i w:val="0"/>
                      <w:iCs w:val="0"/>
                      <w:kern w:val="2"/>
                      <w:sz w:val="21"/>
                      <w:szCs w:val="21"/>
                      <w:u w:val="none"/>
                      <w:lang w:val="en-US" w:eastAsia="zh-CN" w:bidi="ar"/>
                    </w:rPr>
                    <w:t>216片</w:t>
                  </w:r>
                </w:p>
              </w:tc>
              <w:tc>
                <w:tcPr>
                  <w:tcW w:w="2257" w:type="dxa"/>
                  <w:vAlign w:val="center"/>
                </w:tcPr>
                <w:p w14:paraId="6562BEA5">
                  <w:pPr>
                    <w:keepNext w:val="0"/>
                    <w:keepLines w:val="0"/>
                    <w:widowControl/>
                    <w:suppressLineNumbers w:val="0"/>
                    <w:jc w:val="center"/>
                    <w:textAlignment w:val="auto"/>
                    <w:rPr>
                      <w:rFonts w:hint="default" w:ascii="Times New Roman" w:hAnsi="宋体" w:eastAsia="宋体" w:cs="Times New Roman"/>
                      <w:i w:val="0"/>
                      <w:iCs w:val="0"/>
                      <w:kern w:val="2"/>
                      <w:sz w:val="21"/>
                      <w:szCs w:val="21"/>
                      <w:u w:val="none"/>
                      <w:lang w:val="en-US" w:eastAsia="zh-CN" w:bidi="ar"/>
                    </w:rPr>
                  </w:pPr>
                  <w:r>
                    <w:rPr>
                      <w:rFonts w:hint="eastAsia" w:hAnsi="宋体" w:cs="Times New Roman"/>
                      <w:i w:val="0"/>
                      <w:iCs w:val="0"/>
                      <w:kern w:val="2"/>
                      <w:sz w:val="21"/>
                      <w:szCs w:val="21"/>
                      <w:u w:val="none"/>
                      <w:lang w:val="en-US" w:eastAsia="zh-CN" w:bidi="ar"/>
                    </w:rPr>
                    <w:t>21片</w:t>
                  </w:r>
                </w:p>
              </w:tc>
            </w:tr>
          </w:tbl>
          <w:p w14:paraId="0824D87E">
            <w:pPr>
              <w:pStyle w:val="3"/>
              <w:rPr>
                <w:rFonts w:hint="default" w:ascii="Times New Roman" w:hAnsi="Times New Roman" w:cs="Times New Roman"/>
                <w:color w:val="auto"/>
                <w:highlight w:val="none"/>
              </w:rPr>
            </w:pPr>
            <w:r>
              <w:rPr>
                <w:rFonts w:hint="default" w:ascii="Times New Roman" w:hAnsi="Times New Roman" w:cs="Times New Roman"/>
                <w:color w:val="auto"/>
                <w:highlight w:val="none"/>
              </w:rPr>
              <w:t>给排水</w:t>
            </w:r>
            <w:bookmarkEnd w:id="55"/>
            <w:bookmarkEnd w:id="56"/>
          </w:p>
          <w:p w14:paraId="28764F69">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rPr>
                <w:rFonts w:hint="default" w:ascii="Times New Roman" w:hAnsi="Times New Roman" w:cs="Times New Roman"/>
                <w:b/>
                <w:bCs w:val="0"/>
                <w:color w:val="auto"/>
                <w:szCs w:val="32"/>
                <w:highlight w:val="none"/>
              </w:rPr>
            </w:pPr>
            <w:r>
              <w:rPr>
                <w:rFonts w:hint="default" w:ascii="Times New Roman" w:hAnsi="Times New Roman" w:cs="Times New Roman"/>
                <w:b/>
                <w:bCs w:val="0"/>
                <w:color w:val="auto"/>
                <w:szCs w:val="32"/>
                <w:highlight w:val="none"/>
                <w:lang w:val="en-US" w:eastAsia="zh-CN"/>
              </w:rPr>
              <w:t xml:space="preserve">2.6.1 给水工程 </w:t>
            </w:r>
          </w:p>
          <w:p w14:paraId="078F20CA">
            <w:pPr>
              <w:adjustRightInd w:val="0"/>
              <w:snapToGrid w:val="0"/>
              <w:spacing w:line="360" w:lineRule="auto"/>
              <w:ind w:firstLine="480" w:firstLineChars="200"/>
              <w:rPr>
                <w:rFonts w:hint="default" w:ascii="Times New Roman" w:hAnsi="Times New Roman" w:cs="Times New Roman"/>
                <w:bCs/>
                <w:color w:val="auto"/>
                <w:szCs w:val="32"/>
                <w:highlight w:val="none"/>
                <w:lang w:val="en-US" w:eastAsia="zh-CN"/>
              </w:rPr>
            </w:pPr>
            <w:r>
              <w:rPr>
                <w:rFonts w:hint="eastAsia" w:cs="Times New Roman"/>
                <w:bCs/>
                <w:color w:val="auto"/>
                <w:szCs w:val="32"/>
                <w:highlight w:val="none"/>
                <w:lang w:val="en-US" w:eastAsia="zh-CN"/>
              </w:rPr>
              <w:t>本</w:t>
            </w:r>
            <w:r>
              <w:rPr>
                <w:rFonts w:hint="default" w:ascii="Times New Roman" w:hAnsi="Times New Roman" w:cs="Times New Roman"/>
                <w:bCs/>
                <w:color w:val="auto"/>
                <w:szCs w:val="32"/>
                <w:highlight w:val="none"/>
                <w:lang w:val="en-US" w:eastAsia="zh-CN"/>
              </w:rPr>
              <w:t>项目用水为</w:t>
            </w:r>
            <w:r>
              <w:rPr>
                <w:rFonts w:hint="default" w:ascii="Times New Roman" w:hAnsi="Times New Roman" w:cs="Times New Roman"/>
                <w:bCs/>
                <w:color w:val="auto"/>
                <w:szCs w:val="32"/>
                <w:highlight w:val="none"/>
              </w:rPr>
              <w:t>员工</w:t>
            </w:r>
            <w:r>
              <w:rPr>
                <w:rFonts w:hint="default" w:ascii="Times New Roman" w:hAnsi="Times New Roman" w:cs="Times New Roman"/>
                <w:bCs/>
                <w:color w:val="auto"/>
                <w:szCs w:val="32"/>
                <w:highlight w:val="none"/>
                <w:lang w:val="en-US" w:eastAsia="zh-CN"/>
              </w:rPr>
              <w:t>生活用水</w:t>
            </w:r>
            <w:r>
              <w:rPr>
                <w:rFonts w:hint="eastAsia" w:cs="Times New Roman"/>
                <w:bCs/>
                <w:color w:val="auto"/>
                <w:szCs w:val="32"/>
                <w:highlight w:val="none"/>
                <w:lang w:val="en-US" w:eastAsia="zh-CN"/>
              </w:rPr>
              <w:t>、宠物美容用水、宠物医疗用水和（实验）化验用水</w:t>
            </w:r>
            <w:r>
              <w:rPr>
                <w:rFonts w:hint="default" w:ascii="Times New Roman" w:hAnsi="Times New Roman" w:cs="Times New Roman"/>
                <w:bCs/>
                <w:color w:val="auto"/>
                <w:szCs w:val="32"/>
                <w:highlight w:val="none"/>
                <w:lang w:val="en-US" w:eastAsia="zh-CN"/>
              </w:rPr>
              <w:t>。</w:t>
            </w:r>
          </w:p>
          <w:p w14:paraId="650EE2EC">
            <w:pPr>
              <w:pStyle w:val="6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 xml:space="preserve">2.6.2 排水工程 </w:t>
            </w:r>
          </w:p>
          <w:p w14:paraId="7D7FF14F">
            <w:pPr>
              <w:pStyle w:val="6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本项目运营过程中产生的宠物美容废水、宠物医疗</w:t>
            </w:r>
            <w:r>
              <w:rPr>
                <w:rFonts w:hint="eastAsia" w:ascii="Times New Roman" w:hAnsi="Times New Roman" w:eastAsia="宋体" w:cs="Times New Roman"/>
                <w:color w:val="000000" w:themeColor="text1"/>
                <w:highlight w:val="none"/>
                <w14:textFill>
                  <w14:solidFill>
                    <w14:schemeClr w14:val="tx1"/>
                  </w14:solidFill>
                </w14:textFill>
              </w:rPr>
              <w:t>废水</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和（实验）化验废水（检验设备头道清洗废水作危废处理，不外排）</w:t>
            </w:r>
            <w:r>
              <w:rPr>
                <w:rFonts w:hint="default" w:ascii="Times New Roman" w:hAnsi="Times New Roman" w:eastAsia="宋体" w:cs="Times New Roman"/>
                <w:color w:val="000000" w:themeColor="text1"/>
                <w:highlight w:val="none"/>
                <w:lang w:val="en-US" w:eastAsia="zh-CN"/>
                <w14:textFill>
                  <w14:solidFill>
                    <w14:schemeClr w14:val="tx1"/>
                  </w14:solidFill>
                </w14:textFill>
              </w:rPr>
              <w:t>经</w:t>
            </w:r>
            <w:r>
              <w:rPr>
                <w:rFonts w:hint="eastAsia" w:ascii="Times New Roman" w:hAnsi="Times New Roman" w:eastAsia="宋体" w:cs="Times New Roman"/>
                <w:color w:val="000000" w:themeColor="text1"/>
                <w:highlight w:val="none"/>
                <w:lang w:val="en-US" w:eastAsia="zh-CN"/>
                <w14:textFill>
                  <w14:solidFill>
                    <w14:schemeClr w14:val="tx1"/>
                  </w14:solidFill>
                </w14:textFill>
              </w:rPr>
              <w:t>配套的消毒设备消毒后</w:t>
            </w:r>
            <w:r>
              <w:rPr>
                <w:rFonts w:hint="default" w:ascii="Times New Roman" w:hAnsi="Times New Roman" w:eastAsia="宋体" w:cs="Times New Roman"/>
                <w:color w:val="000000" w:themeColor="text1"/>
                <w:highlight w:val="none"/>
                <w:lang w:val="en-US" w:eastAsia="zh-CN"/>
                <w14:textFill>
                  <w14:solidFill>
                    <w14:schemeClr w14:val="tx1"/>
                  </w14:solidFill>
                </w14:textFill>
              </w:rPr>
              <w:t>与生活污水</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合并排放</w:t>
            </w:r>
            <w:r>
              <w:rPr>
                <w:rFonts w:hint="default" w:ascii="Times New Roman" w:hAnsi="Times New Roman" w:eastAsia="宋体" w:cs="Times New Roman"/>
                <w:color w:val="000000" w:themeColor="text1"/>
                <w:highlight w:val="none"/>
                <w:lang w:val="en-US" w:eastAsia="zh-CN"/>
                <w14:textFill>
                  <w14:solidFill>
                    <w14:schemeClr w14:val="tx1"/>
                  </w14:solidFill>
                </w14:textFill>
              </w:rPr>
              <w:t>化粪池</w:t>
            </w:r>
            <w:r>
              <w:rPr>
                <w:rFonts w:hint="eastAsia" w:ascii="Times New Roman" w:hAnsi="Times New Roman" w:eastAsia="宋体" w:cs="Times New Roman"/>
                <w:color w:val="000000" w:themeColor="text1"/>
                <w:highlight w:val="none"/>
                <w:lang w:val="en-US" w:eastAsia="zh-CN"/>
                <w14:textFill>
                  <w14:solidFill>
                    <w14:schemeClr w14:val="tx1"/>
                  </w14:solidFill>
                </w14:textFill>
              </w:rPr>
              <w:t>经市政污水管网</w:t>
            </w:r>
            <w:r>
              <w:rPr>
                <w:rFonts w:hint="default" w:ascii="Times New Roman" w:hAnsi="Times New Roman" w:eastAsia="宋体" w:cs="Times New Roman"/>
                <w:color w:val="000000" w:themeColor="text1"/>
                <w:highlight w:val="none"/>
                <w:lang w:val="en-US" w:eastAsia="zh-CN"/>
                <w14:textFill>
                  <w14:solidFill>
                    <w14:schemeClr w14:val="tx1"/>
                  </w14:solidFill>
                </w14:textFill>
              </w:rPr>
              <w:t>统一纳入</w:t>
            </w:r>
            <w:r>
              <w:rPr>
                <w:rFonts w:hint="eastAsia" w:ascii="Times New Roman" w:hAnsi="Times New Roman" w:eastAsia="宋体" w:cs="Times New Roman"/>
                <w:color w:val="000000" w:themeColor="text1"/>
                <w:highlight w:val="none"/>
                <w:lang w:val="en-US" w:eastAsia="zh-CN"/>
                <w14:textFill>
                  <w14:solidFill>
                    <w14:schemeClr w14:val="tx1"/>
                  </w14:solidFill>
                </w14:textFill>
              </w:rPr>
              <w:t>洋里污水处理厂</w:t>
            </w: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p>
          <w:p w14:paraId="750A1A05">
            <w:pPr>
              <w:pStyle w:val="60"/>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 xml:space="preserve">2.6.3 水平衡 </w:t>
            </w:r>
          </w:p>
          <w:p w14:paraId="40E40CD1">
            <w:pPr>
              <w:pStyle w:val="60"/>
              <w:keepNext w:val="0"/>
              <w:keepLines w:val="0"/>
              <w:pageBreakBefore w:val="0"/>
              <w:widowControl w:val="0"/>
              <w:kinsoku/>
              <w:wordWrap w:val="0"/>
              <w:overflowPunct/>
              <w:topLinePunct w:val="0"/>
              <w:autoSpaceDE/>
              <w:autoSpaceDN/>
              <w:bidi w:val="0"/>
              <w:adjustRightInd/>
              <w:snapToGrid/>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（1）生活用水 </w:t>
            </w:r>
          </w:p>
          <w:p w14:paraId="5535748D">
            <w:pPr>
              <w:pStyle w:val="60"/>
              <w:keepNext w:val="0"/>
              <w:keepLines w:val="0"/>
              <w:pageBreakBefore w:val="0"/>
              <w:widowControl w:val="0"/>
              <w:kinsoku/>
              <w:wordWrap w:val="0"/>
              <w:overflowPunct/>
              <w:topLinePunct w:val="0"/>
              <w:autoSpaceDE/>
              <w:autoSpaceDN/>
              <w:bidi w:val="0"/>
              <w:adjustRightInd/>
              <w:snapToGrid/>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auto"/>
                <w:highlight w:val="none"/>
                <w:lang w:val="en-US" w:eastAsia="zh-CN"/>
              </w:rPr>
              <w:t>根</w:t>
            </w:r>
            <w:r>
              <w:rPr>
                <w:rFonts w:hint="default" w:ascii="Times New Roman" w:hAnsi="Times New Roman" w:eastAsia="宋体" w:cs="Times New Roman"/>
                <w:color w:val="000000" w:themeColor="text1"/>
                <w:highlight w:val="none"/>
                <w:lang w:val="en-US" w:eastAsia="zh-CN"/>
                <w14:textFill>
                  <w14:solidFill>
                    <w14:schemeClr w14:val="tx1"/>
                  </w14:solidFill>
                </w14:textFill>
              </w:rPr>
              <w:t>据《建筑给排水设计规范》（GB50015-2003）中的指标计算，不住宿员工平均用水定额为50L/人·d</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。医院</w:t>
            </w:r>
            <w:r>
              <w:rPr>
                <w:rFonts w:hint="default" w:ascii="Times New Roman" w:hAnsi="Times New Roman" w:eastAsia="宋体" w:cs="Times New Roman"/>
                <w:color w:val="000000" w:themeColor="text1"/>
                <w:highlight w:val="none"/>
                <w:lang w:val="en-US" w:eastAsia="zh-CN"/>
                <w14:textFill>
                  <w14:solidFill>
                    <w14:schemeClr w14:val="tx1"/>
                  </w14:solidFill>
                </w14:textFill>
              </w:rPr>
              <w:t>员工人数</w:t>
            </w:r>
            <w:r>
              <w:rPr>
                <w:rFonts w:hint="eastAsia" w:ascii="Times New Roman" w:hAnsi="Times New Roman" w:eastAsia="宋体" w:cs="Times New Roman"/>
                <w:color w:val="000000" w:themeColor="text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highlight w:val="none"/>
                <w:lang w:val="en-US" w:eastAsia="zh-CN"/>
                <w14:textFill>
                  <w14:solidFill>
                    <w14:schemeClr w14:val="tx1"/>
                  </w14:solidFill>
                </w14:textFill>
              </w:rPr>
              <w:t>人，均不在院内食宿，则项目生活用水量约</w:t>
            </w:r>
            <w:r>
              <w:rPr>
                <w:rFonts w:hint="eastAsia" w:ascii="Times New Roman" w:hAnsi="Times New Roman" w:eastAsia="宋体" w:cs="Times New Roman"/>
                <w:color w:val="000000" w:themeColor="text1"/>
                <w:highlight w:val="none"/>
                <w:lang w:val="en-US" w:eastAsia="zh-CN"/>
                <w14:textFill>
                  <w14:solidFill>
                    <w14:schemeClr w14:val="tx1"/>
                  </w14:solidFill>
                </w14:textFill>
              </w:rPr>
              <w:t>0.25</w:t>
            </w:r>
            <w:r>
              <w:rPr>
                <w:rFonts w:hint="default" w:ascii="Times New Roman" w:hAnsi="Times New Roman" w:eastAsia="宋体" w:cs="Times New Roman"/>
                <w:color w:val="000000" w:themeColor="text1"/>
                <w:highlight w:val="none"/>
                <w:lang w:val="en-US" w:eastAsia="zh-CN"/>
                <w14:textFill>
                  <w14:solidFill>
                    <w14:schemeClr w14:val="tx1"/>
                  </w14:solidFill>
                </w14:textFill>
              </w:rPr>
              <w:t>t/d（</w:t>
            </w:r>
            <w:r>
              <w:rPr>
                <w:rFonts w:hint="eastAsia" w:ascii="Times New Roman" w:hAnsi="Times New Roman" w:eastAsia="宋体" w:cs="Times New Roman"/>
                <w:color w:val="000000" w:themeColor="text1"/>
                <w:highlight w:val="none"/>
                <w:lang w:val="en-US" w:eastAsia="zh-CN"/>
                <w14:textFill>
                  <w14:solidFill>
                    <w14:schemeClr w14:val="tx1"/>
                  </w14:solidFill>
                </w14:textFill>
              </w:rPr>
              <w:t>90</w:t>
            </w:r>
            <w:r>
              <w:rPr>
                <w:rFonts w:hint="default" w:ascii="Times New Roman" w:hAnsi="Times New Roman" w:eastAsia="宋体" w:cs="Times New Roman"/>
                <w:color w:val="000000" w:themeColor="text1"/>
                <w:highlight w:val="none"/>
                <w:lang w:val="en-US" w:eastAsia="zh-CN"/>
                <w14:textFill>
                  <w14:solidFill>
                    <w14:schemeClr w14:val="tx1"/>
                  </w14:solidFill>
                </w14:textFill>
              </w:rPr>
              <w:t>t/a），排污系数取0.9，生活污水量为</w:t>
            </w:r>
            <w:r>
              <w:rPr>
                <w:rFonts w:hint="eastAsia" w:ascii="Times New Roman" w:hAnsi="Times New Roman" w:eastAsia="宋体" w:cs="Times New Roman"/>
                <w:color w:val="000000" w:themeColor="text1"/>
                <w:highlight w:val="none"/>
                <w:lang w:val="en-US" w:eastAsia="zh-CN"/>
                <w14:textFill>
                  <w14:solidFill>
                    <w14:schemeClr w14:val="tx1"/>
                  </w14:solidFill>
                </w14:textFill>
              </w:rPr>
              <w:t>0.23</w:t>
            </w:r>
            <w:r>
              <w:rPr>
                <w:rFonts w:hint="default" w:ascii="Times New Roman" w:hAnsi="Times New Roman" w:eastAsia="宋体" w:cs="Times New Roman"/>
                <w:color w:val="000000" w:themeColor="text1"/>
                <w:highlight w:val="none"/>
                <w:lang w:val="en-US" w:eastAsia="zh-CN"/>
                <w14:textFill>
                  <w14:solidFill>
                    <w14:schemeClr w14:val="tx1"/>
                  </w14:solidFill>
                </w14:textFill>
              </w:rPr>
              <w:t>t/d（</w:t>
            </w:r>
            <w:r>
              <w:rPr>
                <w:rFonts w:hint="eastAsia" w:ascii="Times New Roman" w:hAnsi="Times New Roman" w:eastAsia="宋体" w:cs="Times New Roman"/>
                <w:color w:val="000000" w:themeColor="text1"/>
                <w:highlight w:val="none"/>
                <w:lang w:val="en-US" w:eastAsia="zh-CN"/>
                <w14:textFill>
                  <w14:solidFill>
                    <w14:schemeClr w14:val="tx1"/>
                  </w14:solidFill>
                </w14:textFill>
              </w:rPr>
              <w:t>81</w:t>
            </w:r>
            <w:r>
              <w:rPr>
                <w:rFonts w:hint="default" w:ascii="Times New Roman" w:hAnsi="Times New Roman" w:eastAsia="宋体" w:cs="Times New Roman"/>
                <w:color w:val="000000" w:themeColor="text1"/>
                <w:highlight w:val="none"/>
                <w:lang w:val="en-US" w:eastAsia="zh-CN"/>
                <w14:textFill>
                  <w14:solidFill>
                    <w14:schemeClr w14:val="tx1"/>
                  </w14:solidFill>
                </w14:textFill>
              </w:rPr>
              <w:t>t/a）。</w:t>
            </w:r>
          </w:p>
          <w:p w14:paraId="2B7BA213">
            <w:pPr>
              <w:pStyle w:val="60"/>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宠物美容用水</w:t>
            </w:r>
          </w:p>
          <w:p w14:paraId="78CB3D37">
            <w:pPr>
              <w:pStyle w:val="490"/>
              <w:ind w:firstLine="480"/>
              <w:rPr>
                <w:color w:val="0000FF"/>
                <w:highlight w:val="none"/>
              </w:rPr>
            </w:pPr>
            <w:r>
              <w:rPr>
                <w:color w:val="000000" w:themeColor="text1"/>
                <w:highlight w:val="none"/>
                <w14:textFill>
                  <w14:solidFill>
                    <w14:schemeClr w14:val="tx1"/>
                  </w14:solidFill>
                </w14:textFill>
              </w:rPr>
              <w:t>本次环评宠物美容清洗用水参考《</w:t>
            </w:r>
            <w:r>
              <w:rPr>
                <w:rFonts w:hint="eastAsia"/>
                <w:color w:val="000000" w:themeColor="text1"/>
                <w:highlight w:val="none"/>
                <w:lang w:eastAsia="zh-CN"/>
                <w14:textFill>
                  <w14:solidFill>
                    <w14:schemeClr w14:val="tx1"/>
                  </w14:solidFill>
                </w14:textFill>
              </w:rPr>
              <w:t>福州市晋安区恒美宠物医院项目</w:t>
            </w:r>
            <w:r>
              <w:rPr>
                <w:color w:val="000000" w:themeColor="text1"/>
                <w:highlight w:val="none"/>
                <w14:textFill>
                  <w14:solidFill>
                    <w14:schemeClr w14:val="tx1"/>
                  </w14:solidFill>
                </w14:textFill>
              </w:rPr>
              <w:t>竣工环境保护验收监测报告》</w:t>
            </w:r>
            <w:r>
              <w:rPr>
                <w:rFonts w:hint="eastAsia"/>
                <w:color w:val="000000" w:themeColor="text1"/>
                <w:highlight w:val="none"/>
                <w:lang w:eastAsia="zh-CN"/>
                <w14:textFill>
                  <w14:solidFill>
                    <w14:schemeClr w14:val="tx1"/>
                  </w14:solidFill>
                </w14:textFill>
              </w:rPr>
              <w:t>（2024年</w:t>
            </w:r>
            <w:r>
              <w:rPr>
                <w:rFonts w:hint="eastAsia"/>
                <w:color w:val="000000" w:themeColor="text1"/>
                <w:highlight w:val="none"/>
                <w:lang w:val="en-US" w:eastAsia="zh-CN"/>
                <w14:textFill>
                  <w14:solidFill>
                    <w14:schemeClr w14:val="tx1"/>
                  </w14:solidFill>
                </w14:textFill>
              </w:rPr>
              <w:t>7</w:t>
            </w:r>
            <w:r>
              <w:rPr>
                <w:rFonts w:hint="eastAsia"/>
                <w:color w:val="000000" w:themeColor="text1"/>
                <w:highlight w:val="none"/>
                <w:lang w:eastAsia="zh-CN"/>
                <w14:textFill>
                  <w14:solidFill>
                    <w14:schemeClr w14:val="tx1"/>
                  </w14:solidFill>
                </w14:textFill>
              </w:rPr>
              <w:t>月）</w:t>
            </w:r>
            <w:r>
              <w:rPr>
                <w:color w:val="000000" w:themeColor="text1"/>
                <w:highlight w:val="none"/>
                <w14:textFill>
                  <w14:solidFill>
                    <w14:schemeClr w14:val="tx1"/>
                  </w14:solidFill>
                </w14:textFill>
              </w:rPr>
              <w:t>中项目运营期实际用水情况。</w:t>
            </w:r>
            <w:r>
              <w:rPr>
                <w:rFonts w:hint="eastAsia"/>
                <w:color w:val="000000" w:themeColor="text1"/>
                <w:highlight w:val="none"/>
                <w:lang w:val="en-US" w:eastAsia="zh-CN"/>
                <w14:textFill>
                  <w14:solidFill>
                    <w14:schemeClr w14:val="tx1"/>
                  </w14:solidFill>
                </w14:textFill>
              </w:rPr>
              <w:t>此</w:t>
            </w:r>
            <w:r>
              <w:rPr>
                <w:color w:val="000000" w:themeColor="text1"/>
                <w:highlight w:val="none"/>
                <w14:textFill>
                  <w14:solidFill>
                    <w14:schemeClr w14:val="tx1"/>
                  </w14:solidFill>
                </w14:textFill>
              </w:rPr>
              <w:t>项目日接待</w:t>
            </w:r>
            <w:r>
              <w:rPr>
                <w:rFonts w:hint="eastAsia"/>
                <w:color w:val="000000" w:themeColor="text1"/>
                <w:highlight w:val="none"/>
                <w:lang w:val="en-US" w:eastAsia="zh-CN"/>
                <w14:textFill>
                  <w14:solidFill>
                    <w14:schemeClr w14:val="tx1"/>
                  </w14:solidFill>
                </w14:textFill>
              </w:rPr>
              <w:t>10只</w:t>
            </w:r>
            <w:r>
              <w:rPr>
                <w:color w:val="000000" w:themeColor="text1"/>
                <w:highlight w:val="none"/>
                <w14:textFill>
                  <w14:solidFill>
                    <w14:schemeClr w14:val="tx1"/>
                  </w14:solidFill>
                </w14:textFill>
              </w:rPr>
              <w:t>美容宠物，年</w:t>
            </w:r>
            <w:r>
              <w:rPr>
                <w:rFonts w:hint="eastAsia"/>
                <w:color w:val="000000" w:themeColor="text1"/>
                <w:highlight w:val="none"/>
                <w:lang w:val="en-US" w:eastAsia="zh-CN"/>
                <w14:textFill>
                  <w14:solidFill>
                    <w14:schemeClr w14:val="tx1"/>
                  </w14:solidFill>
                </w14:textFill>
              </w:rPr>
              <w:t>营业</w:t>
            </w:r>
            <w:r>
              <w:rPr>
                <w:color w:val="000000" w:themeColor="text1"/>
                <w:highlight w:val="none"/>
                <w14:textFill>
                  <w14:solidFill>
                    <w14:schemeClr w14:val="tx1"/>
                  </w14:solidFill>
                </w14:textFill>
              </w:rPr>
              <w:t>36</w:t>
            </w:r>
            <w:r>
              <w:rPr>
                <w:rFonts w:hint="eastAsia"/>
                <w:color w:val="000000" w:themeColor="text1"/>
                <w:highlight w:val="none"/>
                <w:lang w:val="en-US" w:eastAsia="zh-CN"/>
                <w14:textFill>
                  <w14:solidFill>
                    <w14:schemeClr w14:val="tx1"/>
                  </w14:solidFill>
                </w14:textFill>
              </w:rPr>
              <w:t>0</w:t>
            </w:r>
            <w:r>
              <w:rPr>
                <w:color w:val="000000" w:themeColor="text1"/>
                <w:highlight w:val="none"/>
                <w14:textFill>
                  <w14:solidFill>
                    <w14:schemeClr w14:val="tx1"/>
                  </w14:solidFill>
                </w14:textFill>
              </w:rPr>
              <w:t>天，每天12小时，美容清洗用水为</w:t>
            </w:r>
            <w:r>
              <w:rPr>
                <w:rFonts w:hint="eastAsia"/>
                <w:color w:val="000000" w:themeColor="text1"/>
                <w:highlight w:val="none"/>
                <w:lang w:val="en-US" w:eastAsia="zh-CN"/>
                <w14:textFill>
                  <w14:solidFill>
                    <w14:schemeClr w14:val="tx1"/>
                  </w14:solidFill>
                </w14:textFill>
              </w:rPr>
              <w:t>216t</w:t>
            </w:r>
            <w:r>
              <w:rPr>
                <w:color w:val="000000" w:themeColor="text1"/>
                <w:highlight w:val="none"/>
                <w14:textFill>
                  <w14:solidFill>
                    <w14:schemeClr w14:val="tx1"/>
                  </w14:solidFill>
                </w14:textFill>
              </w:rPr>
              <w:t>/a，则宠物美容清洗用水约60L/</w:t>
            </w:r>
            <w:r>
              <w:rPr>
                <w:rFonts w:hint="eastAsia"/>
                <w:color w:val="000000" w:themeColor="text1"/>
                <w:highlight w:val="none"/>
                <w:lang w:val="en-US" w:eastAsia="zh-CN"/>
                <w14:textFill>
                  <w14:solidFill>
                    <w14:schemeClr w14:val="tx1"/>
                  </w14:solidFill>
                </w14:textFill>
              </w:rPr>
              <w:t>只</w:t>
            </w:r>
            <w:r>
              <w:rPr>
                <w:color w:val="000000" w:themeColor="text1"/>
                <w:highlight w:val="none"/>
                <w14:textFill>
                  <w14:solidFill>
                    <w14:schemeClr w14:val="tx1"/>
                  </w14:solidFill>
                </w14:textFill>
              </w:rPr>
              <w:t>。</w:t>
            </w:r>
          </w:p>
          <w:p w14:paraId="7D6D9557">
            <w:pPr>
              <w:pStyle w:val="490"/>
              <w:ind w:firstLine="48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w:t>
            </w:r>
            <w:r>
              <w:rPr>
                <w:rFonts w:hint="eastAsia"/>
                <w:color w:val="000000" w:themeColor="text1"/>
                <w:highlight w:val="none"/>
                <w:lang w:eastAsia="zh-CN"/>
                <w14:textFill>
                  <w14:solidFill>
                    <w14:schemeClr w14:val="tx1"/>
                  </w14:solidFill>
                </w14:textFill>
              </w:rPr>
              <w:t>项目</w:t>
            </w:r>
            <w:r>
              <w:rPr>
                <w:color w:val="000000" w:themeColor="text1"/>
                <w:highlight w:val="none"/>
                <w14:textFill>
                  <w14:solidFill>
                    <w14:schemeClr w14:val="tx1"/>
                  </w14:solidFill>
                </w14:textFill>
              </w:rPr>
              <w:t>建成</w:t>
            </w:r>
            <w:r>
              <w:rPr>
                <w:rFonts w:hint="eastAsia"/>
                <w:color w:val="000000" w:themeColor="text1"/>
                <w:highlight w:val="none"/>
                <w:lang w:val="en-US" w:eastAsia="zh-CN"/>
                <w14:textFill>
                  <w14:solidFill>
                    <w14:schemeClr w14:val="tx1"/>
                  </w14:solidFill>
                </w14:textFill>
              </w:rPr>
              <w:t>开始</w:t>
            </w:r>
            <w:r>
              <w:rPr>
                <w:color w:val="000000" w:themeColor="text1"/>
                <w:highlight w:val="none"/>
                <w14:textFill>
                  <w14:solidFill>
                    <w14:schemeClr w14:val="tx1"/>
                  </w14:solidFill>
                </w14:textFill>
              </w:rPr>
              <w:t>运营后拟</w:t>
            </w:r>
            <w:r>
              <w:rPr>
                <w:rFonts w:hint="eastAsia"/>
                <w:color w:val="000000" w:themeColor="text1"/>
                <w:highlight w:val="none"/>
                <w:lang w:val="en-US" w:eastAsia="zh-CN"/>
                <w14:textFill>
                  <w14:solidFill>
                    <w14:schemeClr w14:val="tx1"/>
                  </w14:solidFill>
                </w14:textFill>
              </w:rPr>
              <w:t>宠物</w:t>
            </w:r>
            <w:r>
              <w:rPr>
                <w:color w:val="000000" w:themeColor="text1"/>
                <w:highlight w:val="none"/>
                <w14:textFill>
                  <w14:solidFill>
                    <w14:schemeClr w14:val="tx1"/>
                  </w14:solidFill>
                </w14:textFill>
              </w:rPr>
              <w:t>美容清洗</w:t>
            </w:r>
            <w:r>
              <w:rPr>
                <w:rFonts w:hint="eastAsia"/>
                <w:color w:val="000000" w:themeColor="text1"/>
                <w:highlight w:val="none"/>
                <w:lang w:val="en-US" w:eastAsia="zh-CN"/>
                <w14:textFill>
                  <w14:solidFill>
                    <w14:schemeClr w14:val="tx1"/>
                  </w14:solidFill>
                </w14:textFill>
              </w:rPr>
              <w:t>约10只</w:t>
            </w:r>
            <w:r>
              <w:rPr>
                <w:color w:val="000000" w:themeColor="text1"/>
                <w:highlight w:val="none"/>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年营业</w:t>
            </w:r>
            <w:r>
              <w:rPr>
                <w:rFonts w:hint="default"/>
                <w:color w:val="000000" w:themeColor="text1"/>
                <w:highlight w:val="none"/>
                <w:lang w:val="en-US"/>
                <w14:textFill>
                  <w14:solidFill>
                    <w14:schemeClr w14:val="tx1"/>
                  </w14:solidFill>
                </w14:textFill>
              </w:rPr>
              <w:t>36</w:t>
            </w:r>
            <w:r>
              <w:rPr>
                <w:rFonts w:hint="default"/>
                <w:color w:val="000000" w:themeColor="text1"/>
                <w:highlight w:val="none"/>
                <w:lang w:val="en-US" w:eastAsia="zh-CN"/>
                <w14:textFill>
                  <w14:solidFill>
                    <w14:schemeClr w14:val="tx1"/>
                  </w14:solidFill>
                </w14:textFill>
              </w:rPr>
              <w:t>0</w:t>
            </w:r>
            <w:r>
              <w:rPr>
                <w:color w:val="000000" w:themeColor="text1"/>
                <w:highlight w:val="none"/>
                <w14:textFill>
                  <w14:solidFill>
                    <w14:schemeClr w14:val="tx1"/>
                  </w14:solidFill>
                </w14:textFill>
              </w:rPr>
              <w:t>天，则宠物美容清洗用水量约0.</w:t>
            </w:r>
            <w:r>
              <w:rPr>
                <w:rFonts w:hint="eastAsia"/>
                <w:color w:val="000000" w:themeColor="text1"/>
                <w:highlight w:val="none"/>
                <w:lang w:val="en-US" w:eastAsia="zh-CN"/>
                <w14:textFill>
                  <w14:solidFill>
                    <w14:schemeClr w14:val="tx1"/>
                  </w14:solidFill>
                </w14:textFill>
              </w:rPr>
              <w:t>60t</w:t>
            </w:r>
            <w:r>
              <w:rPr>
                <w:color w:val="000000" w:themeColor="text1"/>
                <w:highlight w:val="none"/>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216t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排污系数取0.9</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highlight w:val="none"/>
                <w:lang w:val="en-US" w:eastAsia="zh-CN"/>
                <w14:textFill>
                  <w14:solidFill>
                    <w14:schemeClr w14:val="tx1"/>
                  </w14:solidFill>
                </w14:textFill>
              </w:rPr>
              <w:t>则</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宠物美容废水</w:t>
            </w:r>
            <w:r>
              <w:rPr>
                <w:rFonts w:hint="default" w:ascii="Times New Roman" w:hAnsi="Times New Roman" w:eastAsia="宋体" w:cs="Times New Roman"/>
                <w:color w:val="000000" w:themeColor="text1"/>
                <w:highlight w:val="none"/>
                <w:lang w:val="en-US" w:eastAsia="zh-CN"/>
                <w14:textFill>
                  <w14:solidFill>
                    <w14:schemeClr w14:val="tx1"/>
                  </w14:solidFill>
                </w14:textFill>
              </w:rPr>
              <w:t>量</w:t>
            </w:r>
            <w:r>
              <w:rPr>
                <w:rFonts w:hint="eastAsia" w:cs="Times New Roman"/>
                <w:color w:val="000000" w:themeColor="text1"/>
                <w:highlight w:val="none"/>
                <w:lang w:val="en-US" w:eastAsia="zh-CN"/>
                <w14:textFill>
                  <w14:solidFill>
                    <w14:schemeClr w14:val="tx1"/>
                  </w14:solidFill>
                </w14:textFill>
              </w:rPr>
              <w:t>约为</w:t>
            </w:r>
            <w:r>
              <w:rPr>
                <w:color w:val="000000" w:themeColor="text1"/>
                <w:highlight w:val="none"/>
                <w14:textFill>
                  <w14:solidFill>
                    <w14:schemeClr w14:val="tx1"/>
                  </w14:solidFill>
                </w14:textFill>
              </w:rPr>
              <w:t>0.</w:t>
            </w:r>
            <w:r>
              <w:rPr>
                <w:rFonts w:hint="eastAsia"/>
                <w:color w:val="000000" w:themeColor="text1"/>
                <w:highlight w:val="none"/>
                <w:lang w:val="en-US" w:eastAsia="zh-CN"/>
                <w14:textFill>
                  <w14:solidFill>
                    <w14:schemeClr w14:val="tx1"/>
                  </w14:solidFill>
                </w14:textFill>
              </w:rPr>
              <w:t>54t</w:t>
            </w:r>
            <w:r>
              <w:rPr>
                <w:color w:val="000000" w:themeColor="text1"/>
                <w:highlight w:val="none"/>
                <w14:textFill>
                  <w14:solidFill>
                    <w14:schemeClr w14:val="tx1"/>
                  </w14:solidFill>
                </w14:textFill>
              </w:rPr>
              <w:t>/d（</w:t>
            </w:r>
            <w:r>
              <w:rPr>
                <w:rFonts w:hint="eastAsia"/>
                <w:color w:val="000000" w:themeColor="text1"/>
                <w:highlight w:val="none"/>
                <w:lang w:val="en-US" w:eastAsia="zh-CN"/>
                <w14:textFill>
                  <w14:solidFill>
                    <w14:schemeClr w14:val="tx1"/>
                  </w14:solidFill>
                </w14:textFill>
              </w:rPr>
              <w:t>194.40t</w:t>
            </w:r>
            <w:r>
              <w:rPr>
                <w:color w:val="000000" w:themeColor="text1"/>
                <w:highlight w:val="none"/>
                <w14:textFill>
                  <w14:solidFill>
                    <w14:schemeClr w14:val="tx1"/>
                  </w14:solidFill>
                </w14:textFill>
              </w:rPr>
              <w:t>/a）</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宠物美容废水</w:t>
            </w:r>
            <w:r>
              <w:rPr>
                <w:rFonts w:hint="eastAsia"/>
                <w:color w:val="000000" w:themeColor="text1"/>
                <w:highlight w:val="none"/>
                <w:lang w:eastAsia="zh-CN"/>
                <w14:textFill>
                  <w14:solidFill>
                    <w14:schemeClr w14:val="tx1"/>
                  </w14:solidFill>
                </w14:textFill>
              </w:rPr>
              <w:t>经</w:t>
            </w:r>
            <w:r>
              <w:rPr>
                <w:rFonts w:hint="eastAsia"/>
                <w:color w:val="000000" w:themeColor="text1"/>
                <w:highlight w:val="none"/>
                <w:lang w:val="en-US" w:eastAsia="zh-CN"/>
                <w14:textFill>
                  <w14:solidFill>
                    <w14:schemeClr w14:val="tx1"/>
                  </w14:solidFill>
                </w14:textFill>
              </w:rPr>
              <w:t>消毒设备消毒后排入</w:t>
            </w:r>
            <w:r>
              <w:rPr>
                <w:rFonts w:hint="eastAsia"/>
                <w:color w:val="000000" w:themeColor="text1"/>
                <w:highlight w:val="none"/>
                <w:lang w:eastAsia="zh-CN"/>
                <w14:textFill>
                  <w14:solidFill>
                    <w14:schemeClr w14:val="tx1"/>
                  </w14:solidFill>
                </w14:textFill>
              </w:rPr>
              <w:t>化粪池处理</w:t>
            </w:r>
            <w:r>
              <w:rPr>
                <w:rFonts w:hint="eastAsia"/>
                <w:color w:val="000000" w:themeColor="text1"/>
                <w:highlight w:val="none"/>
                <w:lang w:val="en-US" w:eastAsia="zh-CN"/>
                <w14:textFill>
                  <w14:solidFill>
                    <w14:schemeClr w14:val="tx1"/>
                  </w14:solidFill>
                </w14:textFill>
              </w:rPr>
              <w:t>经</w:t>
            </w:r>
            <w:r>
              <w:rPr>
                <w:rFonts w:hint="eastAsia"/>
                <w:color w:val="000000" w:themeColor="text1"/>
                <w:highlight w:val="none"/>
                <w:lang w:eastAsia="zh-CN"/>
                <w14:textFill>
                  <w14:solidFill>
                    <w14:schemeClr w14:val="tx1"/>
                  </w14:solidFill>
                </w14:textFill>
              </w:rPr>
              <w:t>市政污水管网</w:t>
            </w:r>
            <w:r>
              <w:rPr>
                <w:rFonts w:hint="eastAsia"/>
                <w:color w:val="000000" w:themeColor="text1"/>
                <w:highlight w:val="none"/>
                <w:lang w:val="en-US" w:eastAsia="zh-CN"/>
                <w14:textFill>
                  <w14:solidFill>
                    <w14:schemeClr w14:val="tx1"/>
                  </w14:solidFill>
                </w14:textFill>
              </w:rPr>
              <w:t>纳入</w:t>
            </w:r>
            <w:r>
              <w:rPr>
                <w:rFonts w:hint="eastAsia"/>
                <w:color w:val="000000" w:themeColor="text1"/>
                <w:highlight w:val="none"/>
                <w:lang w:eastAsia="zh-CN"/>
                <w14:textFill>
                  <w14:solidFill>
                    <w14:schemeClr w14:val="tx1"/>
                  </w14:solidFill>
                </w14:textFill>
              </w:rPr>
              <w:t>洋里污水处理厂。</w:t>
            </w:r>
          </w:p>
          <w:p w14:paraId="046B07CC">
            <w:pPr>
              <w:pStyle w:val="490"/>
              <w:ind w:firstLine="480"/>
              <w:rPr>
                <w:rFonts w:hint="default" w:eastAsia="宋体"/>
                <w:color w:val="000000" w:themeColor="text1"/>
                <w:highlight w:val="none"/>
                <w:lang w:val="en-US" w:eastAsia="zh-CN"/>
                <w14:textFill>
                  <w14:solidFill>
                    <w14:schemeClr w14:val="tx1"/>
                  </w14:solidFill>
                </w14:textFill>
              </w:rPr>
            </w:pPr>
            <w:r>
              <w:rPr>
                <w:color w:val="000000" w:themeColor="text1"/>
                <w:highlight w:val="none"/>
                <w14:textFill>
                  <w14:solidFill>
                    <w14:schemeClr w14:val="tx1"/>
                  </w14:solidFill>
                </w14:textFill>
              </w:rPr>
              <w:t>（3）</w:t>
            </w:r>
            <w:r>
              <w:rPr>
                <w:rFonts w:hint="eastAsia"/>
                <w:color w:val="000000" w:themeColor="text1"/>
                <w:highlight w:val="none"/>
                <w:lang w:val="en-US" w:eastAsia="zh-CN"/>
                <w14:textFill>
                  <w14:solidFill>
                    <w14:schemeClr w14:val="tx1"/>
                  </w14:solidFill>
                </w14:textFill>
              </w:rPr>
              <w:t>宠物医疗用水</w:t>
            </w:r>
          </w:p>
          <w:p w14:paraId="5662427B">
            <w:pPr>
              <w:pStyle w:val="490"/>
              <w:keepNext w:val="0"/>
              <w:keepLines w:val="0"/>
              <w:pageBreakBefore w:val="0"/>
              <w:widowControl w:val="0"/>
              <w:kinsoku/>
              <w:wordWrap/>
              <w:overflowPunct/>
              <w:topLinePunct w:val="0"/>
              <w:autoSpaceDE w:val="0"/>
              <w:autoSpaceDN w:val="0"/>
              <w:bidi w:val="0"/>
              <w:adjustRightInd w:val="0"/>
              <w:snapToGrid w:val="0"/>
              <w:ind w:firstLine="480"/>
              <w:textAlignment w:val="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本次环评宠物</w:t>
            </w:r>
            <w:r>
              <w:rPr>
                <w:rFonts w:hint="eastAsia"/>
                <w:color w:val="000000" w:themeColor="text1"/>
                <w:highlight w:val="none"/>
                <w:lang w:val="en-US" w:eastAsia="zh-CN"/>
                <w14:textFill>
                  <w14:solidFill>
                    <w14:schemeClr w14:val="tx1"/>
                  </w14:solidFill>
                </w14:textFill>
              </w:rPr>
              <w:t>医疗用水</w:t>
            </w:r>
            <w:r>
              <w:rPr>
                <w:color w:val="000000" w:themeColor="text1"/>
                <w:highlight w:val="none"/>
                <w14:textFill>
                  <w14:solidFill>
                    <w14:schemeClr w14:val="tx1"/>
                  </w14:solidFill>
                </w14:textFill>
              </w:rPr>
              <w:t>参考《</w:t>
            </w:r>
            <w:r>
              <w:rPr>
                <w:rFonts w:hint="eastAsia"/>
                <w:color w:val="000000" w:themeColor="text1"/>
                <w:highlight w:val="none"/>
                <w:lang w:eastAsia="zh-CN"/>
                <w14:textFill>
                  <w14:solidFill>
                    <w14:schemeClr w14:val="tx1"/>
                  </w14:solidFill>
                </w14:textFill>
              </w:rPr>
              <w:t>福州市晋安区恒美宠物医院项目</w:t>
            </w:r>
            <w:r>
              <w:rPr>
                <w:color w:val="000000" w:themeColor="text1"/>
                <w:highlight w:val="none"/>
                <w14:textFill>
                  <w14:solidFill>
                    <w14:schemeClr w14:val="tx1"/>
                  </w14:solidFill>
                </w14:textFill>
              </w:rPr>
              <w:t>竣工环境保护验收监测报告》</w:t>
            </w:r>
            <w:r>
              <w:rPr>
                <w:rFonts w:hint="eastAsia"/>
                <w:color w:val="000000" w:themeColor="text1"/>
                <w:highlight w:val="none"/>
                <w:lang w:eastAsia="zh-CN"/>
                <w14:textFill>
                  <w14:solidFill>
                    <w14:schemeClr w14:val="tx1"/>
                  </w14:solidFill>
                </w14:textFill>
              </w:rPr>
              <w:t>（2024年</w:t>
            </w:r>
            <w:r>
              <w:rPr>
                <w:rFonts w:hint="eastAsia"/>
                <w:color w:val="000000" w:themeColor="text1"/>
                <w:highlight w:val="none"/>
                <w:lang w:val="en-US" w:eastAsia="zh-CN"/>
                <w14:textFill>
                  <w14:solidFill>
                    <w14:schemeClr w14:val="tx1"/>
                  </w14:solidFill>
                </w14:textFill>
              </w:rPr>
              <w:t>7</w:t>
            </w:r>
            <w:r>
              <w:rPr>
                <w:rFonts w:hint="eastAsia"/>
                <w:color w:val="000000" w:themeColor="text1"/>
                <w:highlight w:val="none"/>
                <w:lang w:eastAsia="zh-CN"/>
                <w14:textFill>
                  <w14:solidFill>
                    <w14:schemeClr w14:val="tx1"/>
                  </w14:solidFill>
                </w14:textFill>
              </w:rPr>
              <w:t>月）</w:t>
            </w:r>
            <w:r>
              <w:rPr>
                <w:color w:val="000000" w:themeColor="text1"/>
                <w:highlight w:val="none"/>
                <w14:textFill>
                  <w14:solidFill>
                    <w14:schemeClr w14:val="tx1"/>
                  </w14:solidFill>
                </w14:textFill>
              </w:rPr>
              <w:t>中项目运营期实际用水情况。</w:t>
            </w:r>
            <w:r>
              <w:rPr>
                <w:rFonts w:hint="eastAsia"/>
                <w:color w:val="000000" w:themeColor="text1"/>
                <w:highlight w:val="none"/>
                <w:lang w:val="en-US" w:eastAsia="zh-CN"/>
                <w14:textFill>
                  <w14:solidFill>
                    <w14:schemeClr w14:val="tx1"/>
                  </w14:solidFill>
                </w14:textFill>
              </w:rPr>
              <w:t>此</w:t>
            </w:r>
            <w:r>
              <w:rPr>
                <w:color w:val="000000" w:themeColor="text1"/>
                <w:highlight w:val="none"/>
                <w14:textFill>
                  <w14:solidFill>
                    <w14:schemeClr w14:val="tx1"/>
                  </w14:solidFill>
                </w14:textFill>
              </w:rPr>
              <w:t>项目日接待</w:t>
            </w:r>
            <w:r>
              <w:rPr>
                <w:rFonts w:hint="eastAsia"/>
                <w:color w:val="000000" w:themeColor="text1"/>
                <w:highlight w:val="none"/>
                <w:lang w:val="en-US" w:eastAsia="zh-CN"/>
                <w14:textFill>
                  <w14:solidFill>
                    <w14:schemeClr w14:val="tx1"/>
                  </w14:solidFill>
                </w14:textFill>
              </w:rPr>
              <w:t>10只</w:t>
            </w:r>
            <w:r>
              <w:rPr>
                <w:color w:val="000000" w:themeColor="text1"/>
                <w:highlight w:val="none"/>
                <w14:textFill>
                  <w14:solidFill>
                    <w14:schemeClr w14:val="tx1"/>
                  </w14:solidFill>
                </w14:textFill>
              </w:rPr>
              <w:t>宠物医疗，年</w:t>
            </w:r>
            <w:r>
              <w:rPr>
                <w:rFonts w:hint="eastAsia"/>
                <w:color w:val="000000" w:themeColor="text1"/>
                <w:highlight w:val="none"/>
                <w:lang w:val="en-US" w:eastAsia="zh-CN"/>
                <w14:textFill>
                  <w14:solidFill>
                    <w14:schemeClr w14:val="tx1"/>
                  </w14:solidFill>
                </w14:textFill>
              </w:rPr>
              <w:t>营业</w:t>
            </w:r>
            <w:r>
              <w:rPr>
                <w:color w:val="000000" w:themeColor="text1"/>
                <w:highlight w:val="none"/>
                <w14:textFill>
                  <w14:solidFill>
                    <w14:schemeClr w14:val="tx1"/>
                  </w14:solidFill>
                </w14:textFill>
              </w:rPr>
              <w:t>36</w:t>
            </w:r>
            <w:r>
              <w:rPr>
                <w:rFonts w:hint="eastAsia"/>
                <w:color w:val="000000" w:themeColor="text1"/>
                <w:highlight w:val="none"/>
                <w:lang w:val="en-US" w:eastAsia="zh-CN"/>
                <w14:textFill>
                  <w14:solidFill>
                    <w14:schemeClr w14:val="tx1"/>
                  </w14:solidFill>
                </w14:textFill>
              </w:rPr>
              <w:t>0</w:t>
            </w:r>
            <w:r>
              <w:rPr>
                <w:color w:val="000000" w:themeColor="text1"/>
                <w:highlight w:val="none"/>
                <w14:textFill>
                  <w14:solidFill>
                    <w14:schemeClr w14:val="tx1"/>
                  </w14:solidFill>
                </w14:textFill>
              </w:rPr>
              <w:t>天，每天12小时，宠物</w:t>
            </w:r>
            <w:r>
              <w:rPr>
                <w:rFonts w:hint="eastAsia"/>
                <w:color w:val="000000" w:themeColor="text1"/>
                <w:highlight w:val="none"/>
                <w:lang w:val="en-US" w:eastAsia="zh-CN"/>
                <w14:textFill>
                  <w14:solidFill>
                    <w14:schemeClr w14:val="tx1"/>
                  </w14:solidFill>
                </w14:textFill>
              </w:rPr>
              <w:t>医疗用水</w:t>
            </w:r>
            <w:r>
              <w:rPr>
                <w:color w:val="000000" w:themeColor="text1"/>
                <w:highlight w:val="none"/>
                <w14:textFill>
                  <w14:solidFill>
                    <w14:schemeClr w14:val="tx1"/>
                  </w14:solidFill>
                </w14:textFill>
              </w:rPr>
              <w:t>为</w:t>
            </w:r>
            <w:r>
              <w:rPr>
                <w:rFonts w:hint="eastAsia"/>
                <w:color w:val="000000" w:themeColor="text1"/>
                <w:highlight w:val="none"/>
                <w:lang w:val="en-US" w:eastAsia="zh-CN"/>
                <w14:textFill>
                  <w14:solidFill>
                    <w14:schemeClr w14:val="tx1"/>
                  </w14:solidFill>
                </w14:textFill>
              </w:rPr>
              <w:t>54t</w:t>
            </w:r>
            <w:r>
              <w:rPr>
                <w:color w:val="000000" w:themeColor="text1"/>
                <w:highlight w:val="none"/>
                <w14:textFill>
                  <w14:solidFill>
                    <w14:schemeClr w14:val="tx1"/>
                  </w14:solidFill>
                </w14:textFill>
              </w:rPr>
              <w:t>/a，则宠物</w:t>
            </w:r>
            <w:r>
              <w:rPr>
                <w:rFonts w:hint="eastAsia"/>
                <w:color w:val="000000" w:themeColor="text1"/>
                <w:highlight w:val="none"/>
                <w:lang w:val="en-US" w:eastAsia="zh-CN"/>
                <w14:textFill>
                  <w14:solidFill>
                    <w14:schemeClr w14:val="tx1"/>
                  </w14:solidFill>
                </w14:textFill>
              </w:rPr>
              <w:t>医疗用水</w:t>
            </w:r>
            <w:r>
              <w:rPr>
                <w:color w:val="000000" w:themeColor="text1"/>
                <w:highlight w:val="none"/>
                <w14:textFill>
                  <w14:solidFill>
                    <w14:schemeClr w14:val="tx1"/>
                  </w14:solidFill>
                </w14:textFill>
              </w:rPr>
              <w:t>约15L/</w:t>
            </w:r>
            <w:r>
              <w:rPr>
                <w:rFonts w:hint="eastAsia"/>
                <w:color w:val="000000" w:themeColor="text1"/>
                <w:highlight w:val="none"/>
                <w:lang w:val="en-US" w:eastAsia="zh-CN"/>
                <w14:textFill>
                  <w14:solidFill>
                    <w14:schemeClr w14:val="tx1"/>
                  </w14:solidFill>
                </w14:textFill>
              </w:rPr>
              <w:t>只</w:t>
            </w:r>
            <w:r>
              <w:rPr>
                <w:color w:val="000000" w:themeColor="text1"/>
                <w:highlight w:val="none"/>
                <w14:textFill>
                  <w14:solidFill>
                    <w14:schemeClr w14:val="tx1"/>
                  </w14:solidFill>
                </w14:textFill>
              </w:rPr>
              <w:t>。</w:t>
            </w:r>
          </w:p>
          <w:p w14:paraId="07A2096D">
            <w:pPr>
              <w:keepNext w:val="0"/>
              <w:keepLines w:val="0"/>
              <w:pageBreakBefore w:val="0"/>
              <w:widowControl w:val="0"/>
              <w:kinsoku/>
              <w:overflowPunct/>
              <w:topLinePunct w:val="0"/>
              <w:bidi w:val="0"/>
              <w:spacing w:line="360" w:lineRule="auto"/>
              <w:ind w:firstLine="480"/>
              <w:textAlignment w:val="auto"/>
              <w:rPr>
                <w:rFonts w:hint="default" w:eastAsia="宋体"/>
                <w:color w:val="auto"/>
                <w:highlight w:val="none"/>
                <w:lang w:val="en-US" w:eastAsia="zh-CN"/>
              </w:rPr>
            </w:pPr>
            <w:r>
              <w:rPr>
                <w:rFonts w:hint="eastAsia"/>
                <w:color w:val="000000" w:themeColor="text1"/>
                <w:highlight w:val="none"/>
                <w:lang w:val="en-US" w:eastAsia="zh-CN"/>
                <w14:textFill>
                  <w14:solidFill>
                    <w14:schemeClr w14:val="tx1"/>
                  </w14:solidFill>
                </w14:textFill>
              </w:rPr>
              <w:t>本</w:t>
            </w:r>
            <w:r>
              <w:rPr>
                <w:rFonts w:hint="eastAsia"/>
                <w:color w:val="000000" w:themeColor="text1"/>
                <w:highlight w:val="none"/>
                <w:lang w:eastAsia="zh-CN"/>
                <w14:textFill>
                  <w14:solidFill>
                    <w14:schemeClr w14:val="tx1"/>
                  </w14:solidFill>
                </w14:textFill>
              </w:rPr>
              <w:t>项目</w:t>
            </w:r>
            <w:r>
              <w:rPr>
                <w:color w:val="000000" w:themeColor="text1"/>
                <w:highlight w:val="none"/>
                <w14:textFill>
                  <w14:solidFill>
                    <w14:schemeClr w14:val="tx1"/>
                  </w14:solidFill>
                </w14:textFill>
              </w:rPr>
              <w:t>建成</w:t>
            </w:r>
            <w:r>
              <w:rPr>
                <w:rFonts w:hint="eastAsia"/>
                <w:color w:val="000000" w:themeColor="text1"/>
                <w:highlight w:val="none"/>
                <w:lang w:val="en-US" w:eastAsia="zh-CN"/>
                <w14:textFill>
                  <w14:solidFill>
                    <w14:schemeClr w14:val="tx1"/>
                  </w14:solidFill>
                </w14:textFill>
              </w:rPr>
              <w:t>开始</w:t>
            </w:r>
            <w:r>
              <w:rPr>
                <w:color w:val="000000" w:themeColor="text1"/>
                <w:highlight w:val="none"/>
                <w14:textFill>
                  <w14:solidFill>
                    <w14:schemeClr w14:val="tx1"/>
                  </w14:solidFill>
                </w14:textFill>
              </w:rPr>
              <w:t>运营后拟</w:t>
            </w:r>
            <w:r>
              <w:rPr>
                <w:rFonts w:hint="eastAsia"/>
                <w:color w:val="000000" w:themeColor="text1"/>
                <w:highlight w:val="none"/>
                <w:lang w:val="en-US" w:eastAsia="zh-CN"/>
                <w14:textFill>
                  <w14:solidFill>
                    <w14:schemeClr w14:val="tx1"/>
                  </w14:solidFill>
                </w14:textFill>
              </w:rPr>
              <w:t>接诊宠物医疗</w:t>
            </w:r>
            <w:r>
              <w:rPr>
                <w:rFonts w:hint="eastAsia"/>
                <w:color w:val="auto"/>
                <w:highlight w:val="none"/>
                <w:lang w:val="en-US" w:eastAsia="zh-CN"/>
              </w:rPr>
              <w:t>约10只</w:t>
            </w:r>
            <w:r>
              <w:rPr>
                <w:color w:val="auto"/>
                <w:highlight w:val="none"/>
              </w:rPr>
              <w:t>/d，</w:t>
            </w:r>
            <w:r>
              <w:rPr>
                <w:rFonts w:hint="eastAsia"/>
                <w:color w:val="auto"/>
                <w:highlight w:val="none"/>
                <w:lang w:val="en-US" w:eastAsia="zh-CN"/>
              </w:rPr>
              <w:t>年营业</w:t>
            </w:r>
            <w:r>
              <w:rPr>
                <w:color w:val="auto"/>
                <w:highlight w:val="none"/>
              </w:rPr>
              <w:t>36</w:t>
            </w:r>
            <w:r>
              <w:rPr>
                <w:rFonts w:hint="eastAsia"/>
                <w:color w:val="auto"/>
                <w:highlight w:val="none"/>
                <w:lang w:val="en-US" w:eastAsia="zh-CN"/>
              </w:rPr>
              <w:t>0</w:t>
            </w:r>
            <w:r>
              <w:rPr>
                <w:color w:val="auto"/>
                <w:highlight w:val="none"/>
              </w:rPr>
              <w:t>天，则宠物</w:t>
            </w:r>
            <w:r>
              <w:rPr>
                <w:rFonts w:hint="eastAsia"/>
                <w:color w:val="auto"/>
                <w:highlight w:val="none"/>
                <w:lang w:val="en-US" w:eastAsia="zh-CN"/>
              </w:rPr>
              <w:t>医疗用水</w:t>
            </w:r>
            <w:r>
              <w:rPr>
                <w:color w:val="auto"/>
                <w:highlight w:val="none"/>
              </w:rPr>
              <w:t>量约</w:t>
            </w:r>
            <w:r>
              <w:rPr>
                <w:rFonts w:hint="eastAsia"/>
                <w:color w:val="auto"/>
                <w:highlight w:val="none"/>
                <w:lang w:val="en-US" w:eastAsia="zh-CN"/>
              </w:rPr>
              <w:t>0.07t</w:t>
            </w:r>
            <w:r>
              <w:rPr>
                <w:color w:val="auto"/>
                <w:highlight w:val="none"/>
              </w:rPr>
              <w:t>/d（</w:t>
            </w:r>
            <w:r>
              <w:rPr>
                <w:rFonts w:hint="eastAsia"/>
                <w:color w:val="auto"/>
                <w:highlight w:val="none"/>
                <w:lang w:val="en-US" w:eastAsia="zh-CN"/>
              </w:rPr>
              <w:t>24t</w:t>
            </w:r>
            <w:r>
              <w:rPr>
                <w:color w:val="auto"/>
                <w:highlight w:val="none"/>
              </w:rPr>
              <w:t>/a）</w:t>
            </w:r>
            <w:r>
              <w:rPr>
                <w:rFonts w:hint="eastAsia"/>
                <w:color w:val="auto"/>
                <w:highlight w:val="none"/>
                <w:lang w:eastAsia="zh-CN"/>
              </w:rPr>
              <w:t>，</w:t>
            </w:r>
            <w:r>
              <w:rPr>
                <w:rFonts w:hint="default" w:ascii="Times New Roman" w:hAnsi="Times New Roman" w:eastAsia="宋体" w:cs="Times New Roman"/>
                <w:color w:val="auto"/>
                <w:highlight w:val="none"/>
                <w:lang w:val="en-US" w:eastAsia="zh-CN"/>
              </w:rPr>
              <w:t>排污系数取0.9</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则</w:t>
            </w:r>
            <w:r>
              <w:rPr>
                <w:rFonts w:hint="eastAsia" w:cs="Times New Roman"/>
                <w:color w:val="auto"/>
                <w:highlight w:val="none"/>
                <w:lang w:val="en-US" w:eastAsia="zh-CN"/>
              </w:rPr>
              <w:t>宠物医疗废水</w:t>
            </w:r>
            <w:r>
              <w:rPr>
                <w:rFonts w:hint="eastAsia" w:ascii="Times New Roman" w:hAnsi="Times New Roman" w:cs="Times New Roman"/>
                <w:color w:val="auto"/>
                <w:highlight w:val="none"/>
                <w:lang w:val="en-US" w:eastAsia="zh-CN"/>
              </w:rPr>
              <w:t>约为</w:t>
            </w:r>
            <w:r>
              <w:rPr>
                <w:rFonts w:hint="eastAsia" w:cs="Times New Roman"/>
                <w:color w:val="auto"/>
                <w:highlight w:val="none"/>
                <w:lang w:val="en-US" w:eastAsia="zh-CN"/>
              </w:rPr>
              <w:t>0.06</w:t>
            </w:r>
            <w:r>
              <w:rPr>
                <w:rFonts w:hint="eastAsia"/>
                <w:color w:val="auto"/>
                <w:highlight w:val="none"/>
                <w:lang w:val="en-US" w:eastAsia="zh-CN"/>
              </w:rPr>
              <w:t>t</w:t>
            </w:r>
            <w:r>
              <w:rPr>
                <w:color w:val="auto"/>
                <w:highlight w:val="none"/>
              </w:rPr>
              <w:t>/d（</w:t>
            </w:r>
            <w:r>
              <w:rPr>
                <w:rFonts w:hint="eastAsia"/>
                <w:color w:val="auto"/>
                <w:highlight w:val="none"/>
                <w:lang w:val="en-US" w:eastAsia="zh-CN"/>
              </w:rPr>
              <w:t>21.60t</w:t>
            </w:r>
            <w:r>
              <w:rPr>
                <w:color w:val="auto"/>
                <w:highlight w:val="none"/>
              </w:rPr>
              <w:t>/a）</w:t>
            </w:r>
            <w:r>
              <w:rPr>
                <w:rFonts w:hint="eastAsia"/>
                <w:color w:val="auto"/>
                <w:highlight w:val="none"/>
                <w:lang w:eastAsia="zh-CN"/>
              </w:rPr>
              <w:t>，</w:t>
            </w:r>
            <w:r>
              <w:rPr>
                <w:rFonts w:hint="eastAsia" w:ascii="Times New Roman" w:hAnsi="Times New Roman" w:cs="Times New Roman"/>
                <w:color w:val="auto"/>
                <w:highlight w:val="none"/>
                <w:lang w:val="en-US" w:eastAsia="zh-CN"/>
              </w:rPr>
              <w:t>宠物</w:t>
            </w:r>
            <w:r>
              <w:rPr>
                <w:rFonts w:hint="eastAsia"/>
                <w:color w:val="auto"/>
                <w:highlight w:val="none"/>
                <w:lang w:val="en-US" w:eastAsia="zh-CN"/>
              </w:rPr>
              <w:t>医疗用水</w:t>
            </w:r>
            <w:r>
              <w:rPr>
                <w:rFonts w:hint="eastAsia" w:ascii="Times New Roman" w:hAnsi="Times New Roman" w:cs="Times New Roman"/>
                <w:color w:val="auto"/>
                <w:highlight w:val="none"/>
                <w:lang w:val="en-US" w:eastAsia="zh-CN"/>
              </w:rPr>
              <w:t>经配套的</w:t>
            </w:r>
            <w:r>
              <w:rPr>
                <w:rFonts w:hint="eastAsia" w:cs="Times New Roman"/>
                <w:color w:val="auto"/>
                <w:highlight w:val="none"/>
                <w:lang w:val="en-US" w:eastAsia="zh-CN"/>
              </w:rPr>
              <w:t>消毒设备</w:t>
            </w:r>
            <w:r>
              <w:rPr>
                <w:rFonts w:hint="eastAsia" w:ascii="Times New Roman" w:hAnsi="Times New Roman" w:cs="Times New Roman"/>
                <w:color w:val="auto"/>
                <w:highlight w:val="none"/>
                <w:lang w:val="en-US" w:eastAsia="zh-CN"/>
              </w:rPr>
              <w:t>消毒后经化粪池处理排入市政污水管网后</w:t>
            </w:r>
            <w:r>
              <w:rPr>
                <w:rFonts w:hint="eastAsia" w:cs="Times New Roman"/>
                <w:color w:val="auto"/>
                <w:highlight w:val="none"/>
                <w:lang w:val="en-US" w:eastAsia="zh-CN"/>
              </w:rPr>
              <w:t>纳入</w:t>
            </w:r>
            <w:r>
              <w:rPr>
                <w:rFonts w:hint="eastAsia"/>
                <w:color w:val="auto"/>
                <w:highlight w:val="none"/>
                <w:lang w:eastAsia="zh-CN"/>
              </w:rPr>
              <w:t>洋里污水处理厂</w:t>
            </w:r>
            <w:r>
              <w:rPr>
                <w:rFonts w:hint="eastAsia"/>
                <w:color w:val="auto"/>
                <w:highlight w:val="none"/>
              </w:rPr>
              <w:t>。</w:t>
            </w:r>
          </w:p>
          <w:p w14:paraId="3300C7B7">
            <w:pPr>
              <w:pStyle w:val="490"/>
              <w:keepNext w:val="0"/>
              <w:keepLines w:val="0"/>
              <w:pageBreakBefore w:val="0"/>
              <w:widowControl w:val="0"/>
              <w:kinsoku/>
              <w:wordWrap w:val="0"/>
              <w:overflowPunct/>
              <w:topLinePunct w:val="0"/>
              <w:autoSpaceDE w:val="0"/>
              <w:autoSpaceDN w:val="0"/>
              <w:bidi w:val="0"/>
              <w:adjustRightInd w:val="0"/>
              <w:snapToGrid w:val="0"/>
              <w:ind w:firstLine="480"/>
              <w:textAlignment w:val="auto"/>
              <w:rPr>
                <w:rFonts w:hint="default"/>
                <w:color w:val="auto"/>
                <w:highlight w:val="none"/>
                <w:lang w:val="en-US" w:eastAsia="zh-CN"/>
              </w:rPr>
            </w:pPr>
            <w:r>
              <w:rPr>
                <w:color w:val="auto"/>
                <w:highlight w:val="none"/>
              </w:rPr>
              <w:t>（</w:t>
            </w:r>
            <w:r>
              <w:rPr>
                <w:rFonts w:hint="eastAsia"/>
                <w:color w:val="auto"/>
                <w:highlight w:val="none"/>
                <w:lang w:val="en-US" w:eastAsia="zh-CN"/>
              </w:rPr>
              <w:t>4</w:t>
            </w:r>
            <w:r>
              <w:rPr>
                <w:color w:val="auto"/>
                <w:highlight w:val="none"/>
              </w:rPr>
              <w:t>）</w:t>
            </w:r>
            <w:r>
              <w:rPr>
                <w:rFonts w:hint="eastAsia"/>
                <w:color w:val="auto"/>
                <w:highlight w:val="none"/>
                <w:lang w:val="en-US" w:eastAsia="zh-CN"/>
              </w:rPr>
              <w:t>实验（化验）用水</w:t>
            </w:r>
          </w:p>
          <w:p w14:paraId="651A01DC">
            <w:pPr>
              <w:pStyle w:val="490"/>
              <w:keepNext w:val="0"/>
              <w:keepLines w:val="0"/>
              <w:pageBreakBefore w:val="0"/>
              <w:widowControl w:val="0"/>
              <w:kinsoku/>
              <w:wordWrap w:val="0"/>
              <w:overflowPunct/>
              <w:topLinePunct w:val="0"/>
              <w:autoSpaceDE w:val="0"/>
              <w:autoSpaceDN w:val="0"/>
              <w:bidi w:val="0"/>
              <w:adjustRightInd w:val="0"/>
              <w:snapToGrid w:val="0"/>
              <w:ind w:left="0" w:leftChars="0" w:firstLine="480" w:firstLineChars="200"/>
              <w:jc w:val="both"/>
              <w:textAlignment w:val="auto"/>
              <w:rPr>
                <w:rFonts w:hint="eastAsia"/>
                <w:color w:val="auto"/>
                <w:highlight w:val="none"/>
                <w:lang w:val="en-US" w:eastAsia="zh-CN"/>
              </w:rPr>
            </w:pPr>
            <w:r>
              <w:rPr>
                <w:rFonts w:hint="eastAsia" w:cs="Times New Roman"/>
                <w:b w:val="0"/>
                <w:bCs/>
                <w:color w:val="auto"/>
                <w:kern w:val="2"/>
                <w:sz w:val="24"/>
                <w:szCs w:val="32"/>
                <w:highlight w:val="none"/>
                <w:lang w:val="en-US" w:eastAsia="zh-CN"/>
              </w:rPr>
              <w:t>本</w:t>
            </w:r>
            <w:r>
              <w:rPr>
                <w:rFonts w:hint="eastAsia" w:ascii="Times New Roman" w:hAnsi="Times New Roman" w:eastAsia="宋体" w:cs="Times New Roman"/>
                <w:b w:val="0"/>
                <w:bCs/>
                <w:color w:val="auto"/>
                <w:kern w:val="2"/>
                <w:sz w:val="24"/>
                <w:szCs w:val="32"/>
                <w:highlight w:val="none"/>
                <w:lang w:val="en-US" w:eastAsia="zh-CN"/>
              </w:rPr>
              <w:t>项目检验设备清洗过程中会产生废水，清洗</w:t>
            </w:r>
            <w:r>
              <w:rPr>
                <w:rFonts w:hint="eastAsia"/>
                <w:color w:val="auto"/>
                <w:highlight w:val="none"/>
                <w:lang w:val="en-US" w:eastAsia="zh-CN"/>
              </w:rPr>
              <w:t xml:space="preserve">检验设备用水量约为0.4t/a，头道检验设备清洗废水产生量约为0.04t/a，当危废处理，定期委托有资质单位处理。第二、三道检验设备清洗用水量约为0.36t/a，经消毒设备消毒后排放化粪池经市政污水管网纳入洋里污水处理厂。 </w:t>
            </w:r>
          </w:p>
          <w:p w14:paraId="02DCF2CA">
            <w:pPr>
              <w:pStyle w:val="6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项目水平衡图详见图2-1。</w:t>
            </w:r>
          </w:p>
          <w:p w14:paraId="13DB6ACE">
            <w:pPr>
              <w:pStyle w:val="320"/>
              <w:ind w:firstLine="0" w:firstLineChars="0"/>
              <w:jc w:val="center"/>
              <w:rPr>
                <w:rFonts w:hint="default" w:ascii="Times New Roman" w:hAnsi="Times New Roman" w:cs="Times New Roman"/>
                <w:color w:val="auto"/>
                <w:highlight w:val="none"/>
              </w:rPr>
            </w:pPr>
            <w:bookmarkStart w:id="57" w:name="_Hlk84693531"/>
            <w:bookmarkEnd w:id="57"/>
            <w:r>
              <w:drawing>
                <wp:inline distT="0" distB="0" distL="114300" distR="114300">
                  <wp:extent cx="5353685" cy="2653665"/>
                  <wp:effectExtent l="0" t="0" r="18415" b="1333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8"/>
                          <a:stretch>
                            <a:fillRect/>
                          </a:stretch>
                        </pic:blipFill>
                        <pic:spPr>
                          <a:xfrm>
                            <a:off x="0" y="0"/>
                            <a:ext cx="5353685" cy="2653665"/>
                          </a:xfrm>
                          <a:prstGeom prst="rect">
                            <a:avLst/>
                          </a:prstGeom>
                          <a:noFill/>
                          <a:ln>
                            <a:noFill/>
                          </a:ln>
                        </pic:spPr>
                      </pic:pic>
                    </a:graphicData>
                  </a:graphic>
                </wp:inline>
              </w:drawing>
            </w:r>
          </w:p>
          <w:p w14:paraId="6C8C4D72">
            <w:pPr>
              <w:snapToGrid w:val="0"/>
              <w:spacing w:line="360" w:lineRule="auto"/>
              <w:jc w:val="center"/>
              <w:rPr>
                <w:rFonts w:hint="default" w:ascii="Times New Roman" w:hAnsi="Times New Roman" w:cs="Times New Roman"/>
                <w:color w:val="auto"/>
                <w:highlight w:val="none"/>
              </w:rPr>
            </w:pPr>
            <w:r>
              <w:rPr>
                <w:rFonts w:hint="default" w:ascii="Times New Roman" w:hAnsi="Times New Roman" w:cs="Times New Roman"/>
                <w:b/>
                <w:bCs/>
                <w:color w:val="auto"/>
                <w:highlight w:val="none"/>
              </w:rPr>
              <w:t>图2</w:t>
            </w:r>
            <w:r>
              <w:rPr>
                <w:rFonts w:hint="default" w:ascii="Times New Roman" w:hAnsi="Times New Roman" w:cs="Times New Roman"/>
                <w:b/>
                <w:bCs/>
                <w:color w:val="000000" w:themeColor="text1"/>
                <w:highlight w:val="none"/>
                <w14:textFill>
                  <w14:solidFill>
                    <w14:schemeClr w14:val="tx1"/>
                  </w14:solidFill>
                </w14:textFill>
              </w:rPr>
              <w:t xml:space="preserve">-1  项目水平衡图 </w:t>
            </w:r>
            <w:r>
              <w:rPr>
                <w:rFonts w:hint="default" w:ascii="Times New Roman" w:hAnsi="Times New Roman" w:cs="Times New Roman"/>
                <w:b/>
                <w:bCs/>
                <w:color w:val="auto"/>
                <w:highlight w:val="none"/>
              </w:rPr>
              <w:t xml:space="preserve">  单位：t/a</w:t>
            </w:r>
          </w:p>
        </w:tc>
      </w:tr>
      <w:tr w14:paraId="73BE8169">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11806" w:hRule="atLeast"/>
          <w:jc w:val="center"/>
        </w:trPr>
        <w:tc>
          <w:tcPr>
            <w:tcW w:w="1191" w:type="dxa"/>
            <w:tcBorders>
              <w:tl2br w:val="nil"/>
              <w:tr2bl w:val="nil"/>
            </w:tcBorders>
            <w:vAlign w:val="center"/>
          </w:tcPr>
          <w:p w14:paraId="61732354">
            <w:pPr>
              <w:pStyle w:val="45"/>
              <w:adjustRightInd w:val="0"/>
              <w:snapToGrid w:val="0"/>
              <w:jc w:val="center"/>
              <w:rPr>
                <w:rFonts w:hint="default" w:ascii="Times New Roman" w:hAnsi="Times New Roman" w:cs="Times New Roman"/>
                <w:color w:val="auto"/>
                <w:sz w:val="21"/>
                <w:szCs w:val="21"/>
                <w:highlight w:val="none"/>
              </w:rPr>
            </w:pPr>
          </w:p>
        </w:tc>
        <w:tc>
          <w:tcPr>
            <w:tcW w:w="8661" w:type="dxa"/>
            <w:tcBorders>
              <w:tl2br w:val="nil"/>
              <w:tr2bl w:val="nil"/>
            </w:tcBorders>
          </w:tcPr>
          <w:p w14:paraId="623C6620">
            <w:pPr>
              <w:pStyle w:val="3"/>
              <w:rPr>
                <w:rFonts w:hint="default" w:ascii="Times New Roman" w:hAnsi="Times New Roman" w:cs="Times New Roman"/>
                <w:color w:val="auto"/>
                <w:highlight w:val="none"/>
              </w:rPr>
            </w:pPr>
            <w:bookmarkStart w:id="58" w:name="_Toc133251540"/>
            <w:bookmarkStart w:id="59" w:name="_Toc29532"/>
            <w:bookmarkStart w:id="60" w:name="_Toc24071"/>
            <w:r>
              <w:rPr>
                <w:rFonts w:hint="default" w:ascii="Times New Roman" w:hAnsi="Times New Roman" w:cs="Times New Roman"/>
                <w:color w:val="auto"/>
                <w:highlight w:val="none"/>
                <w:lang w:val="en-US" w:eastAsia="zh-CN"/>
              </w:rPr>
              <w:t>诊疗</w:t>
            </w:r>
            <w:r>
              <w:rPr>
                <w:rFonts w:hint="default" w:ascii="Times New Roman" w:hAnsi="Times New Roman" w:cs="Times New Roman"/>
                <w:color w:val="auto"/>
                <w:highlight w:val="none"/>
              </w:rPr>
              <w:t>流程及产污环节</w:t>
            </w:r>
            <w:bookmarkEnd w:id="58"/>
            <w:bookmarkEnd w:id="59"/>
            <w:bookmarkEnd w:id="60"/>
          </w:p>
          <w:p w14:paraId="109E9AB0">
            <w:pPr>
              <w:widowControl/>
              <w:adjustRightInd w:val="0"/>
              <w:snapToGrid w:val="0"/>
              <w:spacing w:line="360" w:lineRule="auto"/>
              <w:ind w:firstLine="480"/>
              <w:rPr>
                <w:bCs/>
                <w:color w:val="auto"/>
                <w:highlight w:val="none"/>
              </w:rPr>
            </w:pPr>
            <w:r>
              <w:rPr>
                <w:rFonts w:hint="default" w:ascii="Times New Roman" w:hAnsi="Times New Roman" w:cs="Times New Roman"/>
                <w:bCs/>
                <w:color w:val="auto"/>
                <w:highlight w:val="none"/>
              </w:rPr>
              <w:t>项目主要为宠物提供</w:t>
            </w:r>
            <w:r>
              <w:rPr>
                <w:rFonts w:hint="eastAsia" w:cs="Times New Roman"/>
                <w:color w:val="auto"/>
                <w:highlight w:val="none"/>
                <w:lang w:eastAsia="zh-CN"/>
              </w:rPr>
              <w:t>宠物疾病预防</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eastAsia="zh-CN"/>
              </w:rPr>
              <w:t>诊治</w:t>
            </w:r>
            <w:r>
              <w:rPr>
                <w:rFonts w:hint="default" w:ascii="Times New Roman" w:hAnsi="Times New Roman" w:eastAsia="宋体" w:cs="Times New Roman"/>
                <w:color w:val="auto"/>
                <w:highlight w:val="none"/>
                <w:lang w:val="en-US" w:eastAsia="zh-CN"/>
              </w:rPr>
              <w:t>和手术</w:t>
            </w:r>
            <w:r>
              <w:rPr>
                <w:rFonts w:hint="eastAsia" w:cs="Times New Roman"/>
                <w:color w:val="auto"/>
                <w:highlight w:val="none"/>
                <w:lang w:val="en-US" w:eastAsia="zh-CN"/>
              </w:rPr>
              <w:t>，</w:t>
            </w:r>
            <w:r>
              <w:rPr>
                <w:rFonts w:hint="eastAsia" w:cs="Times New Roman"/>
                <w:bCs/>
                <w:color w:val="auto"/>
                <w:highlight w:val="none"/>
                <w:lang w:val="en-US" w:eastAsia="zh-CN"/>
              </w:rPr>
              <w:t>宠物美容洗护</w:t>
            </w:r>
            <w:r>
              <w:rPr>
                <w:rFonts w:hint="default" w:ascii="Times New Roman" w:hAnsi="Times New Roman" w:cs="Times New Roman"/>
                <w:bCs/>
                <w:color w:val="auto"/>
                <w:highlight w:val="none"/>
              </w:rPr>
              <w:t>和宠物用品销售</w:t>
            </w:r>
            <w:r>
              <w:rPr>
                <w:rFonts w:hint="eastAsia" w:cs="Times New Roman"/>
                <w:bCs/>
                <w:color w:val="auto"/>
                <w:highlight w:val="none"/>
                <w:lang w:val="en-US" w:eastAsia="zh-CN"/>
              </w:rPr>
              <w:t>等服务</w:t>
            </w:r>
            <w:r>
              <w:rPr>
                <w:rFonts w:hint="default" w:ascii="Times New Roman" w:hAnsi="Times New Roman" w:cs="Times New Roman"/>
                <w:bCs/>
                <w:color w:val="auto"/>
                <w:highlight w:val="none"/>
              </w:rPr>
              <w:t>。</w:t>
            </w:r>
            <w:r>
              <w:rPr>
                <w:rFonts w:hint="eastAsia" w:cs="Times New Roman"/>
                <w:color w:val="auto"/>
                <w:highlight w:val="none"/>
                <w:lang w:eastAsia="zh-CN"/>
              </w:rPr>
              <w:t>宠物疾病预防</w:t>
            </w:r>
            <w:r>
              <w:rPr>
                <w:rFonts w:hint="eastAsia" w:cs="Times New Roman"/>
                <w:color w:val="auto"/>
                <w:highlight w:val="none"/>
                <w:lang w:val="en-US" w:eastAsia="zh-CN"/>
              </w:rPr>
              <w:t>包括体检，疫苗接种等。</w:t>
            </w:r>
            <w:r>
              <w:rPr>
                <w:rFonts w:hint="default" w:ascii="Times New Roman" w:hAnsi="Times New Roman" w:eastAsia="宋体" w:cs="Times New Roman"/>
                <w:color w:val="auto"/>
                <w:highlight w:val="none"/>
              </w:rPr>
              <w:t>宠物诊</w:t>
            </w:r>
            <w:r>
              <w:rPr>
                <w:rFonts w:hint="default" w:ascii="Times New Roman" w:hAnsi="Times New Roman" w:eastAsia="宋体" w:cs="Times New Roman"/>
                <w:color w:val="auto"/>
                <w:highlight w:val="none"/>
                <w:lang w:val="en-US" w:eastAsia="zh-CN"/>
              </w:rPr>
              <w:t>治</w:t>
            </w:r>
            <w:r>
              <w:rPr>
                <w:rFonts w:hint="default" w:ascii="Times New Roman" w:hAnsi="Times New Roman" w:cs="Times New Roman"/>
                <w:bCs/>
                <w:color w:val="auto"/>
                <w:highlight w:val="none"/>
              </w:rPr>
              <w:t>包括给宠物一般临床检查</w:t>
            </w:r>
            <w:r>
              <w:rPr>
                <w:rFonts w:hint="eastAsia" w:cs="Times New Roman"/>
                <w:bCs/>
                <w:color w:val="auto"/>
                <w:highlight w:val="none"/>
                <w:lang w:eastAsia="zh-CN"/>
              </w:rPr>
              <w:t>，</w:t>
            </w:r>
            <w:r>
              <w:rPr>
                <w:rFonts w:hint="default" w:ascii="Times New Roman" w:hAnsi="Times New Roman" w:cs="Times New Roman"/>
                <w:bCs/>
                <w:color w:val="auto"/>
                <w:highlight w:val="none"/>
              </w:rPr>
              <w:t>血、尿、便等常规的检验</w:t>
            </w:r>
            <w:r>
              <w:rPr>
                <w:rFonts w:hint="eastAsia" w:cs="Times New Roman"/>
                <w:color w:val="auto"/>
                <w:highlight w:val="none"/>
                <w:lang w:val="en-US" w:eastAsia="zh-CN"/>
              </w:rPr>
              <w:t>，</w:t>
            </w:r>
            <w:r>
              <w:rPr>
                <w:rFonts w:hint="default" w:ascii="Times New Roman" w:hAnsi="Times New Roman" w:cs="Times New Roman"/>
                <w:bCs/>
                <w:color w:val="auto"/>
                <w:highlight w:val="none"/>
              </w:rPr>
              <w:t>皮肤科</w:t>
            </w:r>
            <w:r>
              <w:rPr>
                <w:rFonts w:hint="eastAsia" w:cs="Times New Roman"/>
                <w:bCs/>
                <w:color w:val="auto"/>
                <w:highlight w:val="none"/>
                <w:lang w:eastAsia="zh-CN"/>
              </w:rPr>
              <w:t>，</w:t>
            </w:r>
            <w:r>
              <w:rPr>
                <w:rFonts w:hint="default" w:ascii="Times New Roman" w:hAnsi="Times New Roman" w:cs="Times New Roman"/>
                <w:bCs/>
                <w:color w:val="auto"/>
                <w:highlight w:val="none"/>
              </w:rPr>
              <w:t>内科</w:t>
            </w:r>
            <w:r>
              <w:rPr>
                <w:rFonts w:hint="eastAsia" w:cs="Times New Roman"/>
                <w:bCs/>
                <w:color w:val="auto"/>
                <w:highlight w:val="none"/>
                <w:lang w:eastAsia="zh-CN"/>
              </w:rPr>
              <w:t>，</w:t>
            </w:r>
            <w:r>
              <w:rPr>
                <w:rFonts w:hint="default" w:ascii="Times New Roman" w:hAnsi="Times New Roman" w:cs="Times New Roman"/>
                <w:bCs/>
                <w:color w:val="auto"/>
                <w:highlight w:val="none"/>
              </w:rPr>
              <w:t>传染科等</w:t>
            </w:r>
            <w:r>
              <w:rPr>
                <w:rFonts w:hint="eastAsia" w:cs="Times New Roman"/>
                <w:bCs/>
                <w:color w:val="auto"/>
                <w:highlight w:val="none"/>
                <w:lang w:val="en-US" w:eastAsia="zh-CN"/>
              </w:rPr>
              <w:t>常见</w:t>
            </w:r>
            <w:r>
              <w:rPr>
                <w:rFonts w:hint="default" w:ascii="Times New Roman" w:hAnsi="Times New Roman" w:cs="Times New Roman"/>
                <w:bCs/>
                <w:color w:val="auto"/>
                <w:highlight w:val="none"/>
              </w:rPr>
              <w:t>疾病的诊治</w:t>
            </w:r>
            <w:r>
              <w:rPr>
                <w:rFonts w:hint="eastAsia" w:cs="Times New Roman"/>
                <w:bCs/>
                <w:color w:val="auto"/>
                <w:highlight w:val="none"/>
                <w:lang w:eastAsia="zh-CN"/>
              </w:rPr>
              <w:t>。</w:t>
            </w:r>
            <w:r>
              <w:rPr>
                <w:rFonts w:hint="eastAsia" w:cs="Times New Roman"/>
                <w:bCs/>
                <w:color w:val="auto"/>
                <w:highlight w:val="none"/>
                <w:lang w:val="en-US" w:eastAsia="zh-CN"/>
              </w:rPr>
              <w:t>手术包括</w:t>
            </w:r>
            <w:r>
              <w:rPr>
                <w:rFonts w:hint="default" w:ascii="Times New Roman" w:hAnsi="Times New Roman" w:cs="Times New Roman"/>
                <w:bCs/>
                <w:color w:val="auto"/>
                <w:highlight w:val="none"/>
              </w:rPr>
              <w:t>外科骨科的手术治疗，</w:t>
            </w:r>
            <w:r>
              <w:rPr>
                <w:rFonts w:hint="default" w:ascii="Times New Roman" w:hAnsi="Times New Roman" w:eastAsia="宋体" w:cs="Times New Roman"/>
                <w:color w:val="auto"/>
                <w:highlight w:val="none"/>
                <w:lang w:val="en-US" w:eastAsia="zh-CN"/>
              </w:rPr>
              <w:t>动物颅腔、胸腔或腹腔手术</w:t>
            </w:r>
            <w:r>
              <w:rPr>
                <w:rFonts w:hint="default" w:ascii="Times New Roman" w:hAnsi="Times New Roman" w:cs="Times New Roman"/>
                <w:bCs/>
                <w:color w:val="auto"/>
                <w:highlight w:val="none"/>
              </w:rPr>
              <w:t>等。</w:t>
            </w:r>
            <w:r>
              <w:rPr>
                <w:bCs/>
                <w:color w:val="auto"/>
                <w:highlight w:val="none"/>
              </w:rPr>
              <w:t>宠物美容包括给就诊的宠物基本洗浴、烘干等。</w:t>
            </w:r>
          </w:p>
          <w:p w14:paraId="13685519">
            <w:pPr>
              <w:pStyle w:val="60"/>
              <w:keepNext w:val="0"/>
              <w:keepLines w:val="0"/>
              <w:pageBreakBefore w:val="0"/>
              <w:widowControl w:val="0"/>
              <w:numPr>
                <w:ilvl w:val="0"/>
                <w:numId w:val="0"/>
              </w:numPr>
              <w:kinsoku/>
              <w:wordWrap/>
              <w:overflowPunct/>
              <w:topLinePunct w:val="0"/>
              <w:autoSpaceDE/>
              <w:autoSpaceDN/>
              <w:bidi w:val="0"/>
              <w:adjustRightInd/>
              <w:snapToGrid/>
              <w:ind w:firstLine="482" w:firstLineChars="200"/>
              <w:jc w:val="both"/>
              <w:textAlignment w:val="auto"/>
              <w:rPr>
                <w:rFonts w:hint="default"/>
                <w:b/>
                <w:bCs/>
                <w:color w:val="auto"/>
                <w:highlight w:val="none"/>
              </w:rPr>
            </w:pPr>
            <w:r>
              <w:rPr>
                <w:rFonts w:hint="eastAsia" w:ascii="Times New Roman" w:hAnsi="Times New Roman" w:eastAsia="宋体" w:cs="Times New Roman"/>
                <w:b/>
                <w:bCs/>
                <w:color w:val="auto"/>
                <w:kern w:val="2"/>
                <w:szCs w:val="32"/>
                <w:highlight w:val="none"/>
                <w:lang w:val="en-US" w:eastAsia="zh-CN"/>
              </w:rPr>
              <w:t>（1）宠物就诊服务</w:t>
            </w:r>
          </w:p>
          <w:p w14:paraId="6040C5D2">
            <w:pPr>
              <w:pStyle w:val="60"/>
              <w:ind w:left="0" w:leftChars="-100" w:hanging="240" w:hangingChars="100"/>
              <w:jc w:val="center"/>
              <w:rPr>
                <w:rFonts w:hint="default" w:ascii="Times New Roman" w:hAnsi="Times New Roman" w:cs="Times New Roman"/>
                <w:color w:val="auto"/>
                <w:highlight w:val="none"/>
              </w:rPr>
            </w:pPr>
            <w:r>
              <w:rPr>
                <w:color w:val="auto"/>
                <w:highlight w:val="none"/>
              </w:rPr>
              <w:drawing>
                <wp:inline distT="0" distB="0" distL="114300" distR="114300">
                  <wp:extent cx="5578475" cy="3781425"/>
                  <wp:effectExtent l="0" t="0" r="3175" b="952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19"/>
                          <a:srcRect l="1491" t="5512" r="3212" b="2244"/>
                          <a:stretch>
                            <a:fillRect/>
                          </a:stretch>
                        </pic:blipFill>
                        <pic:spPr>
                          <a:xfrm>
                            <a:off x="0" y="0"/>
                            <a:ext cx="5578475" cy="3781425"/>
                          </a:xfrm>
                          <a:prstGeom prst="rect">
                            <a:avLst/>
                          </a:prstGeom>
                          <a:noFill/>
                          <a:ln>
                            <a:noFill/>
                          </a:ln>
                        </pic:spPr>
                      </pic:pic>
                    </a:graphicData>
                  </a:graphic>
                </wp:inline>
              </w:drawing>
            </w:r>
          </w:p>
          <w:p w14:paraId="1AC9E274">
            <w:pPr>
              <w:pStyle w:val="60"/>
              <w:ind w:firstLine="0" w:firstLineChars="0"/>
              <w:jc w:val="center"/>
              <w:rPr>
                <w:rFonts w:hint="default" w:ascii="Times New Roman" w:hAnsi="Times New Roman" w:eastAsia="宋体" w:cs="Times New Roman"/>
                <w:b/>
                <w:bCs/>
                <w:color w:val="auto"/>
                <w:kern w:val="2"/>
                <w:szCs w:val="32"/>
                <w:highlight w:val="none"/>
              </w:rPr>
            </w:pPr>
            <w:r>
              <w:rPr>
                <w:rFonts w:hint="default" w:ascii="Times New Roman" w:hAnsi="Times New Roman" w:eastAsia="宋体" w:cs="Times New Roman"/>
                <w:b/>
                <w:bCs/>
                <w:color w:val="auto"/>
                <w:kern w:val="2"/>
                <w:szCs w:val="32"/>
                <w:highlight w:val="none"/>
              </w:rPr>
              <w:t>图2-</w:t>
            </w:r>
            <w:r>
              <w:rPr>
                <w:rFonts w:hint="eastAsia" w:ascii="Times New Roman" w:hAnsi="Times New Roman" w:eastAsia="宋体" w:cs="Times New Roman"/>
                <w:b/>
                <w:bCs/>
                <w:color w:val="auto"/>
                <w:kern w:val="2"/>
                <w:szCs w:val="32"/>
                <w:highlight w:val="none"/>
                <w:lang w:val="en-US" w:eastAsia="zh-CN"/>
              </w:rPr>
              <w:t>2</w:t>
            </w:r>
            <w:r>
              <w:rPr>
                <w:rFonts w:hint="default" w:ascii="Times New Roman" w:hAnsi="Times New Roman" w:eastAsia="宋体" w:cs="Times New Roman"/>
                <w:b/>
                <w:bCs/>
                <w:color w:val="auto"/>
                <w:kern w:val="2"/>
                <w:szCs w:val="32"/>
                <w:highlight w:val="none"/>
              </w:rPr>
              <w:t xml:space="preserve"> </w:t>
            </w:r>
            <w:r>
              <w:rPr>
                <w:rFonts w:hint="eastAsia" w:ascii="Times New Roman" w:hAnsi="Times New Roman" w:eastAsia="宋体" w:cs="Times New Roman"/>
                <w:b/>
                <w:bCs/>
                <w:color w:val="auto"/>
                <w:kern w:val="2"/>
                <w:szCs w:val="32"/>
                <w:highlight w:val="none"/>
                <w:lang w:val="en-US" w:eastAsia="zh-CN"/>
              </w:rPr>
              <w:t xml:space="preserve"> </w:t>
            </w:r>
            <w:r>
              <w:rPr>
                <w:rFonts w:hint="default" w:ascii="Times New Roman" w:hAnsi="Times New Roman" w:eastAsia="宋体" w:cs="Times New Roman"/>
                <w:b/>
                <w:bCs/>
                <w:color w:val="auto"/>
                <w:kern w:val="2"/>
                <w:szCs w:val="32"/>
                <w:highlight w:val="none"/>
                <w:lang w:val="en-US" w:eastAsia="zh-CN"/>
              </w:rPr>
              <w:t>诊疗</w:t>
            </w:r>
            <w:r>
              <w:rPr>
                <w:rFonts w:hint="default" w:ascii="Times New Roman" w:hAnsi="Times New Roman" w:eastAsia="宋体" w:cs="Times New Roman"/>
                <w:b/>
                <w:bCs/>
                <w:color w:val="auto"/>
                <w:kern w:val="2"/>
                <w:szCs w:val="32"/>
                <w:highlight w:val="none"/>
              </w:rPr>
              <w:t>流程及产污环节图</w:t>
            </w:r>
          </w:p>
          <w:p w14:paraId="039CD7DB">
            <w:pPr>
              <w:pStyle w:val="60"/>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 w:val="0"/>
                <w:bCs w:val="0"/>
                <w:color w:val="auto"/>
                <w:kern w:val="2"/>
                <w:szCs w:val="32"/>
                <w:highlight w:val="none"/>
                <w:lang w:val="en-US" w:eastAsia="zh-CN"/>
              </w:rPr>
            </w:pPr>
            <w:r>
              <w:rPr>
                <w:rFonts w:hint="default" w:ascii="Times New Roman" w:hAnsi="Times New Roman" w:eastAsia="宋体" w:cs="Times New Roman"/>
                <w:b w:val="0"/>
                <w:bCs w:val="0"/>
                <w:color w:val="auto"/>
                <w:kern w:val="2"/>
                <w:szCs w:val="32"/>
                <w:highlight w:val="none"/>
                <w:lang w:val="en-US" w:eastAsia="zh-CN"/>
              </w:rPr>
              <w:t>诊疗流程简述</w:t>
            </w:r>
            <w:r>
              <w:rPr>
                <w:rFonts w:hint="eastAsia" w:ascii="Times New Roman" w:hAnsi="Times New Roman" w:eastAsia="宋体" w:cs="Times New Roman"/>
                <w:b w:val="0"/>
                <w:bCs w:val="0"/>
                <w:color w:val="auto"/>
                <w:kern w:val="2"/>
                <w:szCs w:val="32"/>
                <w:highlight w:val="none"/>
                <w:lang w:val="en-US" w:eastAsia="zh-CN"/>
              </w:rPr>
              <w:t>：</w:t>
            </w:r>
          </w:p>
          <w:p w14:paraId="2F439947">
            <w:pPr>
              <w:pStyle w:val="60"/>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default" w:ascii="Times New Roman" w:hAnsi="Times New Roman" w:eastAsia="宋体" w:cs="Times New Roman"/>
                <w:b w:val="0"/>
                <w:bCs w:val="0"/>
                <w:color w:val="auto"/>
                <w:kern w:val="2"/>
                <w:szCs w:val="32"/>
                <w:highlight w:val="none"/>
              </w:rPr>
            </w:pPr>
            <w:r>
              <w:rPr>
                <w:rFonts w:hint="eastAsia" w:ascii="宋体" w:hAnsi="宋体" w:eastAsia="宋体" w:cs="宋体"/>
                <w:b w:val="0"/>
                <w:bCs w:val="0"/>
                <w:color w:val="auto"/>
                <w:kern w:val="2"/>
                <w:szCs w:val="32"/>
                <w:highlight w:val="none"/>
              </w:rPr>
              <w:t>①</w:t>
            </w:r>
            <w:r>
              <w:rPr>
                <w:rFonts w:hint="default" w:ascii="Times New Roman" w:hAnsi="Times New Roman" w:eastAsia="宋体" w:cs="Times New Roman"/>
                <w:b w:val="0"/>
                <w:bCs w:val="0"/>
                <w:color w:val="auto"/>
                <w:kern w:val="2"/>
                <w:szCs w:val="32"/>
                <w:highlight w:val="none"/>
              </w:rPr>
              <w:t>挂号</w:t>
            </w:r>
            <w:r>
              <w:rPr>
                <w:rFonts w:hint="default" w:ascii="Times New Roman" w:hAnsi="Times New Roman" w:eastAsia="宋体" w:cs="Times New Roman"/>
                <w:b w:val="0"/>
                <w:bCs w:val="0"/>
                <w:color w:val="auto"/>
                <w:kern w:val="2"/>
                <w:szCs w:val="32"/>
                <w:highlight w:val="none"/>
                <w:lang w:eastAsia="zh-CN"/>
              </w:rPr>
              <w:t>：</w:t>
            </w:r>
            <w:r>
              <w:rPr>
                <w:rFonts w:hint="default" w:ascii="Times New Roman" w:hAnsi="Times New Roman" w:eastAsia="宋体" w:cs="Times New Roman"/>
                <w:b w:val="0"/>
                <w:bCs w:val="0"/>
                <w:color w:val="auto"/>
                <w:kern w:val="2"/>
                <w:szCs w:val="32"/>
                <w:highlight w:val="none"/>
              </w:rPr>
              <w:t>顾客携带患病宠物到</w:t>
            </w:r>
            <w:r>
              <w:rPr>
                <w:rFonts w:hint="eastAsia" w:ascii="Times New Roman" w:hAnsi="Times New Roman" w:eastAsia="宋体" w:cs="Times New Roman"/>
                <w:b w:val="0"/>
                <w:bCs w:val="0"/>
                <w:color w:val="auto"/>
                <w:kern w:val="2"/>
                <w:szCs w:val="32"/>
                <w:highlight w:val="none"/>
                <w:lang w:val="en-US" w:eastAsia="zh-CN"/>
              </w:rPr>
              <w:t>前台</w:t>
            </w:r>
            <w:r>
              <w:rPr>
                <w:rFonts w:hint="default" w:ascii="Times New Roman" w:hAnsi="Times New Roman" w:eastAsia="宋体" w:cs="Times New Roman"/>
                <w:b w:val="0"/>
                <w:bCs w:val="0"/>
                <w:color w:val="auto"/>
                <w:kern w:val="2"/>
                <w:szCs w:val="32"/>
                <w:highlight w:val="none"/>
              </w:rPr>
              <w:t>挂号，并进行初步了解，如发现患病动物染疫或疑似染疫，及时向有关部门报备，并采取隔离措施。</w:t>
            </w:r>
          </w:p>
          <w:p w14:paraId="0A135B5D">
            <w:pPr>
              <w:pStyle w:val="60"/>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default" w:ascii="Times New Roman" w:hAnsi="Times New Roman" w:eastAsia="宋体" w:cs="Times New Roman"/>
                <w:b w:val="0"/>
                <w:bCs w:val="0"/>
                <w:color w:val="auto"/>
                <w:kern w:val="2"/>
                <w:szCs w:val="32"/>
                <w:highlight w:val="none"/>
              </w:rPr>
            </w:pPr>
            <w:r>
              <w:rPr>
                <w:rFonts w:hint="eastAsia" w:ascii="宋体" w:hAnsi="宋体" w:eastAsia="宋体" w:cs="宋体"/>
                <w:b w:val="0"/>
                <w:bCs w:val="0"/>
                <w:color w:val="auto"/>
                <w:kern w:val="2"/>
                <w:szCs w:val="32"/>
                <w:highlight w:val="none"/>
              </w:rPr>
              <w:t>②</w:t>
            </w:r>
            <w:r>
              <w:rPr>
                <w:rFonts w:hint="default" w:ascii="Times New Roman" w:hAnsi="Times New Roman" w:eastAsia="宋体" w:cs="Times New Roman"/>
                <w:b w:val="0"/>
                <w:bCs w:val="0"/>
                <w:color w:val="auto"/>
                <w:kern w:val="2"/>
                <w:szCs w:val="32"/>
                <w:highlight w:val="none"/>
              </w:rPr>
              <w:t>就诊</w:t>
            </w:r>
            <w:r>
              <w:rPr>
                <w:rFonts w:hint="default" w:ascii="Times New Roman" w:hAnsi="Times New Roman" w:eastAsia="宋体" w:cs="Times New Roman"/>
                <w:b w:val="0"/>
                <w:bCs w:val="0"/>
                <w:color w:val="auto"/>
                <w:kern w:val="2"/>
                <w:szCs w:val="32"/>
                <w:highlight w:val="none"/>
                <w:lang w:eastAsia="zh-CN"/>
              </w:rPr>
              <w:t>：</w:t>
            </w:r>
            <w:r>
              <w:rPr>
                <w:rFonts w:hint="default" w:ascii="Times New Roman" w:hAnsi="Times New Roman" w:eastAsia="宋体" w:cs="Times New Roman"/>
                <w:b w:val="0"/>
                <w:bCs w:val="0"/>
                <w:color w:val="auto"/>
                <w:kern w:val="2"/>
                <w:szCs w:val="32"/>
                <w:highlight w:val="none"/>
              </w:rPr>
              <w:t>宠物挂号完成后，符合治疗条件的患病宠物带至</w:t>
            </w:r>
            <w:r>
              <w:rPr>
                <w:rFonts w:hint="eastAsia" w:ascii="Times New Roman" w:hAnsi="Times New Roman" w:eastAsia="宋体" w:cs="Times New Roman"/>
                <w:b w:val="0"/>
                <w:bCs w:val="0"/>
                <w:color w:val="auto"/>
                <w:kern w:val="2"/>
                <w:szCs w:val="32"/>
                <w:highlight w:val="none"/>
                <w:lang w:val="en-US" w:eastAsia="zh-CN"/>
              </w:rPr>
              <w:t>诊</w:t>
            </w:r>
            <w:r>
              <w:rPr>
                <w:rFonts w:hint="default" w:ascii="Times New Roman" w:hAnsi="Times New Roman" w:eastAsia="宋体" w:cs="Times New Roman"/>
                <w:b w:val="0"/>
                <w:bCs w:val="0"/>
                <w:color w:val="auto"/>
                <w:kern w:val="2"/>
                <w:szCs w:val="32"/>
                <w:highlight w:val="none"/>
              </w:rPr>
              <w:t>室由医生进行诊治。医生详细了解宠物病情，进行临床检查，并告知顾客</w:t>
            </w:r>
            <w:r>
              <w:rPr>
                <w:rFonts w:hint="default" w:ascii="Times New Roman" w:hAnsi="Times New Roman" w:eastAsia="宋体" w:cs="Times New Roman"/>
                <w:b w:val="0"/>
                <w:bCs w:val="0"/>
                <w:color w:val="auto"/>
                <w:kern w:val="2"/>
                <w:szCs w:val="32"/>
                <w:highlight w:val="none"/>
                <w:lang w:val="en-US" w:eastAsia="zh-CN"/>
              </w:rPr>
              <w:t>其</w:t>
            </w:r>
            <w:r>
              <w:rPr>
                <w:rFonts w:hint="default" w:ascii="Times New Roman" w:hAnsi="Times New Roman" w:eastAsia="宋体" w:cs="Times New Roman"/>
                <w:b w:val="0"/>
                <w:bCs w:val="0"/>
                <w:color w:val="auto"/>
                <w:kern w:val="2"/>
                <w:szCs w:val="32"/>
                <w:highlight w:val="none"/>
              </w:rPr>
              <w:t>患病宠物</w:t>
            </w:r>
            <w:r>
              <w:rPr>
                <w:rFonts w:hint="default" w:ascii="Times New Roman" w:hAnsi="Times New Roman" w:eastAsia="宋体" w:cs="Times New Roman"/>
                <w:b w:val="0"/>
                <w:bCs w:val="0"/>
                <w:color w:val="auto"/>
                <w:kern w:val="2"/>
                <w:szCs w:val="32"/>
                <w:highlight w:val="none"/>
                <w:lang w:val="en-US" w:eastAsia="zh-CN"/>
              </w:rPr>
              <w:t>需要</w:t>
            </w:r>
            <w:r>
              <w:rPr>
                <w:rFonts w:hint="default" w:ascii="Times New Roman" w:hAnsi="Times New Roman" w:eastAsia="宋体" w:cs="Times New Roman"/>
                <w:b w:val="0"/>
                <w:bCs w:val="0"/>
                <w:color w:val="auto"/>
                <w:kern w:val="2"/>
                <w:szCs w:val="32"/>
                <w:highlight w:val="none"/>
              </w:rPr>
              <w:t>做</w:t>
            </w:r>
            <w:r>
              <w:rPr>
                <w:rFonts w:hint="default" w:ascii="Times New Roman" w:hAnsi="Times New Roman" w:eastAsia="宋体" w:cs="Times New Roman"/>
                <w:b w:val="0"/>
                <w:bCs w:val="0"/>
                <w:color w:val="auto"/>
                <w:kern w:val="2"/>
                <w:szCs w:val="32"/>
                <w:highlight w:val="none"/>
                <w:lang w:val="en-US" w:eastAsia="zh-CN"/>
              </w:rPr>
              <w:t>的</w:t>
            </w:r>
            <w:r>
              <w:rPr>
                <w:rFonts w:hint="default" w:ascii="Times New Roman" w:hAnsi="Times New Roman" w:eastAsia="宋体" w:cs="Times New Roman"/>
                <w:b w:val="0"/>
                <w:bCs w:val="0"/>
                <w:color w:val="auto"/>
                <w:kern w:val="2"/>
                <w:szCs w:val="32"/>
                <w:highlight w:val="none"/>
              </w:rPr>
              <w:t>化验检查。</w:t>
            </w:r>
          </w:p>
          <w:p w14:paraId="63FF9E09">
            <w:pPr>
              <w:pStyle w:val="60"/>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default" w:ascii="Times New Roman" w:hAnsi="Times New Roman" w:eastAsia="宋体" w:cs="Times New Roman"/>
                <w:b w:val="0"/>
                <w:bCs w:val="0"/>
                <w:color w:val="auto"/>
                <w:kern w:val="2"/>
                <w:szCs w:val="32"/>
                <w:highlight w:val="none"/>
              </w:rPr>
            </w:pPr>
            <w:r>
              <w:rPr>
                <w:rFonts w:hint="eastAsia" w:ascii="宋体" w:hAnsi="宋体" w:eastAsia="宋体" w:cs="宋体"/>
                <w:b w:val="0"/>
                <w:bCs w:val="0"/>
                <w:color w:val="auto"/>
                <w:kern w:val="2"/>
                <w:szCs w:val="32"/>
                <w:highlight w:val="none"/>
              </w:rPr>
              <w:t>③</w:t>
            </w:r>
            <w:r>
              <w:rPr>
                <w:rFonts w:hint="default" w:ascii="Times New Roman" w:hAnsi="Times New Roman" w:eastAsia="宋体" w:cs="Times New Roman"/>
                <w:b w:val="0"/>
                <w:bCs w:val="0"/>
                <w:color w:val="auto"/>
                <w:kern w:val="2"/>
                <w:szCs w:val="32"/>
                <w:highlight w:val="none"/>
              </w:rPr>
              <w:t>化验</w:t>
            </w:r>
            <w:r>
              <w:rPr>
                <w:rFonts w:hint="default" w:ascii="Times New Roman" w:hAnsi="Times New Roman" w:eastAsia="宋体" w:cs="Times New Roman"/>
                <w:b w:val="0"/>
                <w:bCs w:val="0"/>
                <w:color w:val="auto"/>
                <w:kern w:val="2"/>
                <w:szCs w:val="32"/>
                <w:highlight w:val="none"/>
                <w:lang w:eastAsia="zh-CN"/>
              </w:rPr>
              <w:t>：</w:t>
            </w:r>
            <w:r>
              <w:rPr>
                <w:rFonts w:hint="default" w:ascii="Times New Roman" w:hAnsi="Times New Roman" w:eastAsia="宋体" w:cs="Times New Roman"/>
                <w:b w:val="0"/>
                <w:bCs w:val="0"/>
                <w:color w:val="auto"/>
                <w:kern w:val="2"/>
                <w:szCs w:val="32"/>
                <w:highlight w:val="none"/>
              </w:rPr>
              <w:t>对患病宠物进行血、便、尿等常规化验，如有需要则进行对X光诊疗检查。检测项目主要包括血常规、生化、血气、寄生虫、影像、B超等，病毒检测均采用试纸检测，血样制成试剂片，由仪器进行检测。</w:t>
            </w:r>
          </w:p>
          <w:p w14:paraId="70860D95">
            <w:pPr>
              <w:pStyle w:val="60"/>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default" w:ascii="Times New Roman" w:hAnsi="Times New Roman" w:eastAsia="宋体" w:cs="Times New Roman"/>
                <w:b w:val="0"/>
                <w:bCs w:val="0"/>
                <w:color w:val="auto"/>
                <w:kern w:val="2"/>
                <w:szCs w:val="32"/>
                <w:highlight w:val="none"/>
              </w:rPr>
            </w:pPr>
            <w:r>
              <w:rPr>
                <w:rFonts w:hint="eastAsia" w:ascii="宋体" w:hAnsi="宋体" w:eastAsia="宋体" w:cs="宋体"/>
                <w:b w:val="0"/>
                <w:bCs w:val="0"/>
                <w:color w:val="auto"/>
                <w:kern w:val="2"/>
                <w:szCs w:val="32"/>
                <w:highlight w:val="none"/>
              </w:rPr>
              <w:t>④</w:t>
            </w:r>
            <w:r>
              <w:rPr>
                <w:rFonts w:hint="default" w:ascii="Times New Roman" w:hAnsi="Times New Roman" w:eastAsia="宋体" w:cs="Times New Roman"/>
                <w:b w:val="0"/>
                <w:bCs w:val="0"/>
                <w:color w:val="auto"/>
                <w:kern w:val="2"/>
                <w:szCs w:val="32"/>
                <w:highlight w:val="none"/>
              </w:rPr>
              <w:t>诊断</w:t>
            </w:r>
            <w:r>
              <w:rPr>
                <w:rFonts w:hint="default" w:ascii="Times New Roman" w:hAnsi="Times New Roman" w:eastAsia="宋体" w:cs="Times New Roman"/>
                <w:b w:val="0"/>
                <w:bCs w:val="0"/>
                <w:color w:val="auto"/>
                <w:kern w:val="2"/>
                <w:szCs w:val="32"/>
                <w:highlight w:val="none"/>
                <w:lang w:eastAsia="zh-CN"/>
              </w:rPr>
              <w:t>：</w:t>
            </w:r>
            <w:r>
              <w:rPr>
                <w:rFonts w:hint="default" w:ascii="Times New Roman" w:hAnsi="Times New Roman" w:eastAsia="宋体" w:cs="Times New Roman"/>
                <w:b w:val="0"/>
                <w:bCs w:val="0"/>
                <w:color w:val="auto"/>
                <w:kern w:val="2"/>
                <w:szCs w:val="32"/>
                <w:highlight w:val="none"/>
              </w:rPr>
              <w:t>医生根据化验结果或影像结果对</w:t>
            </w:r>
            <w:r>
              <w:rPr>
                <w:rFonts w:hint="default" w:ascii="Times New Roman" w:hAnsi="Times New Roman" w:eastAsia="宋体" w:cs="Times New Roman"/>
                <w:b w:val="0"/>
                <w:bCs w:val="0"/>
                <w:color w:val="auto"/>
                <w:kern w:val="2"/>
                <w:szCs w:val="32"/>
                <w:highlight w:val="none"/>
                <w:lang w:val="en-US" w:eastAsia="zh-CN"/>
              </w:rPr>
              <w:t>宠物</w:t>
            </w:r>
            <w:r>
              <w:rPr>
                <w:rFonts w:hint="default" w:ascii="Times New Roman" w:hAnsi="Times New Roman" w:eastAsia="宋体" w:cs="Times New Roman"/>
                <w:b w:val="0"/>
                <w:bCs w:val="0"/>
                <w:color w:val="auto"/>
                <w:kern w:val="2"/>
                <w:szCs w:val="32"/>
                <w:highlight w:val="none"/>
              </w:rPr>
              <w:t>病情进行诊断，根据病情建议顾客选择治疗或不需治疗。</w:t>
            </w:r>
          </w:p>
          <w:p w14:paraId="3C76B0AF">
            <w:pPr>
              <w:pStyle w:val="60"/>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default" w:ascii="Times New Roman" w:hAnsi="Times New Roman" w:eastAsia="宋体" w:cs="Times New Roman"/>
                <w:b w:val="0"/>
                <w:bCs w:val="0"/>
                <w:color w:val="auto"/>
                <w:kern w:val="2"/>
                <w:szCs w:val="32"/>
                <w:highlight w:val="none"/>
              </w:rPr>
            </w:pPr>
            <w:r>
              <w:rPr>
                <w:rFonts w:hint="eastAsia" w:ascii="宋体" w:hAnsi="宋体" w:eastAsia="宋体" w:cs="宋体"/>
                <w:b w:val="0"/>
                <w:bCs w:val="0"/>
                <w:color w:val="auto"/>
                <w:kern w:val="2"/>
                <w:szCs w:val="32"/>
                <w:highlight w:val="none"/>
              </w:rPr>
              <w:t>⑤</w:t>
            </w:r>
            <w:r>
              <w:rPr>
                <w:rFonts w:hint="default" w:ascii="Times New Roman" w:hAnsi="Times New Roman" w:eastAsia="宋体" w:cs="Times New Roman"/>
                <w:b w:val="0"/>
                <w:bCs w:val="0"/>
                <w:color w:val="auto"/>
                <w:kern w:val="2"/>
                <w:szCs w:val="32"/>
                <w:highlight w:val="none"/>
              </w:rPr>
              <w:t>治疗</w:t>
            </w:r>
            <w:r>
              <w:rPr>
                <w:rFonts w:hint="default" w:ascii="Times New Roman" w:hAnsi="Times New Roman" w:eastAsia="宋体" w:cs="Times New Roman"/>
                <w:b w:val="0"/>
                <w:bCs w:val="0"/>
                <w:color w:val="auto"/>
                <w:kern w:val="2"/>
                <w:szCs w:val="32"/>
                <w:highlight w:val="none"/>
                <w:lang w:eastAsia="zh-CN"/>
              </w:rPr>
              <w:t>：</w:t>
            </w:r>
            <w:r>
              <w:rPr>
                <w:rFonts w:hint="default" w:ascii="Times New Roman" w:hAnsi="Times New Roman" w:eastAsia="宋体" w:cs="Times New Roman"/>
                <w:b w:val="0"/>
                <w:bCs w:val="0"/>
                <w:color w:val="auto"/>
                <w:kern w:val="2"/>
                <w:szCs w:val="32"/>
                <w:highlight w:val="none"/>
              </w:rPr>
              <w:t>根据患病</w:t>
            </w:r>
            <w:r>
              <w:rPr>
                <w:rFonts w:hint="default" w:ascii="Times New Roman" w:hAnsi="Times New Roman" w:eastAsia="宋体" w:cs="Times New Roman"/>
                <w:b w:val="0"/>
                <w:bCs w:val="0"/>
                <w:color w:val="auto"/>
                <w:kern w:val="2"/>
                <w:szCs w:val="32"/>
                <w:highlight w:val="none"/>
                <w:lang w:val="en-US" w:eastAsia="zh-CN"/>
              </w:rPr>
              <w:t>宠物病</w:t>
            </w:r>
            <w:r>
              <w:rPr>
                <w:rFonts w:hint="default" w:ascii="Times New Roman" w:hAnsi="Times New Roman" w:eastAsia="宋体" w:cs="Times New Roman"/>
                <w:b w:val="0"/>
                <w:bCs w:val="0"/>
                <w:color w:val="auto"/>
                <w:kern w:val="2"/>
                <w:szCs w:val="32"/>
                <w:highlight w:val="none"/>
              </w:rPr>
              <w:t>情严重程度，对</w:t>
            </w:r>
            <w:r>
              <w:rPr>
                <w:rFonts w:hint="default" w:ascii="Times New Roman" w:hAnsi="Times New Roman" w:eastAsia="宋体" w:cs="Times New Roman"/>
                <w:b w:val="0"/>
                <w:bCs w:val="0"/>
                <w:color w:val="auto"/>
                <w:kern w:val="2"/>
                <w:szCs w:val="32"/>
                <w:highlight w:val="none"/>
                <w:lang w:val="en-US" w:eastAsia="zh-CN"/>
              </w:rPr>
              <w:t>宠物</w:t>
            </w:r>
            <w:r>
              <w:rPr>
                <w:rFonts w:hint="default" w:ascii="Times New Roman" w:hAnsi="Times New Roman" w:eastAsia="宋体" w:cs="Times New Roman"/>
                <w:b w:val="0"/>
                <w:bCs w:val="0"/>
                <w:color w:val="auto"/>
                <w:kern w:val="2"/>
                <w:szCs w:val="32"/>
                <w:highlight w:val="none"/>
              </w:rPr>
              <w:t>进行用药、输液或治疗，治疗完成后可离开。</w:t>
            </w:r>
          </w:p>
          <w:p w14:paraId="437CC709">
            <w:pPr>
              <w:pStyle w:val="60"/>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default" w:ascii="Times New Roman" w:hAnsi="Times New Roman" w:eastAsia="宋体" w:cs="Times New Roman"/>
                <w:b w:val="0"/>
                <w:bCs w:val="0"/>
                <w:color w:val="auto"/>
                <w:kern w:val="2"/>
                <w:szCs w:val="32"/>
                <w:highlight w:val="none"/>
                <w:lang w:val="en-US" w:eastAsia="zh-CN"/>
              </w:rPr>
            </w:pPr>
            <w:r>
              <w:rPr>
                <w:rFonts w:hint="eastAsia" w:ascii="宋体" w:hAnsi="宋体" w:eastAsia="宋体" w:cs="宋体"/>
                <w:b w:val="0"/>
                <w:bCs w:val="0"/>
                <w:color w:val="auto"/>
                <w:kern w:val="2"/>
                <w:szCs w:val="32"/>
                <w:highlight w:val="none"/>
              </w:rPr>
              <w:t>⑥</w:t>
            </w:r>
            <w:r>
              <w:rPr>
                <w:rFonts w:hint="default" w:ascii="Times New Roman" w:hAnsi="Times New Roman" w:eastAsia="宋体" w:cs="Times New Roman"/>
                <w:b w:val="0"/>
                <w:bCs w:val="0"/>
                <w:color w:val="auto"/>
                <w:kern w:val="2"/>
                <w:szCs w:val="32"/>
                <w:highlight w:val="none"/>
              </w:rPr>
              <w:t>住院手术</w:t>
            </w:r>
            <w:r>
              <w:rPr>
                <w:rFonts w:hint="default" w:ascii="Times New Roman" w:hAnsi="Times New Roman" w:eastAsia="宋体" w:cs="Times New Roman"/>
                <w:b w:val="0"/>
                <w:bCs w:val="0"/>
                <w:color w:val="auto"/>
                <w:kern w:val="2"/>
                <w:szCs w:val="32"/>
                <w:highlight w:val="none"/>
                <w:lang w:eastAsia="zh-CN"/>
              </w:rPr>
              <w:t>：</w:t>
            </w:r>
            <w:r>
              <w:rPr>
                <w:rFonts w:hint="default" w:ascii="Times New Roman" w:hAnsi="Times New Roman" w:eastAsia="宋体" w:cs="Times New Roman"/>
                <w:color w:val="auto"/>
                <w:kern w:val="2"/>
                <w:szCs w:val="32"/>
                <w:highlight w:val="none"/>
              </w:rPr>
              <w:t>根据门诊</w:t>
            </w:r>
            <w:r>
              <w:rPr>
                <w:rFonts w:hint="eastAsia" w:ascii="Times New Roman" w:hAnsi="Times New Roman" w:eastAsia="宋体" w:cs="Times New Roman"/>
                <w:color w:val="auto"/>
                <w:kern w:val="2"/>
                <w:szCs w:val="32"/>
                <w:highlight w:val="none"/>
                <w:lang w:val="en-US" w:eastAsia="zh-CN"/>
              </w:rPr>
              <w:t>诊治</w:t>
            </w:r>
            <w:r>
              <w:rPr>
                <w:rFonts w:hint="default" w:ascii="Times New Roman" w:hAnsi="Times New Roman" w:eastAsia="宋体" w:cs="Times New Roman"/>
                <w:color w:val="auto"/>
                <w:kern w:val="2"/>
                <w:szCs w:val="32"/>
                <w:highlight w:val="none"/>
              </w:rPr>
              <w:t>情况，</w:t>
            </w:r>
            <w:r>
              <w:rPr>
                <w:rFonts w:hint="default" w:ascii="Times New Roman" w:hAnsi="Times New Roman" w:eastAsia="宋体" w:cs="Times New Roman"/>
                <w:color w:val="auto"/>
                <w:kern w:val="2"/>
                <w:szCs w:val="32"/>
                <w:highlight w:val="none"/>
                <w:lang w:val="en-US" w:eastAsia="zh-CN"/>
              </w:rPr>
              <w:t>病情严重的</w:t>
            </w:r>
            <w:r>
              <w:rPr>
                <w:rFonts w:hint="default" w:ascii="Times New Roman" w:hAnsi="Times New Roman" w:eastAsia="宋体" w:cs="Times New Roman"/>
                <w:color w:val="auto"/>
                <w:kern w:val="2"/>
                <w:szCs w:val="32"/>
                <w:highlight w:val="none"/>
              </w:rPr>
              <w:t>宠物</w:t>
            </w:r>
            <w:r>
              <w:rPr>
                <w:rFonts w:hint="default" w:ascii="Times New Roman" w:hAnsi="Times New Roman" w:eastAsia="宋体" w:cs="Times New Roman"/>
                <w:color w:val="auto"/>
                <w:kern w:val="2"/>
                <w:szCs w:val="32"/>
                <w:highlight w:val="none"/>
                <w:lang w:val="en-US" w:eastAsia="zh-CN"/>
              </w:rPr>
              <w:t>需</w:t>
            </w:r>
            <w:r>
              <w:rPr>
                <w:rFonts w:hint="eastAsia" w:ascii="Times New Roman" w:hAnsi="Times New Roman" w:eastAsia="宋体" w:cs="Times New Roman"/>
                <w:color w:val="auto"/>
                <w:kern w:val="2"/>
                <w:szCs w:val="32"/>
                <w:highlight w:val="none"/>
                <w:lang w:val="en-US" w:eastAsia="zh-CN"/>
              </w:rPr>
              <w:t>住院</w:t>
            </w:r>
            <w:r>
              <w:rPr>
                <w:rFonts w:hint="default" w:ascii="Times New Roman" w:hAnsi="Times New Roman" w:eastAsia="宋体" w:cs="Times New Roman"/>
                <w:color w:val="auto"/>
                <w:kern w:val="2"/>
                <w:szCs w:val="32"/>
                <w:highlight w:val="none"/>
              </w:rPr>
              <w:t>手术治疗，宠物手术流程如下：</w:t>
            </w:r>
          </w:p>
          <w:p w14:paraId="0AB542C1">
            <w:pPr>
              <w:pStyle w:val="60"/>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ascii="Times New Roman" w:hAnsi="Times New Roman" w:eastAsia="宋体" w:cs="Times New Roman"/>
                <w:color w:val="auto"/>
                <w:kern w:val="2"/>
                <w:szCs w:val="32"/>
                <w:highlight w:val="none"/>
              </w:rPr>
            </w:pPr>
            <w:r>
              <w:rPr>
                <w:rFonts w:hint="eastAsia" w:ascii="Times New Roman" w:hAnsi="Times New Roman" w:eastAsia="宋体" w:cs="Times New Roman"/>
                <w:color w:val="auto"/>
                <w:kern w:val="2"/>
                <w:szCs w:val="32"/>
                <w:highlight w:val="none"/>
                <w:lang w:val="en-US" w:eastAsia="zh-CN"/>
              </w:rPr>
              <w:t>a</w:t>
            </w:r>
            <w:r>
              <w:rPr>
                <w:rFonts w:ascii="Times New Roman" w:hAnsi="Times New Roman" w:eastAsia="宋体" w:cs="Times New Roman"/>
                <w:color w:val="auto"/>
                <w:kern w:val="2"/>
                <w:szCs w:val="32"/>
                <w:highlight w:val="none"/>
              </w:rPr>
              <w:t xml:space="preserve">.术前确认手术类型； </w:t>
            </w:r>
          </w:p>
          <w:p w14:paraId="029B4037">
            <w:pPr>
              <w:pStyle w:val="60"/>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ascii="Times New Roman" w:hAnsi="Times New Roman" w:eastAsia="宋体" w:cs="Times New Roman"/>
                <w:color w:val="auto"/>
                <w:kern w:val="2"/>
                <w:szCs w:val="32"/>
                <w:highlight w:val="none"/>
              </w:rPr>
            </w:pPr>
            <w:r>
              <w:rPr>
                <w:rFonts w:hint="eastAsia" w:ascii="Times New Roman" w:hAnsi="Times New Roman" w:eastAsia="宋体" w:cs="Times New Roman"/>
                <w:color w:val="auto"/>
                <w:kern w:val="2"/>
                <w:szCs w:val="32"/>
                <w:highlight w:val="none"/>
                <w:lang w:val="en-US" w:eastAsia="zh-CN"/>
              </w:rPr>
              <w:t>b</w:t>
            </w:r>
            <w:r>
              <w:rPr>
                <w:rFonts w:ascii="Times New Roman" w:hAnsi="Times New Roman" w:eastAsia="宋体" w:cs="Times New Roman"/>
                <w:color w:val="auto"/>
                <w:kern w:val="2"/>
                <w:szCs w:val="32"/>
                <w:highlight w:val="none"/>
              </w:rPr>
              <w:t xml:space="preserve">.给予患病宠物提前补充预防性抗生素等措施； </w:t>
            </w:r>
          </w:p>
          <w:p w14:paraId="53F0F519">
            <w:pPr>
              <w:pStyle w:val="60"/>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ascii="Times New Roman" w:hAnsi="Times New Roman" w:eastAsia="宋体" w:cs="Times New Roman"/>
                <w:color w:val="auto"/>
                <w:kern w:val="2"/>
                <w:szCs w:val="32"/>
                <w:highlight w:val="none"/>
              </w:rPr>
            </w:pPr>
            <w:r>
              <w:rPr>
                <w:rFonts w:hint="eastAsia" w:ascii="Times New Roman" w:hAnsi="Times New Roman" w:eastAsia="宋体" w:cs="Times New Roman"/>
                <w:color w:val="auto"/>
                <w:kern w:val="2"/>
                <w:szCs w:val="32"/>
                <w:highlight w:val="none"/>
                <w:lang w:val="en-US" w:eastAsia="zh-CN"/>
              </w:rPr>
              <w:t>c</w:t>
            </w:r>
            <w:r>
              <w:rPr>
                <w:rFonts w:ascii="Times New Roman" w:hAnsi="Times New Roman" w:eastAsia="宋体" w:cs="Times New Roman"/>
                <w:color w:val="auto"/>
                <w:kern w:val="2"/>
                <w:szCs w:val="32"/>
                <w:highlight w:val="none"/>
              </w:rPr>
              <w:t xml:space="preserve">.对于患病宠物诱导麻醉后，进行气管插管； </w:t>
            </w:r>
          </w:p>
          <w:p w14:paraId="7B1D79FC">
            <w:pPr>
              <w:pStyle w:val="60"/>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ascii="Times New Roman" w:hAnsi="Times New Roman" w:eastAsia="宋体" w:cs="Times New Roman"/>
                <w:color w:val="auto"/>
                <w:kern w:val="2"/>
                <w:szCs w:val="32"/>
                <w:highlight w:val="none"/>
              </w:rPr>
            </w:pPr>
            <w:r>
              <w:rPr>
                <w:rFonts w:hint="eastAsia" w:ascii="Times New Roman" w:hAnsi="Times New Roman" w:eastAsia="宋体" w:cs="Times New Roman"/>
                <w:color w:val="auto"/>
                <w:kern w:val="2"/>
                <w:szCs w:val="32"/>
                <w:highlight w:val="none"/>
                <w:lang w:val="en-US" w:eastAsia="zh-CN"/>
              </w:rPr>
              <w:t>d</w:t>
            </w:r>
            <w:r>
              <w:rPr>
                <w:rFonts w:ascii="Times New Roman" w:hAnsi="Times New Roman" w:eastAsia="宋体" w:cs="Times New Roman"/>
                <w:color w:val="auto"/>
                <w:kern w:val="2"/>
                <w:szCs w:val="32"/>
                <w:highlight w:val="none"/>
              </w:rPr>
              <w:t xml:space="preserve">.将患病宠物患处毛发剔除，患处皮肤消毒； </w:t>
            </w:r>
          </w:p>
          <w:p w14:paraId="3569C9A3">
            <w:pPr>
              <w:pStyle w:val="60"/>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ascii="Times New Roman" w:hAnsi="Times New Roman" w:eastAsia="宋体" w:cs="Times New Roman"/>
                <w:color w:val="auto"/>
                <w:kern w:val="2"/>
                <w:szCs w:val="32"/>
                <w:highlight w:val="none"/>
              </w:rPr>
            </w:pPr>
            <w:r>
              <w:rPr>
                <w:rFonts w:hint="eastAsia" w:ascii="Times New Roman" w:hAnsi="Times New Roman" w:eastAsia="宋体" w:cs="Times New Roman"/>
                <w:color w:val="auto"/>
                <w:kern w:val="2"/>
                <w:szCs w:val="32"/>
                <w:highlight w:val="none"/>
                <w:lang w:val="en-US" w:eastAsia="zh-CN"/>
              </w:rPr>
              <w:t>e</w:t>
            </w:r>
            <w:r>
              <w:rPr>
                <w:rFonts w:ascii="Times New Roman" w:hAnsi="Times New Roman" w:eastAsia="宋体" w:cs="Times New Roman"/>
                <w:color w:val="auto"/>
                <w:kern w:val="2"/>
                <w:szCs w:val="32"/>
                <w:highlight w:val="none"/>
              </w:rPr>
              <w:t xml:space="preserve">.进行术前准备：中性肥皂刷手，喷干式刷手液；穿手术衣，戴手套，戴口罩，戴帽子；打开手术包，铺设创巾； </w:t>
            </w:r>
          </w:p>
          <w:p w14:paraId="676F595B">
            <w:pPr>
              <w:pStyle w:val="60"/>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ascii="Times New Roman" w:hAnsi="Times New Roman" w:eastAsia="宋体" w:cs="Times New Roman"/>
                <w:color w:val="auto"/>
                <w:kern w:val="2"/>
                <w:szCs w:val="32"/>
                <w:highlight w:val="none"/>
              </w:rPr>
            </w:pPr>
            <w:r>
              <w:rPr>
                <w:rFonts w:hint="eastAsia" w:ascii="Times New Roman" w:hAnsi="Times New Roman" w:eastAsia="宋体" w:cs="Times New Roman"/>
                <w:color w:val="auto"/>
                <w:kern w:val="2"/>
                <w:szCs w:val="32"/>
                <w:highlight w:val="none"/>
                <w:lang w:val="en-US" w:eastAsia="zh-CN"/>
              </w:rPr>
              <w:t>f</w:t>
            </w:r>
            <w:r>
              <w:rPr>
                <w:rFonts w:ascii="Times New Roman" w:hAnsi="Times New Roman" w:eastAsia="宋体" w:cs="Times New Roman"/>
                <w:color w:val="auto"/>
                <w:kern w:val="2"/>
                <w:szCs w:val="32"/>
                <w:highlight w:val="none"/>
              </w:rPr>
              <w:t xml:space="preserve">.进行手术； </w:t>
            </w:r>
          </w:p>
          <w:p w14:paraId="30AC9C2E">
            <w:pPr>
              <w:pStyle w:val="60"/>
              <w:keepNext w:val="0"/>
              <w:keepLines w:val="0"/>
              <w:pageBreakBefore w:val="0"/>
              <w:widowControl w:val="0"/>
              <w:kinsoku/>
              <w:wordWrap/>
              <w:overflowPunct/>
              <w:topLinePunct w:val="0"/>
              <w:autoSpaceDE/>
              <w:autoSpaceDN/>
              <w:bidi w:val="0"/>
              <w:adjustRightInd/>
              <w:snapToGrid/>
              <w:ind w:leftChars="0" w:firstLine="480" w:firstLineChars="200"/>
              <w:textAlignment w:val="auto"/>
              <w:rPr>
                <w:rFonts w:ascii="Times New Roman" w:hAnsi="Times New Roman" w:eastAsia="宋体" w:cs="Times New Roman"/>
                <w:color w:val="auto"/>
                <w:kern w:val="2"/>
                <w:szCs w:val="32"/>
                <w:highlight w:val="none"/>
              </w:rPr>
            </w:pPr>
            <w:r>
              <w:rPr>
                <w:rFonts w:hint="eastAsia" w:ascii="Times New Roman" w:hAnsi="Times New Roman" w:eastAsia="宋体" w:cs="Times New Roman"/>
                <w:color w:val="auto"/>
                <w:kern w:val="2"/>
                <w:szCs w:val="32"/>
                <w:highlight w:val="none"/>
                <w:lang w:val="en-US" w:eastAsia="zh-CN"/>
              </w:rPr>
              <w:t>g</w:t>
            </w:r>
            <w:r>
              <w:rPr>
                <w:rFonts w:ascii="Times New Roman" w:hAnsi="Times New Roman" w:eastAsia="宋体" w:cs="Times New Roman"/>
                <w:color w:val="auto"/>
                <w:kern w:val="2"/>
                <w:szCs w:val="32"/>
                <w:highlight w:val="none"/>
              </w:rPr>
              <w:t>.手术完毕后对医疗器具、手术台等进行清理及消毒。</w:t>
            </w:r>
          </w:p>
          <w:p w14:paraId="4E23022C">
            <w:pPr>
              <w:pStyle w:val="60"/>
              <w:keepNext w:val="0"/>
              <w:keepLines w:val="0"/>
              <w:pageBreakBefore w:val="0"/>
              <w:widowControl w:val="0"/>
              <w:numPr>
                <w:ilvl w:val="0"/>
                <w:numId w:val="0"/>
              </w:numPr>
              <w:kinsoku/>
              <w:wordWrap/>
              <w:overflowPunct/>
              <w:topLinePunct w:val="0"/>
              <w:autoSpaceDE/>
              <w:autoSpaceDN/>
              <w:bidi w:val="0"/>
              <w:adjustRightInd/>
              <w:snapToGrid/>
              <w:ind w:leftChars="200"/>
              <w:jc w:val="both"/>
              <w:textAlignment w:val="auto"/>
              <w:rPr>
                <w:rFonts w:hint="eastAsia" w:ascii="Times New Roman" w:hAnsi="Times New Roman" w:eastAsia="宋体" w:cs="Times New Roman"/>
                <w:b/>
                <w:bCs/>
                <w:color w:val="auto"/>
                <w:kern w:val="2"/>
                <w:szCs w:val="32"/>
                <w:highlight w:val="none"/>
                <w:lang w:val="en-US" w:eastAsia="zh-CN"/>
              </w:rPr>
            </w:pPr>
            <w:r>
              <w:rPr>
                <w:rFonts w:hint="eastAsia" w:ascii="Times New Roman" w:hAnsi="Times New Roman" w:eastAsia="宋体" w:cs="Times New Roman"/>
                <w:b/>
                <w:bCs/>
                <w:color w:val="auto"/>
                <w:kern w:val="2"/>
                <w:szCs w:val="32"/>
                <w:highlight w:val="none"/>
                <w:lang w:eastAsia="zh-CN"/>
              </w:rPr>
              <w:t>（</w:t>
            </w:r>
            <w:r>
              <w:rPr>
                <w:rFonts w:hint="eastAsia" w:ascii="Times New Roman" w:hAnsi="Times New Roman" w:eastAsia="宋体" w:cs="Times New Roman"/>
                <w:b/>
                <w:bCs/>
                <w:color w:val="auto"/>
                <w:kern w:val="2"/>
                <w:szCs w:val="32"/>
                <w:highlight w:val="none"/>
                <w:lang w:val="en-US" w:eastAsia="zh-CN"/>
              </w:rPr>
              <w:t>2）宠物美容服务</w:t>
            </w:r>
          </w:p>
          <w:p w14:paraId="1C32C7F4">
            <w:pPr>
              <w:pStyle w:val="60"/>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jc w:val="both"/>
              <w:textAlignment w:val="auto"/>
              <w:rPr>
                <w:rFonts w:hint="default" w:ascii="Times New Roman" w:hAnsi="Times New Roman" w:eastAsia="宋体" w:cs="Times New Roman"/>
                <w:b w:val="0"/>
                <w:bCs w:val="0"/>
                <w:color w:val="auto"/>
                <w:kern w:val="2"/>
                <w:szCs w:val="32"/>
                <w:highlight w:val="none"/>
                <w:lang w:val="en-US" w:eastAsia="zh-CN"/>
              </w:rPr>
            </w:pPr>
            <w:r>
              <w:rPr>
                <w:rFonts w:hint="default" w:ascii="Times New Roman" w:hAnsi="Times New Roman" w:eastAsia="宋体" w:cs="Times New Roman"/>
                <w:b w:val="0"/>
                <w:bCs w:val="0"/>
                <w:color w:val="auto"/>
                <w:kern w:val="2"/>
                <w:szCs w:val="32"/>
                <w:highlight w:val="none"/>
                <w:lang w:val="en-US" w:eastAsia="zh-CN"/>
              </w:rPr>
              <w:t>顾客携带宠物来院洗澡、剪毛、剪指甲、造型等，不涉及染发。主要污染物为洗浴废水、毛发等。</w:t>
            </w:r>
          </w:p>
          <w:p w14:paraId="18E60BA0">
            <w:pPr>
              <w:pStyle w:val="60"/>
              <w:keepNext w:val="0"/>
              <w:keepLines w:val="0"/>
              <w:pageBreakBefore w:val="0"/>
              <w:widowControl w:val="0"/>
              <w:kinsoku/>
              <w:wordWrap/>
              <w:overflowPunct/>
              <w:topLinePunct w:val="0"/>
              <w:autoSpaceDE/>
              <w:autoSpaceDN/>
              <w:bidi w:val="0"/>
              <w:adjustRightInd/>
              <w:snapToGrid/>
              <w:ind w:firstLine="482" w:firstLineChars="200"/>
              <w:jc w:val="both"/>
              <w:textAlignment w:val="auto"/>
              <w:rPr>
                <w:rFonts w:hint="default" w:ascii="Times New Roman" w:hAnsi="Times New Roman" w:eastAsia="宋体" w:cs="Times New Roman"/>
                <w:b/>
                <w:bCs/>
                <w:color w:val="auto"/>
                <w:kern w:val="2"/>
                <w:szCs w:val="32"/>
                <w:highlight w:val="none"/>
                <w:lang w:val="en-US" w:eastAsia="zh-CN"/>
              </w:rPr>
            </w:pPr>
            <w:r>
              <w:rPr>
                <w:rFonts w:hint="eastAsia" w:ascii="Times New Roman" w:hAnsi="Times New Roman" w:eastAsia="宋体" w:cs="Times New Roman"/>
                <w:b/>
                <w:bCs/>
                <w:color w:val="auto"/>
                <w:kern w:val="2"/>
                <w:szCs w:val="32"/>
                <w:highlight w:val="none"/>
                <w:lang w:val="en-US" w:eastAsia="zh-CN"/>
              </w:rPr>
              <w:t>（3）</w:t>
            </w:r>
            <w:r>
              <w:rPr>
                <w:rFonts w:hint="default" w:ascii="Times New Roman" w:hAnsi="Times New Roman" w:eastAsia="宋体" w:cs="Times New Roman"/>
                <w:b/>
                <w:bCs/>
                <w:color w:val="auto"/>
                <w:kern w:val="2"/>
                <w:szCs w:val="32"/>
                <w:highlight w:val="none"/>
                <w:lang w:val="en-US" w:eastAsia="zh-CN"/>
              </w:rPr>
              <w:t>产污情况</w:t>
            </w:r>
          </w:p>
          <w:p w14:paraId="1063AE02">
            <w:pPr>
              <w:widowControl/>
              <w:adjustRightInd w:val="0"/>
              <w:snapToGrid w:val="0"/>
              <w:spacing w:line="360" w:lineRule="auto"/>
              <w:ind w:firstLine="480"/>
              <w:rPr>
                <w:rFonts w:hint="default" w:ascii="Times New Roman" w:hAnsi="Times New Roman" w:eastAsia="宋体" w:cs="Times New Roman"/>
                <w:bCs/>
                <w:color w:val="auto"/>
                <w:highlight w:val="none"/>
              </w:rPr>
            </w:pPr>
            <w:r>
              <w:rPr>
                <w:rFonts w:hint="eastAsia" w:ascii="宋体" w:hAnsi="宋体" w:eastAsia="宋体" w:cs="宋体"/>
                <w:bCs/>
                <w:color w:val="auto"/>
                <w:highlight w:val="none"/>
              </w:rPr>
              <w:t>①</w:t>
            </w:r>
            <w:r>
              <w:rPr>
                <w:rFonts w:hint="default" w:ascii="Times New Roman" w:hAnsi="Times New Roman" w:eastAsia="宋体" w:cs="Times New Roman"/>
                <w:bCs/>
                <w:color w:val="auto"/>
                <w:highlight w:val="none"/>
              </w:rPr>
              <w:t>废水：项目经营过程产生的废水主要为</w:t>
            </w:r>
            <w:r>
              <w:rPr>
                <w:rFonts w:hint="eastAsia" w:cs="Times New Roman"/>
                <w:bCs/>
                <w:color w:val="auto"/>
                <w:highlight w:val="none"/>
                <w:lang w:val="en-US" w:eastAsia="zh-CN"/>
              </w:rPr>
              <w:t>宠物医疗废水</w:t>
            </w:r>
            <w:r>
              <w:rPr>
                <w:rFonts w:hint="eastAsia" w:cs="Times New Roman"/>
                <w:bCs/>
                <w:color w:val="auto"/>
                <w:highlight w:val="none"/>
                <w:lang w:eastAsia="zh-CN"/>
              </w:rPr>
              <w:t>、</w:t>
            </w:r>
            <w:r>
              <w:rPr>
                <w:rFonts w:hint="eastAsia"/>
                <w:color w:val="auto"/>
                <w:highlight w:val="none"/>
                <w:lang w:val="en-US" w:eastAsia="zh-CN"/>
              </w:rPr>
              <w:t>实验（化验）废水</w:t>
            </w:r>
            <w:r>
              <w:rPr>
                <w:rFonts w:hint="eastAsia" w:cs="Times New Roman"/>
                <w:bCs/>
                <w:color w:val="auto"/>
                <w:highlight w:val="none"/>
                <w:lang w:eastAsia="zh-CN"/>
              </w:rPr>
              <w:t>、</w:t>
            </w:r>
            <w:r>
              <w:rPr>
                <w:rFonts w:hint="eastAsia" w:cs="Times New Roman"/>
                <w:bCs/>
                <w:color w:val="auto"/>
                <w:highlight w:val="none"/>
                <w:lang w:val="en-US" w:eastAsia="zh-CN"/>
              </w:rPr>
              <w:t>宠物美容废水和</w:t>
            </w:r>
            <w:r>
              <w:rPr>
                <w:rFonts w:hint="eastAsia" w:cs="Times New Roman"/>
                <w:bCs/>
                <w:color w:val="auto"/>
                <w:highlight w:val="none"/>
                <w:lang w:eastAsia="zh-CN"/>
              </w:rPr>
              <w:t>生活污水</w:t>
            </w:r>
            <w:r>
              <w:rPr>
                <w:rFonts w:hint="default" w:ascii="Times New Roman" w:hAnsi="Times New Roman" w:eastAsia="宋体" w:cs="Times New Roman"/>
                <w:bCs/>
                <w:color w:val="auto"/>
                <w:highlight w:val="none"/>
              </w:rPr>
              <w:t xml:space="preserve">； </w:t>
            </w:r>
          </w:p>
          <w:p w14:paraId="2D3F58C6">
            <w:pPr>
              <w:widowControl/>
              <w:adjustRightInd w:val="0"/>
              <w:snapToGrid w:val="0"/>
              <w:spacing w:line="360" w:lineRule="auto"/>
              <w:ind w:firstLine="480"/>
              <w:rPr>
                <w:rFonts w:hint="default" w:ascii="Times New Roman" w:hAnsi="Times New Roman" w:eastAsia="宋体" w:cs="Times New Roman"/>
                <w:bCs/>
                <w:color w:val="auto"/>
                <w:highlight w:val="none"/>
              </w:rPr>
            </w:pPr>
            <w:r>
              <w:rPr>
                <w:rFonts w:hint="eastAsia" w:ascii="宋体" w:hAnsi="宋体" w:eastAsia="宋体" w:cs="宋体"/>
                <w:bCs/>
                <w:color w:val="auto"/>
                <w:highlight w:val="none"/>
              </w:rPr>
              <w:t>②</w:t>
            </w:r>
            <w:r>
              <w:rPr>
                <w:rFonts w:hint="default" w:ascii="Times New Roman" w:hAnsi="Times New Roman" w:eastAsia="宋体" w:cs="Times New Roman"/>
                <w:bCs/>
                <w:color w:val="auto"/>
                <w:highlight w:val="none"/>
              </w:rPr>
              <w:t>废气：项目经营过程中</w:t>
            </w:r>
            <w:r>
              <w:rPr>
                <w:rFonts w:hint="eastAsia" w:cs="Times New Roman"/>
                <w:bCs/>
                <w:color w:val="auto"/>
                <w:highlight w:val="none"/>
                <w:lang w:eastAsia="zh-CN"/>
              </w:rPr>
              <w:t>消毒设备</w:t>
            </w:r>
            <w:r>
              <w:rPr>
                <w:rFonts w:hint="default" w:ascii="Times New Roman" w:hAnsi="Times New Roman" w:eastAsia="宋体" w:cs="Times New Roman"/>
                <w:bCs/>
                <w:color w:val="auto"/>
                <w:highlight w:val="none"/>
              </w:rPr>
              <w:t>运行及宠物就诊</w:t>
            </w:r>
            <w:r>
              <w:rPr>
                <w:rFonts w:hint="eastAsia" w:cs="Times New Roman"/>
                <w:bCs/>
                <w:color w:val="auto"/>
                <w:highlight w:val="none"/>
                <w:lang w:val="en-US" w:eastAsia="zh-CN"/>
              </w:rPr>
              <w:t>过程</w:t>
            </w:r>
            <w:r>
              <w:rPr>
                <w:rFonts w:hint="default" w:ascii="Times New Roman" w:hAnsi="Times New Roman" w:eastAsia="宋体" w:cs="Times New Roman"/>
                <w:bCs/>
                <w:color w:val="auto"/>
                <w:highlight w:val="none"/>
              </w:rPr>
              <w:t xml:space="preserve">产生少量异味； </w:t>
            </w:r>
          </w:p>
          <w:p w14:paraId="10CDE5FE">
            <w:pPr>
              <w:widowControl/>
              <w:adjustRightInd w:val="0"/>
              <w:snapToGrid w:val="0"/>
              <w:spacing w:line="360" w:lineRule="auto"/>
              <w:ind w:firstLine="480"/>
              <w:rPr>
                <w:rFonts w:hint="default" w:ascii="Times New Roman" w:hAnsi="Times New Roman" w:eastAsia="宋体" w:cs="Times New Roman"/>
                <w:bCs/>
                <w:color w:val="auto"/>
                <w:highlight w:val="none"/>
              </w:rPr>
            </w:pPr>
            <w:r>
              <w:rPr>
                <w:rFonts w:hint="eastAsia" w:ascii="宋体" w:hAnsi="宋体" w:eastAsia="宋体" w:cs="宋体"/>
                <w:bCs/>
                <w:color w:val="auto"/>
                <w:highlight w:val="none"/>
              </w:rPr>
              <w:t>③</w:t>
            </w:r>
            <w:r>
              <w:rPr>
                <w:rFonts w:hint="default" w:ascii="Times New Roman" w:hAnsi="Times New Roman" w:eastAsia="宋体" w:cs="Times New Roman"/>
                <w:bCs/>
                <w:color w:val="auto"/>
                <w:highlight w:val="none"/>
              </w:rPr>
              <w:t xml:space="preserve">噪声：项目经营过程中产生的噪声主要来自宠物叫声，具有不定时性和突发性； </w:t>
            </w:r>
          </w:p>
          <w:p w14:paraId="4AE53547">
            <w:pPr>
              <w:pStyle w:val="60"/>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Cs/>
                <w:color w:val="auto"/>
                <w:highlight w:val="none"/>
              </w:rPr>
            </w:pPr>
            <w:r>
              <w:rPr>
                <w:rFonts w:hint="eastAsia" w:ascii="宋体" w:hAnsi="宋体" w:eastAsia="宋体" w:cs="宋体"/>
                <w:bCs/>
                <w:color w:val="auto"/>
                <w:highlight w:val="none"/>
              </w:rPr>
              <w:t>④</w:t>
            </w:r>
            <w:r>
              <w:rPr>
                <w:rFonts w:hint="default" w:ascii="Times New Roman" w:hAnsi="Times New Roman" w:eastAsia="宋体" w:cs="Times New Roman"/>
                <w:bCs/>
                <w:color w:val="auto"/>
                <w:highlight w:val="none"/>
              </w:rPr>
              <w:t xml:space="preserve">固废： </w:t>
            </w:r>
          </w:p>
          <w:p w14:paraId="3B42E547">
            <w:pPr>
              <w:pStyle w:val="60"/>
              <w:keepNext w:val="0"/>
              <w:keepLines w:val="0"/>
              <w:pageBreakBefore w:val="0"/>
              <w:widowControl w:val="0"/>
              <w:numPr>
                <w:ilvl w:val="0"/>
                <w:numId w:val="0"/>
              </w:numPr>
              <w:kinsoku/>
              <w:wordWrap/>
              <w:overflowPunct/>
              <w:topLinePunct w:val="0"/>
              <w:autoSpaceDE/>
              <w:autoSpaceDN/>
              <w:bidi w:val="0"/>
              <w:adjustRightInd/>
              <w:snapToGrid/>
              <w:ind w:left="0" w:firstLine="480" w:firstLineChars="200"/>
              <w:jc w:val="both"/>
              <w:textAlignment w:val="auto"/>
              <w:rPr>
                <w:rFonts w:hint="default" w:ascii="Times New Roman" w:hAnsi="Times New Roman" w:eastAsia="宋体" w:cs="Times New Roman"/>
                <w:bCs/>
                <w:color w:val="auto"/>
                <w:highlight w:val="none"/>
              </w:rPr>
            </w:pPr>
            <w:r>
              <w:rPr>
                <w:rFonts w:hint="eastAsia" w:ascii="Times New Roman" w:hAnsi="Times New Roman" w:eastAsia="宋体" w:cs="Times New Roman"/>
                <w:bCs/>
                <w:color w:val="auto"/>
                <w:highlight w:val="none"/>
                <w:lang w:val="en-US" w:eastAsia="zh-CN"/>
              </w:rPr>
              <w:t>a.</w:t>
            </w:r>
            <w:r>
              <w:rPr>
                <w:rFonts w:hint="default" w:ascii="Times New Roman" w:hAnsi="Times New Roman" w:eastAsia="宋体" w:cs="Times New Roman"/>
                <w:bCs/>
                <w:color w:val="auto"/>
                <w:highlight w:val="none"/>
              </w:rPr>
              <w:t>医疗废物：动物毛发（主要为</w:t>
            </w:r>
            <w:r>
              <w:rPr>
                <w:rFonts w:hint="eastAsia" w:ascii="Times New Roman" w:hAnsi="Times New Roman" w:eastAsia="宋体" w:cs="Times New Roman"/>
                <w:bCs/>
                <w:color w:val="auto"/>
                <w:highlight w:val="none"/>
                <w:lang w:val="en-US" w:eastAsia="zh-CN"/>
              </w:rPr>
              <w:t>宠物美容或</w:t>
            </w:r>
            <w:r>
              <w:rPr>
                <w:rFonts w:hint="default" w:ascii="Times New Roman" w:hAnsi="Times New Roman" w:eastAsia="宋体" w:cs="Times New Roman"/>
                <w:bCs/>
                <w:color w:val="auto"/>
                <w:highlight w:val="none"/>
              </w:rPr>
              <w:t>宠物手术剃毛产生）；动物组织（宠物在手术治疗过程会产生一定量的动物组织）；医疗垃圾主要为</w:t>
            </w:r>
            <w:r>
              <w:rPr>
                <w:rFonts w:hint="eastAsia" w:ascii="Times New Roman" w:hAnsi="Times New Roman" w:eastAsia="宋体" w:cs="Times New Roman"/>
                <w:bCs/>
                <w:color w:val="auto"/>
                <w:highlight w:val="none"/>
                <w:lang w:val="en-US" w:eastAsia="zh-CN"/>
              </w:rPr>
              <w:t>废弃或过期的药品，使用后的棉签、棉球、纱布及其他各种敷料</w:t>
            </w:r>
            <w:r>
              <w:rPr>
                <w:rFonts w:hint="eastAsia" w:ascii="Times New Roman" w:hAnsi="Times New Roman" w:eastAsia="宋体" w:cs="Times New Roman"/>
                <w:bCs/>
                <w:color w:val="auto"/>
                <w:highlight w:val="none"/>
                <w:lang w:eastAsia="zh-CN"/>
              </w:rPr>
              <w:t>，</w:t>
            </w:r>
            <w:r>
              <w:rPr>
                <w:rFonts w:hint="eastAsia" w:ascii="Times New Roman" w:hAnsi="Times New Roman" w:eastAsia="宋体" w:cs="Times New Roman"/>
                <w:bCs/>
                <w:color w:val="auto"/>
                <w:highlight w:val="none"/>
                <w:lang w:val="en-US" w:eastAsia="zh-CN"/>
              </w:rPr>
              <w:t>使用后的</w:t>
            </w:r>
            <w:r>
              <w:rPr>
                <w:rFonts w:hint="default" w:ascii="Times New Roman" w:hAnsi="Times New Roman" w:eastAsia="宋体" w:cs="Times New Roman"/>
                <w:bCs/>
                <w:color w:val="auto"/>
                <w:highlight w:val="none"/>
              </w:rPr>
              <w:t>一次性医疗用品（一次性注射器、一次性注射针头、一次性试剂片等）</w:t>
            </w:r>
            <w:r>
              <w:rPr>
                <w:rFonts w:hint="eastAsia" w:ascii="Times New Roman" w:hAnsi="Times New Roman" w:eastAsia="宋体" w:cs="Times New Roman"/>
                <w:bCs/>
                <w:color w:val="auto"/>
                <w:highlight w:val="none"/>
                <w:lang w:eastAsia="zh-CN"/>
              </w:rPr>
              <w:t>，</w:t>
            </w:r>
            <w:r>
              <w:rPr>
                <w:rFonts w:hint="eastAsia" w:ascii="Times New Roman" w:hAnsi="Times New Roman" w:eastAsia="宋体" w:cs="Times New Roman"/>
                <w:bCs/>
                <w:color w:val="auto"/>
                <w:highlight w:val="none"/>
                <w:lang w:val="en-US" w:eastAsia="zh-CN"/>
              </w:rPr>
              <w:t>化验产生的废液、废渣、废化学试剂等</w:t>
            </w:r>
            <w:r>
              <w:rPr>
                <w:rFonts w:hint="default" w:ascii="Times New Roman" w:hAnsi="Times New Roman" w:eastAsia="宋体" w:cs="Times New Roman"/>
                <w:bCs/>
                <w:color w:val="auto"/>
                <w:highlight w:val="none"/>
              </w:rPr>
              <w:t xml:space="preserve">； </w:t>
            </w:r>
          </w:p>
          <w:p w14:paraId="63CBA3D4">
            <w:pPr>
              <w:pStyle w:val="60"/>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Cs/>
                <w:color w:val="auto"/>
                <w:highlight w:val="none"/>
              </w:rPr>
            </w:pPr>
            <w:r>
              <w:rPr>
                <w:rFonts w:hint="eastAsia" w:ascii="Times New Roman" w:hAnsi="Times New Roman" w:eastAsia="宋体" w:cs="Times New Roman"/>
                <w:bCs/>
                <w:color w:val="auto"/>
                <w:highlight w:val="none"/>
                <w:lang w:val="en-US" w:eastAsia="zh-CN"/>
              </w:rPr>
              <w:t>b.</w:t>
            </w:r>
            <w:r>
              <w:rPr>
                <w:rFonts w:hint="default" w:ascii="Times New Roman" w:hAnsi="Times New Roman" w:eastAsia="宋体" w:cs="Times New Roman"/>
                <w:bCs/>
                <w:color w:val="auto"/>
                <w:highlight w:val="none"/>
              </w:rPr>
              <w:t>污泥：</w:t>
            </w:r>
            <w:r>
              <w:rPr>
                <w:rFonts w:hint="eastAsia" w:ascii="Times New Roman" w:hAnsi="Times New Roman" w:eastAsia="宋体" w:cs="Times New Roman"/>
                <w:bCs/>
                <w:color w:val="auto"/>
                <w:highlight w:val="none"/>
                <w:lang w:eastAsia="zh-CN"/>
              </w:rPr>
              <w:t>消毒设备</w:t>
            </w:r>
            <w:r>
              <w:rPr>
                <w:rFonts w:hint="default" w:ascii="Times New Roman" w:hAnsi="Times New Roman" w:eastAsia="宋体" w:cs="Times New Roman"/>
                <w:bCs/>
                <w:color w:val="auto"/>
                <w:highlight w:val="none"/>
              </w:rPr>
              <w:t>处理</w:t>
            </w:r>
            <w:r>
              <w:rPr>
                <w:rFonts w:hint="eastAsia" w:ascii="Times New Roman" w:hAnsi="Times New Roman" w:eastAsia="宋体" w:cs="Times New Roman"/>
                <w:bCs/>
                <w:color w:val="auto"/>
                <w:highlight w:val="none"/>
                <w:lang w:val="en-US" w:eastAsia="zh-CN"/>
              </w:rPr>
              <w:t>宠物医疗废水和宠物美容废水</w:t>
            </w:r>
            <w:r>
              <w:rPr>
                <w:rFonts w:hint="default" w:ascii="Times New Roman" w:hAnsi="Times New Roman" w:eastAsia="宋体" w:cs="Times New Roman"/>
                <w:bCs/>
                <w:color w:val="auto"/>
                <w:highlight w:val="none"/>
              </w:rPr>
              <w:t>产生的污泥。</w:t>
            </w:r>
          </w:p>
          <w:p w14:paraId="0C35E955">
            <w:pPr>
              <w:pStyle w:val="60"/>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ascii="Times New Roman" w:hAnsi="Times New Roman" w:eastAsia="宋体" w:cs="Times New Roman"/>
                <w:b w:val="0"/>
                <w:bCs w:val="0"/>
                <w:color w:val="auto"/>
                <w:kern w:val="2"/>
                <w:szCs w:val="32"/>
                <w:highlight w:val="none"/>
                <w:lang w:val="en-US" w:eastAsia="zh-CN"/>
              </w:rPr>
            </w:pPr>
            <w:r>
              <w:rPr>
                <w:rFonts w:hint="default" w:ascii="Times New Roman" w:hAnsi="Times New Roman" w:eastAsia="宋体" w:cs="Times New Roman"/>
                <w:bCs/>
                <w:color w:val="auto"/>
                <w:highlight w:val="none"/>
              </w:rPr>
              <w:t>项目</w:t>
            </w:r>
            <w:r>
              <w:rPr>
                <w:rFonts w:hint="default" w:ascii="Times New Roman" w:hAnsi="Times New Roman" w:eastAsia="宋体" w:cs="Times New Roman"/>
                <w:bCs/>
                <w:color w:val="auto"/>
                <w:highlight w:val="none"/>
                <w:lang w:val="en-US" w:eastAsia="zh-CN"/>
              </w:rPr>
              <w:t>产污环节及污染治理措施详见表2-</w:t>
            </w:r>
            <w:r>
              <w:rPr>
                <w:rFonts w:hint="eastAsia" w:ascii="Times New Roman" w:hAnsi="Times New Roman" w:eastAsia="宋体" w:cs="Times New Roman"/>
                <w:bCs/>
                <w:color w:val="auto"/>
                <w:highlight w:val="none"/>
                <w:lang w:val="en-US" w:eastAsia="zh-CN"/>
              </w:rPr>
              <w:t>5</w:t>
            </w:r>
            <w:r>
              <w:rPr>
                <w:rFonts w:hint="default" w:ascii="Times New Roman" w:hAnsi="Times New Roman" w:eastAsia="宋体" w:cs="Times New Roman"/>
                <w:bCs/>
                <w:color w:val="auto"/>
                <w:highlight w:val="none"/>
                <w:lang w:val="en-US" w:eastAsia="zh-CN"/>
              </w:rPr>
              <w:t>。</w:t>
            </w:r>
          </w:p>
          <w:p w14:paraId="4DC0DAB8">
            <w:pPr>
              <w:pStyle w:val="60"/>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eastAsia="宋体" w:cs="Times New Roman"/>
                <w:b/>
                <w:bCs/>
                <w:color w:val="auto"/>
                <w:kern w:val="2"/>
                <w:szCs w:val="32"/>
                <w:highlight w:val="none"/>
                <w:lang w:val="en-US" w:eastAsia="zh-CN"/>
              </w:rPr>
            </w:pPr>
            <w:r>
              <w:rPr>
                <w:rFonts w:hint="default" w:ascii="Times New Roman" w:hAnsi="Times New Roman" w:eastAsia="宋体" w:cs="Times New Roman"/>
                <w:b/>
                <w:bCs/>
                <w:color w:val="auto"/>
                <w:kern w:val="2"/>
                <w:szCs w:val="32"/>
                <w:highlight w:val="none"/>
                <w:lang w:val="en-US" w:eastAsia="zh-CN"/>
              </w:rPr>
              <w:t>表2-</w:t>
            </w:r>
            <w:r>
              <w:rPr>
                <w:rFonts w:hint="eastAsia" w:ascii="Times New Roman" w:hAnsi="Times New Roman" w:eastAsia="宋体" w:cs="Times New Roman"/>
                <w:b/>
                <w:bCs/>
                <w:color w:val="auto"/>
                <w:kern w:val="2"/>
                <w:szCs w:val="32"/>
                <w:highlight w:val="none"/>
                <w:lang w:val="en-US" w:eastAsia="zh-CN"/>
              </w:rPr>
              <w:t>5</w:t>
            </w:r>
            <w:r>
              <w:rPr>
                <w:rFonts w:hint="default" w:ascii="Times New Roman" w:hAnsi="Times New Roman" w:eastAsia="宋体" w:cs="Times New Roman"/>
                <w:b/>
                <w:bCs/>
                <w:color w:val="auto"/>
                <w:kern w:val="2"/>
                <w:szCs w:val="32"/>
                <w:highlight w:val="none"/>
                <w:lang w:val="en-US" w:eastAsia="zh-CN"/>
              </w:rPr>
              <w:t xml:space="preserve"> </w:t>
            </w:r>
            <w:r>
              <w:rPr>
                <w:rFonts w:hint="eastAsia" w:ascii="Times New Roman" w:hAnsi="Times New Roman" w:eastAsia="宋体" w:cs="Times New Roman"/>
                <w:b/>
                <w:bCs/>
                <w:color w:val="auto"/>
                <w:kern w:val="2"/>
                <w:szCs w:val="32"/>
                <w:highlight w:val="none"/>
                <w:lang w:val="en-US" w:eastAsia="zh-CN"/>
              </w:rPr>
              <w:t xml:space="preserve"> </w:t>
            </w:r>
            <w:r>
              <w:rPr>
                <w:rFonts w:hint="default" w:ascii="Times New Roman" w:hAnsi="Times New Roman" w:eastAsia="宋体" w:cs="Times New Roman"/>
                <w:b/>
                <w:bCs/>
                <w:color w:val="auto"/>
                <w:kern w:val="2"/>
                <w:szCs w:val="32"/>
                <w:highlight w:val="none"/>
                <w:lang w:val="en-US" w:eastAsia="zh-CN"/>
              </w:rPr>
              <w:t>项目产污环节及污染物清单</w:t>
            </w:r>
          </w:p>
          <w:tbl>
            <w:tblPr>
              <w:tblStyle w:val="51"/>
              <w:tblW w:w="8307"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2"/>
              <w:gridCol w:w="1620"/>
              <w:gridCol w:w="2070"/>
              <w:gridCol w:w="3905"/>
            </w:tblGrid>
            <w:tr w14:paraId="0865D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dxa"/>
                  <w:tcBorders>
                    <w:top w:val="single" w:color="auto" w:sz="12" w:space="0"/>
                    <w:left w:val="nil"/>
                    <w:bottom w:val="single" w:color="auto" w:sz="4" w:space="0"/>
                    <w:right w:val="single" w:color="auto" w:sz="4" w:space="0"/>
                  </w:tcBorders>
                </w:tcPr>
                <w:p w14:paraId="3ED7EDFD">
                  <w:pPr>
                    <w:pStyle w:val="60"/>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项目</w:t>
                  </w:r>
                </w:p>
              </w:tc>
              <w:tc>
                <w:tcPr>
                  <w:tcW w:w="1620" w:type="dxa"/>
                  <w:tcBorders>
                    <w:top w:val="single" w:color="auto" w:sz="12" w:space="0"/>
                    <w:left w:val="single" w:color="auto" w:sz="4" w:space="0"/>
                    <w:bottom w:val="single" w:color="auto" w:sz="4" w:space="0"/>
                    <w:right w:val="single" w:color="auto" w:sz="4" w:space="0"/>
                  </w:tcBorders>
                </w:tcPr>
                <w:p w14:paraId="46F98A68">
                  <w:pPr>
                    <w:pStyle w:val="6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污染源或污染工序</w:t>
                  </w:r>
                </w:p>
              </w:tc>
              <w:tc>
                <w:tcPr>
                  <w:tcW w:w="2070" w:type="dxa"/>
                  <w:tcBorders>
                    <w:top w:val="single" w:color="auto" w:sz="12" w:space="0"/>
                    <w:left w:val="single" w:color="auto" w:sz="4" w:space="0"/>
                    <w:bottom w:val="single" w:color="auto" w:sz="4" w:space="0"/>
                    <w:right w:val="single" w:color="auto" w:sz="4" w:space="0"/>
                  </w:tcBorders>
                  <w:vAlign w:val="top"/>
                </w:tcPr>
                <w:p w14:paraId="60E265F8">
                  <w:pPr>
                    <w:pStyle w:val="60"/>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rPr>
                    <w:t>污染因子</w:t>
                  </w:r>
                </w:p>
              </w:tc>
              <w:tc>
                <w:tcPr>
                  <w:tcW w:w="3905" w:type="dxa"/>
                  <w:tcBorders>
                    <w:top w:val="single" w:color="auto" w:sz="12" w:space="0"/>
                    <w:left w:val="single" w:color="auto" w:sz="4" w:space="0"/>
                    <w:bottom w:val="single" w:color="auto" w:sz="4" w:space="0"/>
                    <w:right w:val="nil"/>
                  </w:tcBorders>
                  <w:vAlign w:val="top"/>
                </w:tcPr>
                <w:p w14:paraId="2357B900">
                  <w:pPr>
                    <w:pStyle w:val="60"/>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rPr>
                    <w:t>治理措施及排放去向</w:t>
                  </w:r>
                </w:p>
              </w:tc>
            </w:tr>
            <w:tr w14:paraId="430CF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dxa"/>
                  <w:vMerge w:val="restart"/>
                  <w:tcBorders>
                    <w:top w:val="single" w:color="auto" w:sz="4" w:space="0"/>
                    <w:left w:val="nil"/>
                    <w:right w:val="single" w:color="auto" w:sz="4" w:space="0"/>
                  </w:tcBorders>
                </w:tcPr>
                <w:p w14:paraId="464B61C0">
                  <w:pPr>
                    <w:pStyle w:val="60"/>
                    <w:keepNext w:val="0"/>
                    <w:keepLines w:val="0"/>
                    <w:pageBreakBefore w:val="0"/>
                    <w:widowControl w:val="0"/>
                    <w:kinsoku/>
                    <w:wordWrap/>
                    <w:overflowPunct/>
                    <w:topLinePunct w:val="0"/>
                    <w:autoSpaceDE/>
                    <w:autoSpaceDN/>
                    <w:bidi w:val="0"/>
                    <w:adjustRightInd/>
                    <w:snapToGrid/>
                    <w:spacing w:before="93" w:beforeLines="25"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p>
                <w:p w14:paraId="362A05C1">
                  <w:pPr>
                    <w:pStyle w:val="60"/>
                    <w:keepNext w:val="0"/>
                    <w:keepLines w:val="0"/>
                    <w:pageBreakBefore w:val="0"/>
                    <w:widowControl w:val="0"/>
                    <w:kinsoku/>
                    <w:wordWrap/>
                    <w:overflowPunct/>
                    <w:topLinePunct w:val="0"/>
                    <w:autoSpaceDE/>
                    <w:autoSpaceDN/>
                    <w:bidi w:val="0"/>
                    <w:adjustRightInd/>
                    <w:snapToGrid/>
                    <w:spacing w:before="1836" w:beforeLines="5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废水</w:t>
                  </w:r>
                </w:p>
              </w:tc>
              <w:tc>
                <w:tcPr>
                  <w:tcW w:w="1620" w:type="dxa"/>
                  <w:tcBorders>
                    <w:top w:val="single" w:color="auto" w:sz="4" w:space="0"/>
                    <w:left w:val="single" w:color="auto" w:sz="4" w:space="0"/>
                    <w:right w:val="single" w:color="auto" w:sz="4" w:space="0"/>
                  </w:tcBorders>
                  <w:vAlign w:val="center"/>
                </w:tcPr>
                <w:p w14:paraId="26A1A8DC">
                  <w:pPr>
                    <w:pStyle w:val="60"/>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rPr>
                    <w:t>生活污水</w:t>
                  </w:r>
                </w:p>
              </w:tc>
              <w:tc>
                <w:tcPr>
                  <w:tcW w:w="2070" w:type="dxa"/>
                  <w:tcBorders>
                    <w:top w:val="single" w:color="auto" w:sz="4" w:space="0"/>
                    <w:left w:val="single" w:color="auto" w:sz="4" w:space="0"/>
                    <w:right w:val="single" w:color="auto" w:sz="4" w:space="0"/>
                  </w:tcBorders>
                  <w:vAlign w:val="top"/>
                </w:tcPr>
                <w:p w14:paraId="37CAF2EB">
                  <w:pPr>
                    <w:pStyle w:val="60"/>
                    <w:keepNext w:val="0"/>
                    <w:keepLines w:val="0"/>
                    <w:pageBreakBefore w:val="0"/>
                    <w:widowControl w:val="0"/>
                    <w:kinsoku/>
                    <w:wordWrap/>
                    <w:overflowPunct/>
                    <w:topLinePunct w:val="0"/>
                    <w:autoSpaceDE/>
                    <w:autoSpaceDN/>
                    <w:bidi w:val="0"/>
                    <w:adjustRightInd/>
                    <w:snapToGrid/>
                    <w:spacing w:before="93" w:beforeLines="25"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rPr>
                    <w:t>pH、COD</w:t>
                  </w:r>
                  <w:r>
                    <w:rPr>
                      <w:rFonts w:hint="eastAsia" w:ascii="Times New Roman" w:hAnsi="Times New Roman" w:eastAsia="宋体" w:cs="Times New Roman"/>
                      <w:b w:val="0"/>
                      <w:bCs w:val="0"/>
                      <w:color w:val="auto"/>
                      <w:kern w:val="2"/>
                      <w:sz w:val="21"/>
                      <w:szCs w:val="21"/>
                      <w:highlight w:val="none"/>
                      <w:vertAlign w:val="subscript"/>
                      <w:lang w:val="en-US" w:eastAsia="zh-CN"/>
                    </w:rPr>
                    <w:t>Cr</w:t>
                  </w:r>
                  <w:r>
                    <w:rPr>
                      <w:rFonts w:hint="default" w:ascii="Times New Roman" w:hAnsi="Times New Roman" w:eastAsia="宋体" w:cs="Times New Roman"/>
                      <w:b w:val="0"/>
                      <w:bCs w:val="0"/>
                      <w:color w:val="auto"/>
                      <w:kern w:val="2"/>
                      <w:sz w:val="21"/>
                      <w:szCs w:val="21"/>
                      <w:highlight w:val="none"/>
                      <w:vertAlign w:val="baseline"/>
                      <w:lang w:val="en-US" w:eastAsia="zh-CN"/>
                    </w:rPr>
                    <w:t>、BOD</w:t>
                  </w:r>
                  <w:r>
                    <w:rPr>
                      <w:rFonts w:hint="default" w:ascii="Times New Roman" w:hAnsi="Times New Roman" w:eastAsia="宋体" w:cs="Times New Roman"/>
                      <w:b w:val="0"/>
                      <w:bCs w:val="0"/>
                      <w:color w:val="auto"/>
                      <w:kern w:val="2"/>
                      <w:sz w:val="21"/>
                      <w:szCs w:val="21"/>
                      <w:highlight w:val="none"/>
                      <w:vertAlign w:val="subscript"/>
                      <w:lang w:val="en-US" w:eastAsia="zh-CN"/>
                    </w:rPr>
                    <w:t>5</w:t>
                  </w:r>
                  <w:r>
                    <w:rPr>
                      <w:rFonts w:hint="default" w:ascii="Times New Roman" w:hAnsi="Times New Roman" w:eastAsia="宋体" w:cs="Times New Roman"/>
                      <w:b w:val="0"/>
                      <w:bCs w:val="0"/>
                      <w:color w:val="auto"/>
                      <w:kern w:val="2"/>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baseline"/>
                      <w:lang w:val="en-US" w:eastAsia="zh-CN"/>
                    </w:rPr>
                    <w:t>-N、SS</w:t>
                  </w:r>
                </w:p>
              </w:tc>
              <w:tc>
                <w:tcPr>
                  <w:tcW w:w="3905" w:type="dxa"/>
                  <w:tcBorders>
                    <w:top w:val="single" w:color="auto" w:sz="4" w:space="0"/>
                    <w:left w:val="single" w:color="auto" w:sz="4" w:space="0"/>
                    <w:right w:val="nil"/>
                  </w:tcBorders>
                  <w:vAlign w:val="top"/>
                </w:tcPr>
                <w:p w14:paraId="50B4A151">
                  <w:pPr>
                    <w:pStyle w:val="60"/>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经化粪池处理后，通过市政污水管网纳入</w:t>
                  </w:r>
                  <w:r>
                    <w:rPr>
                      <w:rFonts w:hint="eastAsia" w:ascii="Times New Roman" w:hAnsi="Times New Roman" w:eastAsia="宋体" w:cs="Times New Roman"/>
                      <w:b w:val="0"/>
                      <w:bCs w:val="0"/>
                      <w:color w:val="auto"/>
                      <w:kern w:val="2"/>
                      <w:sz w:val="21"/>
                      <w:szCs w:val="21"/>
                      <w:highlight w:val="none"/>
                      <w:vertAlign w:val="baseline"/>
                      <w:lang w:val="en-US" w:eastAsia="zh-CN"/>
                    </w:rPr>
                    <w:t>洋里污水处理厂</w:t>
                  </w: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14:paraId="068D8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2" w:type="dxa"/>
                  <w:vMerge w:val="continue"/>
                  <w:tcBorders>
                    <w:left w:val="nil"/>
                    <w:right w:val="single" w:color="auto" w:sz="4" w:space="0"/>
                  </w:tcBorders>
                </w:tcPr>
                <w:p w14:paraId="52E9BB97">
                  <w:pPr>
                    <w:pStyle w:val="60"/>
                    <w:keepNext w:val="0"/>
                    <w:keepLines w:val="0"/>
                    <w:pageBreakBefore w:val="0"/>
                    <w:widowControl w:val="0"/>
                    <w:kinsoku/>
                    <w:wordWrap/>
                    <w:overflowPunct/>
                    <w:topLinePunct w:val="0"/>
                    <w:autoSpaceDE/>
                    <w:autoSpaceDN/>
                    <w:bidi w:val="0"/>
                    <w:adjustRightInd/>
                    <w:snapToGrid/>
                    <w:spacing w:before="552" w:beforeLines="1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p>
              </w:tc>
              <w:tc>
                <w:tcPr>
                  <w:tcW w:w="1620" w:type="dxa"/>
                  <w:vAlign w:val="center"/>
                </w:tcPr>
                <w:p w14:paraId="0017FFCA">
                  <w:pPr>
                    <w:pStyle w:val="6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rPr>
                    <w:t>宠物医疗废水、宠物美容废水</w:t>
                  </w:r>
                </w:p>
              </w:tc>
              <w:tc>
                <w:tcPr>
                  <w:tcW w:w="2070" w:type="dxa"/>
                  <w:vAlign w:val="top"/>
                </w:tcPr>
                <w:p w14:paraId="5666EA28">
                  <w:pPr>
                    <w:pStyle w:val="60"/>
                    <w:keepNext w:val="0"/>
                    <w:keepLines w:val="0"/>
                    <w:pageBreakBefore w:val="0"/>
                    <w:widowControl w:val="0"/>
                    <w:kinsoku/>
                    <w:wordWrap/>
                    <w:overflowPunct/>
                    <w:topLinePunct w:val="0"/>
                    <w:autoSpaceDE/>
                    <w:autoSpaceDN/>
                    <w:bidi w:val="0"/>
                    <w:adjustRightInd/>
                    <w:snapToGrid/>
                    <w:spacing w:before="368" w:beforeLines="1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rPr>
                    <w:t>pH、COD</w:t>
                  </w:r>
                  <w:r>
                    <w:rPr>
                      <w:rFonts w:hint="eastAsia" w:ascii="Times New Roman" w:hAnsi="Times New Roman" w:eastAsia="宋体" w:cs="Times New Roman"/>
                      <w:b w:val="0"/>
                      <w:bCs w:val="0"/>
                      <w:color w:val="auto"/>
                      <w:kern w:val="2"/>
                      <w:sz w:val="21"/>
                      <w:szCs w:val="21"/>
                      <w:highlight w:val="none"/>
                      <w:vertAlign w:val="subscript"/>
                      <w:lang w:val="en-US" w:eastAsia="zh-CN"/>
                    </w:rPr>
                    <w:t>Cr</w:t>
                  </w:r>
                  <w:r>
                    <w:rPr>
                      <w:rFonts w:hint="default" w:ascii="Times New Roman" w:hAnsi="Times New Roman" w:eastAsia="宋体" w:cs="Times New Roman"/>
                      <w:b w:val="0"/>
                      <w:bCs w:val="0"/>
                      <w:color w:val="auto"/>
                      <w:kern w:val="2"/>
                      <w:sz w:val="21"/>
                      <w:szCs w:val="21"/>
                      <w:highlight w:val="none"/>
                      <w:vertAlign w:val="baseline"/>
                      <w:lang w:val="en-US" w:eastAsia="zh-CN"/>
                    </w:rPr>
                    <w:t>、BOD</w:t>
                  </w:r>
                  <w:r>
                    <w:rPr>
                      <w:rFonts w:hint="default" w:ascii="Times New Roman" w:hAnsi="Times New Roman" w:eastAsia="宋体" w:cs="Times New Roman"/>
                      <w:b w:val="0"/>
                      <w:bCs w:val="0"/>
                      <w:color w:val="auto"/>
                      <w:kern w:val="2"/>
                      <w:sz w:val="21"/>
                      <w:szCs w:val="21"/>
                      <w:highlight w:val="none"/>
                      <w:vertAlign w:val="subscript"/>
                      <w:lang w:val="en-US" w:eastAsia="zh-CN"/>
                    </w:rPr>
                    <w:t>5</w:t>
                  </w:r>
                  <w:r>
                    <w:rPr>
                      <w:rFonts w:hint="default" w:ascii="Times New Roman" w:hAnsi="Times New Roman" w:eastAsia="宋体" w:cs="Times New Roman"/>
                      <w:b w:val="0"/>
                      <w:bCs w:val="0"/>
                      <w:color w:val="auto"/>
                      <w:kern w:val="2"/>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baseline"/>
                      <w:lang w:val="en-US" w:eastAsia="zh-CN"/>
                    </w:rPr>
                    <w:t>-N、SS、</w:t>
                  </w:r>
                  <w:r>
                    <w:rPr>
                      <w:rFonts w:hint="eastAsia" w:ascii="Times New Roman" w:hAnsi="Times New Roman" w:eastAsia="宋体" w:cs="Times New Roman"/>
                      <w:color w:val="auto"/>
                      <w:sz w:val="21"/>
                      <w:szCs w:val="21"/>
                      <w:highlight w:val="none"/>
                      <w:vertAlign w:val="baseline"/>
                      <w:lang w:val="en-US" w:eastAsia="zh-CN"/>
                    </w:rPr>
                    <w:t>粪大肠菌群</w:t>
                  </w:r>
                </w:p>
              </w:tc>
              <w:tc>
                <w:tcPr>
                  <w:tcW w:w="3905" w:type="dxa"/>
                  <w:tcBorders>
                    <w:right w:val="nil"/>
                  </w:tcBorders>
                </w:tcPr>
                <w:p w14:paraId="0D30545B">
                  <w:pPr>
                    <w:pStyle w:val="60"/>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经</w:t>
                  </w:r>
                  <w:r>
                    <w:rPr>
                      <w:rFonts w:hint="eastAsia" w:ascii="Times New Roman" w:hAnsi="Times New Roman" w:eastAsia="宋体" w:cs="Times New Roman"/>
                      <w:b w:val="0"/>
                      <w:bCs w:val="0"/>
                      <w:color w:val="auto"/>
                      <w:kern w:val="2"/>
                      <w:sz w:val="21"/>
                      <w:szCs w:val="21"/>
                      <w:highlight w:val="none"/>
                      <w:vertAlign w:val="baseline"/>
                      <w:lang w:val="en-US" w:eastAsia="zh-CN"/>
                    </w:rPr>
                    <w:t>配套的消毒设备</w:t>
                  </w:r>
                  <w:r>
                    <w:rPr>
                      <w:rFonts w:hint="default" w:ascii="Times New Roman" w:hAnsi="Times New Roman" w:eastAsia="宋体" w:cs="Times New Roman"/>
                      <w:b w:val="0"/>
                      <w:bCs w:val="0"/>
                      <w:color w:val="auto"/>
                      <w:kern w:val="2"/>
                      <w:sz w:val="21"/>
                      <w:szCs w:val="21"/>
                      <w:highlight w:val="none"/>
                      <w:vertAlign w:val="baseline"/>
                      <w:lang w:val="en-US" w:eastAsia="zh-CN"/>
                    </w:rPr>
                    <w:t>（主要工艺为消毒，投</w:t>
                  </w:r>
                  <w:r>
                    <w:rPr>
                      <w:rFonts w:hint="eastAsia" w:ascii="Times New Roman" w:hAnsi="Times New Roman" w:eastAsia="宋体" w:cs="Times New Roman"/>
                      <w:b w:val="0"/>
                      <w:bCs w:val="0"/>
                      <w:color w:val="auto"/>
                      <w:kern w:val="2"/>
                      <w:sz w:val="21"/>
                      <w:szCs w:val="21"/>
                      <w:highlight w:val="none"/>
                      <w:vertAlign w:val="baseline"/>
                      <w:lang w:val="en-US" w:eastAsia="zh-CN"/>
                    </w:rPr>
                    <w:t>二氧化氯片）消毒后排放</w:t>
                  </w:r>
                  <w:r>
                    <w:rPr>
                      <w:rFonts w:hint="default" w:ascii="Times New Roman" w:hAnsi="Times New Roman" w:eastAsia="宋体" w:cs="Times New Roman"/>
                      <w:b w:val="0"/>
                      <w:bCs w:val="0"/>
                      <w:color w:val="auto"/>
                      <w:kern w:val="2"/>
                      <w:sz w:val="21"/>
                      <w:szCs w:val="21"/>
                      <w:highlight w:val="none"/>
                      <w:vertAlign w:val="baseline"/>
                      <w:lang w:val="en-US" w:eastAsia="zh-CN"/>
                    </w:rPr>
                    <w:t>化粪池</w:t>
                  </w:r>
                  <w:r>
                    <w:rPr>
                      <w:rFonts w:hint="eastAsia" w:ascii="Times New Roman" w:hAnsi="Times New Roman" w:eastAsia="宋体" w:cs="Times New Roman"/>
                      <w:b w:val="0"/>
                      <w:bCs w:val="0"/>
                      <w:color w:val="auto"/>
                      <w:kern w:val="2"/>
                      <w:sz w:val="21"/>
                      <w:szCs w:val="21"/>
                      <w:highlight w:val="none"/>
                      <w:vertAlign w:val="baseline"/>
                      <w:lang w:val="en-US" w:eastAsia="zh-CN"/>
                    </w:rPr>
                    <w:t>经</w:t>
                  </w:r>
                  <w:r>
                    <w:rPr>
                      <w:rFonts w:hint="default" w:ascii="Times New Roman" w:hAnsi="Times New Roman" w:eastAsia="宋体" w:cs="Times New Roman"/>
                      <w:b w:val="0"/>
                      <w:bCs w:val="0"/>
                      <w:color w:val="auto"/>
                      <w:kern w:val="2"/>
                      <w:sz w:val="21"/>
                      <w:szCs w:val="21"/>
                      <w:highlight w:val="none"/>
                      <w:vertAlign w:val="baseline"/>
                      <w:lang w:val="en-US" w:eastAsia="zh-CN"/>
                    </w:rPr>
                    <w:t>市政污水管网纳入</w:t>
                  </w:r>
                  <w:r>
                    <w:rPr>
                      <w:rFonts w:hint="eastAsia" w:ascii="Times New Roman" w:hAnsi="Times New Roman" w:eastAsia="宋体" w:cs="Times New Roman"/>
                      <w:b w:val="0"/>
                      <w:bCs w:val="0"/>
                      <w:color w:val="auto"/>
                      <w:kern w:val="2"/>
                      <w:sz w:val="21"/>
                      <w:szCs w:val="21"/>
                      <w:highlight w:val="none"/>
                      <w:vertAlign w:val="baseline"/>
                      <w:lang w:val="en-US" w:eastAsia="zh-CN"/>
                    </w:rPr>
                    <w:t>洋里污水处理厂</w:t>
                  </w:r>
                  <w:r>
                    <w:rPr>
                      <w:rFonts w:hint="default" w:ascii="Times New Roman" w:hAnsi="Times New Roman" w:eastAsia="宋体" w:cs="Times New Roman"/>
                      <w:b w:val="0"/>
                      <w:bCs w:val="0"/>
                      <w:color w:val="auto"/>
                      <w:kern w:val="2"/>
                      <w:sz w:val="21"/>
                      <w:szCs w:val="21"/>
                      <w:highlight w:val="none"/>
                      <w:vertAlign w:val="baseline"/>
                      <w:lang w:val="en-US" w:eastAsia="zh-CN"/>
                    </w:rPr>
                    <w:t>。</w:t>
                  </w:r>
                </w:p>
              </w:tc>
            </w:tr>
            <w:tr w14:paraId="42213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2" w:type="dxa"/>
                  <w:vMerge w:val="continue"/>
                  <w:tcBorders>
                    <w:left w:val="nil"/>
                    <w:right w:val="single" w:color="auto" w:sz="4" w:space="0"/>
                  </w:tcBorders>
                </w:tcPr>
                <w:p w14:paraId="1EA07C16">
                  <w:pPr>
                    <w:pStyle w:val="60"/>
                    <w:keepNext w:val="0"/>
                    <w:keepLines w:val="0"/>
                    <w:pageBreakBefore w:val="0"/>
                    <w:widowControl w:val="0"/>
                    <w:kinsoku/>
                    <w:wordWrap/>
                    <w:overflowPunct/>
                    <w:topLinePunct w:val="0"/>
                    <w:autoSpaceDE/>
                    <w:autoSpaceDN/>
                    <w:bidi w:val="0"/>
                    <w:adjustRightInd/>
                    <w:snapToGrid/>
                    <w:spacing w:before="552" w:beforeLines="1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p>
              </w:tc>
              <w:tc>
                <w:tcPr>
                  <w:tcW w:w="1620" w:type="dxa"/>
                  <w:vAlign w:val="center"/>
                </w:tcPr>
                <w:p w14:paraId="1903C492">
                  <w:pPr>
                    <w:pStyle w:val="60"/>
                    <w:keepNext w:val="0"/>
                    <w:keepLines w:val="0"/>
                    <w:pageBreakBefore w:val="0"/>
                    <w:widowControl w:val="0"/>
                    <w:kinsoku/>
                    <w:wordWrap/>
                    <w:overflowPunct/>
                    <w:topLinePunct w:val="0"/>
                    <w:autoSpaceDE/>
                    <w:autoSpaceDN/>
                    <w:bidi w:val="0"/>
                    <w:adjustRightInd/>
                    <w:snapToGrid/>
                    <w:spacing w:before="552" w:beforeLines="1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eastAsia="宋体" w:cs="Times New Roman"/>
                      <w:b w:val="0"/>
                      <w:bCs w:val="0"/>
                      <w:color w:val="auto"/>
                      <w:kern w:val="2"/>
                      <w:sz w:val="21"/>
                      <w:szCs w:val="21"/>
                      <w:highlight w:val="none"/>
                      <w:vertAlign w:val="baseline"/>
                      <w:lang w:val="en-US" w:eastAsia="zh-CN"/>
                    </w:rPr>
                    <w:t>检验设备清洗废水</w:t>
                  </w:r>
                </w:p>
              </w:tc>
              <w:tc>
                <w:tcPr>
                  <w:tcW w:w="2070" w:type="dxa"/>
                </w:tcPr>
                <w:p w14:paraId="7D624066">
                  <w:pPr>
                    <w:pStyle w:val="60"/>
                    <w:keepNext w:val="0"/>
                    <w:keepLines w:val="0"/>
                    <w:pageBreakBefore w:val="0"/>
                    <w:widowControl w:val="0"/>
                    <w:kinsoku/>
                    <w:wordWrap/>
                    <w:overflowPunct/>
                    <w:topLinePunct w:val="0"/>
                    <w:autoSpaceDE/>
                    <w:autoSpaceDN/>
                    <w:bidi w:val="0"/>
                    <w:adjustRightInd/>
                    <w:snapToGrid/>
                    <w:spacing w:before="552" w:beforeLines="1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pH、COD</w:t>
                  </w:r>
                  <w:r>
                    <w:rPr>
                      <w:rFonts w:hint="eastAsia" w:ascii="Times New Roman" w:hAnsi="Times New Roman" w:eastAsia="宋体" w:cs="Times New Roman"/>
                      <w:b w:val="0"/>
                      <w:bCs w:val="0"/>
                      <w:color w:val="auto"/>
                      <w:kern w:val="2"/>
                      <w:sz w:val="21"/>
                      <w:szCs w:val="21"/>
                      <w:highlight w:val="none"/>
                      <w:vertAlign w:val="subscript"/>
                      <w:lang w:val="en-US" w:eastAsia="zh-CN"/>
                    </w:rPr>
                    <w:t>Cr</w:t>
                  </w:r>
                  <w:r>
                    <w:rPr>
                      <w:rFonts w:hint="default" w:ascii="Times New Roman" w:hAnsi="Times New Roman" w:eastAsia="宋体" w:cs="Times New Roman"/>
                      <w:b w:val="0"/>
                      <w:bCs w:val="0"/>
                      <w:color w:val="auto"/>
                      <w:kern w:val="2"/>
                      <w:sz w:val="21"/>
                      <w:szCs w:val="21"/>
                      <w:highlight w:val="none"/>
                      <w:vertAlign w:val="baseline"/>
                      <w:lang w:val="en-US" w:eastAsia="zh-CN"/>
                    </w:rPr>
                    <w:t>、BOD</w:t>
                  </w:r>
                  <w:r>
                    <w:rPr>
                      <w:rFonts w:hint="default" w:ascii="Times New Roman" w:hAnsi="Times New Roman" w:eastAsia="宋体" w:cs="Times New Roman"/>
                      <w:b w:val="0"/>
                      <w:bCs w:val="0"/>
                      <w:color w:val="auto"/>
                      <w:kern w:val="2"/>
                      <w:sz w:val="21"/>
                      <w:szCs w:val="21"/>
                      <w:highlight w:val="none"/>
                      <w:vertAlign w:val="subscript"/>
                      <w:lang w:val="en-US" w:eastAsia="zh-CN"/>
                    </w:rPr>
                    <w:t>5</w:t>
                  </w:r>
                  <w:r>
                    <w:rPr>
                      <w:rFonts w:hint="default" w:ascii="Times New Roman" w:hAnsi="Times New Roman" w:eastAsia="宋体" w:cs="Times New Roman"/>
                      <w:b w:val="0"/>
                      <w:bCs w:val="0"/>
                      <w:color w:val="auto"/>
                      <w:kern w:val="2"/>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baseline"/>
                      <w:lang w:val="en-US" w:eastAsia="zh-CN"/>
                    </w:rPr>
                    <w:t>-N、SS</w:t>
                  </w:r>
                </w:p>
              </w:tc>
              <w:tc>
                <w:tcPr>
                  <w:tcW w:w="3905" w:type="dxa"/>
                  <w:tcBorders>
                    <w:right w:val="nil"/>
                  </w:tcBorders>
                </w:tcPr>
                <w:p w14:paraId="17FC6ADE">
                  <w:pPr>
                    <w:pStyle w:val="60"/>
                    <w:keepNext w:val="0"/>
                    <w:keepLines w:val="0"/>
                    <w:pageBreakBefore w:val="0"/>
                    <w:widowControl w:val="0"/>
                    <w:kinsoku/>
                    <w:wordWrap/>
                    <w:overflowPunct/>
                    <w:topLinePunct w:val="0"/>
                    <w:autoSpaceDE/>
                    <w:autoSpaceDN/>
                    <w:bidi w:val="0"/>
                    <w:adjustRightInd/>
                    <w:snapToGrid/>
                    <w:spacing w:before="368" w:beforeLines="1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eastAsia="宋体" w:cs="Times New Roman"/>
                      <w:b w:val="0"/>
                      <w:bCs w:val="0"/>
                      <w:color w:val="auto"/>
                      <w:kern w:val="2"/>
                      <w:sz w:val="21"/>
                      <w:szCs w:val="21"/>
                      <w:highlight w:val="none"/>
                      <w:vertAlign w:val="baseline"/>
                      <w:lang w:val="en-US" w:eastAsia="zh-CN"/>
                    </w:rPr>
                    <w:t>头道</w:t>
                  </w:r>
                  <w:r>
                    <w:rPr>
                      <w:rFonts w:hint="default" w:ascii="Times New Roman" w:hAnsi="Times New Roman" w:eastAsia="宋体" w:cs="Times New Roman"/>
                      <w:b w:val="0"/>
                      <w:bCs w:val="0"/>
                      <w:color w:val="auto"/>
                      <w:kern w:val="2"/>
                      <w:sz w:val="21"/>
                      <w:szCs w:val="21"/>
                      <w:highlight w:val="none"/>
                      <w:vertAlign w:val="baseline"/>
                      <w:lang w:val="en-US" w:eastAsia="zh-CN"/>
                    </w:rPr>
                    <w:t>检验设备清洗废水作为危废处理</w:t>
                  </w:r>
                  <w:r>
                    <w:rPr>
                      <w:rFonts w:hint="eastAsia" w:ascii="Times New Roman" w:hAnsi="Times New Roman" w:eastAsia="宋体" w:cs="Times New Roman"/>
                      <w:b w:val="0"/>
                      <w:bCs w:val="0"/>
                      <w:color w:val="auto"/>
                      <w:kern w:val="2"/>
                      <w:sz w:val="21"/>
                      <w:szCs w:val="21"/>
                      <w:highlight w:val="none"/>
                      <w:vertAlign w:val="baseline"/>
                      <w:lang w:val="en-US" w:eastAsia="zh-CN"/>
                    </w:rPr>
                    <w:t xml:space="preserve">；第二、三道检验设备清洗废水经配套的消毒设备消毒后排放化粪池经市政污水管网纳入洋里污水处理厂。 </w:t>
                  </w:r>
                </w:p>
              </w:tc>
            </w:tr>
            <w:tr w14:paraId="5B2E8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12" w:type="dxa"/>
                  <w:tcBorders>
                    <w:left w:val="nil"/>
                  </w:tcBorders>
                </w:tcPr>
                <w:p w14:paraId="6B985EC7">
                  <w:pPr>
                    <w:pStyle w:val="60"/>
                    <w:keepNext w:val="0"/>
                    <w:keepLines w:val="0"/>
                    <w:pageBreakBefore w:val="0"/>
                    <w:widowControl w:val="0"/>
                    <w:kinsoku/>
                    <w:wordWrap/>
                    <w:overflowPunct/>
                    <w:topLinePunct w:val="0"/>
                    <w:autoSpaceDE/>
                    <w:autoSpaceDN/>
                    <w:bidi w:val="0"/>
                    <w:adjustRightInd/>
                    <w:snapToGrid/>
                    <w:spacing w:before="368" w:beforeLines="1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废气</w:t>
                  </w:r>
                </w:p>
              </w:tc>
              <w:tc>
                <w:tcPr>
                  <w:tcW w:w="1620" w:type="dxa"/>
                </w:tcPr>
                <w:p w14:paraId="1D21F46E">
                  <w:pPr>
                    <w:pStyle w:val="6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rPr>
                  </w:pPr>
                  <w:r>
                    <w:rPr>
                      <w:rFonts w:hint="eastAsia" w:ascii="Times New Roman" w:hAnsi="Times New Roman" w:eastAsia="宋体" w:cs="Times New Roman"/>
                      <w:b w:val="0"/>
                      <w:bCs w:val="0"/>
                      <w:color w:val="auto"/>
                      <w:kern w:val="2"/>
                      <w:sz w:val="21"/>
                      <w:szCs w:val="21"/>
                      <w:highlight w:val="none"/>
                      <w:vertAlign w:val="baseline"/>
                      <w:lang w:val="en-US" w:eastAsia="zh-CN"/>
                    </w:rPr>
                    <w:t>消毒设备</w:t>
                  </w:r>
                  <w:r>
                    <w:rPr>
                      <w:rFonts w:hint="default" w:ascii="Times New Roman" w:hAnsi="Times New Roman" w:eastAsia="宋体" w:cs="Times New Roman"/>
                      <w:b w:val="0"/>
                      <w:bCs w:val="0"/>
                      <w:color w:val="auto"/>
                      <w:kern w:val="2"/>
                      <w:sz w:val="21"/>
                      <w:szCs w:val="21"/>
                      <w:highlight w:val="none"/>
                      <w:vertAlign w:val="baseline"/>
                      <w:lang w:val="en-US"/>
                    </w:rPr>
                    <w:t>运行及宠物就诊</w:t>
                  </w:r>
                  <w:r>
                    <w:rPr>
                      <w:rFonts w:hint="default" w:ascii="Times New Roman" w:hAnsi="Times New Roman" w:eastAsia="宋体" w:cs="Times New Roman"/>
                      <w:b w:val="0"/>
                      <w:bCs w:val="0"/>
                      <w:color w:val="auto"/>
                      <w:kern w:val="2"/>
                      <w:sz w:val="21"/>
                      <w:szCs w:val="21"/>
                      <w:highlight w:val="none"/>
                      <w:vertAlign w:val="baseline"/>
                      <w:lang w:val="en-US" w:eastAsia="zh-CN"/>
                    </w:rPr>
                    <w:t>过程</w:t>
                  </w:r>
                  <w:r>
                    <w:rPr>
                      <w:rFonts w:hint="default" w:ascii="Times New Roman" w:hAnsi="Times New Roman" w:eastAsia="宋体" w:cs="Times New Roman"/>
                      <w:b w:val="0"/>
                      <w:bCs w:val="0"/>
                      <w:color w:val="auto"/>
                      <w:kern w:val="2"/>
                      <w:sz w:val="21"/>
                      <w:szCs w:val="21"/>
                      <w:highlight w:val="none"/>
                      <w:vertAlign w:val="baseline"/>
                      <w:lang w:val="en-US"/>
                    </w:rPr>
                    <w:t>产生少量异味</w:t>
                  </w:r>
                </w:p>
              </w:tc>
              <w:tc>
                <w:tcPr>
                  <w:tcW w:w="2070" w:type="dxa"/>
                </w:tcPr>
                <w:p w14:paraId="1CAC4A87">
                  <w:pPr>
                    <w:pStyle w:val="60"/>
                    <w:keepNext w:val="0"/>
                    <w:keepLines w:val="0"/>
                    <w:pageBreakBefore w:val="0"/>
                    <w:widowControl w:val="0"/>
                    <w:kinsoku/>
                    <w:wordWrap/>
                    <w:overflowPunct/>
                    <w:topLinePunct w:val="0"/>
                    <w:autoSpaceDE/>
                    <w:autoSpaceDN/>
                    <w:bidi w:val="0"/>
                    <w:adjustRightInd/>
                    <w:snapToGrid/>
                    <w:spacing w:before="368" w:beforeLines="1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eastAsia="宋体" w:cs="Times New Roman"/>
                      <w:b w:val="0"/>
                      <w:bCs w:val="0"/>
                      <w:color w:val="auto"/>
                      <w:kern w:val="2"/>
                      <w:sz w:val="21"/>
                      <w:szCs w:val="21"/>
                      <w:highlight w:val="none"/>
                      <w:vertAlign w:val="baseline"/>
                      <w:lang w:val="en-US" w:eastAsia="zh-CN"/>
                    </w:rPr>
                    <w:t>H</w:t>
                  </w:r>
                  <w:r>
                    <w:rPr>
                      <w:rFonts w:hint="eastAsia" w:ascii="Times New Roman" w:hAnsi="Times New Roman" w:eastAsia="宋体" w:cs="Times New Roman"/>
                      <w:b w:val="0"/>
                      <w:bCs w:val="0"/>
                      <w:color w:val="auto"/>
                      <w:kern w:val="2"/>
                      <w:sz w:val="21"/>
                      <w:szCs w:val="21"/>
                      <w:highlight w:val="none"/>
                      <w:vertAlign w:val="subscript"/>
                      <w:lang w:val="en-US" w:eastAsia="zh-CN"/>
                    </w:rPr>
                    <w:t>2</w:t>
                  </w:r>
                  <w:r>
                    <w:rPr>
                      <w:rFonts w:hint="eastAsia" w:ascii="Times New Roman" w:hAnsi="Times New Roman" w:eastAsia="宋体" w:cs="Times New Roman"/>
                      <w:b w:val="0"/>
                      <w:bCs w:val="0"/>
                      <w:color w:val="auto"/>
                      <w:kern w:val="2"/>
                      <w:sz w:val="21"/>
                      <w:szCs w:val="21"/>
                      <w:highlight w:val="none"/>
                      <w:vertAlign w:val="baseline"/>
                      <w:lang w:val="en-US" w:eastAsia="zh-CN"/>
                    </w:rPr>
                    <w:t>S、NH</w:t>
                  </w:r>
                  <w:r>
                    <w:rPr>
                      <w:rFonts w:hint="eastAsia" w:ascii="Times New Roman" w:hAnsi="Times New Roman" w:eastAsia="宋体" w:cs="Times New Roman"/>
                      <w:b w:val="0"/>
                      <w:bCs w:val="0"/>
                      <w:color w:val="auto"/>
                      <w:kern w:val="2"/>
                      <w:sz w:val="21"/>
                      <w:szCs w:val="21"/>
                      <w:highlight w:val="none"/>
                      <w:vertAlign w:val="subscript"/>
                      <w:lang w:val="en-US" w:eastAsia="zh-CN"/>
                    </w:rPr>
                    <w:t>3</w:t>
                  </w:r>
                  <w:r>
                    <w:rPr>
                      <w:rFonts w:hint="eastAsia" w:ascii="Times New Roman" w:hAnsi="Times New Roman" w:eastAsia="宋体" w:cs="Times New Roman"/>
                      <w:b w:val="0"/>
                      <w:bCs w:val="0"/>
                      <w:color w:val="auto"/>
                      <w:kern w:val="2"/>
                      <w:sz w:val="21"/>
                      <w:szCs w:val="21"/>
                      <w:highlight w:val="none"/>
                      <w:vertAlign w:val="baseline"/>
                      <w:lang w:val="en-US" w:eastAsia="zh-CN"/>
                    </w:rPr>
                    <w:t>、臭气浓度</w:t>
                  </w:r>
                </w:p>
              </w:tc>
              <w:tc>
                <w:tcPr>
                  <w:tcW w:w="3905" w:type="dxa"/>
                  <w:tcBorders>
                    <w:right w:val="nil"/>
                  </w:tcBorders>
                </w:tcPr>
                <w:p w14:paraId="0E030BC4">
                  <w:pPr>
                    <w:pStyle w:val="60"/>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rPr>
                  </w:pPr>
                  <w:r>
                    <w:rPr>
                      <w:rFonts w:hint="default" w:ascii="Times New Roman" w:hAnsi="Times New Roman" w:eastAsia="宋体" w:cs="Times New Roman"/>
                      <w:b w:val="0"/>
                      <w:bCs w:val="0"/>
                      <w:color w:val="auto"/>
                      <w:kern w:val="2"/>
                      <w:sz w:val="21"/>
                      <w:szCs w:val="21"/>
                      <w:highlight w:val="none"/>
                      <w:vertAlign w:val="baseline"/>
                      <w:lang w:val="en-US" w:eastAsia="zh-CN"/>
                    </w:rPr>
                    <w:t>医院</w:t>
                  </w:r>
                  <w:r>
                    <w:rPr>
                      <w:rFonts w:hint="eastAsia" w:ascii="Times New Roman" w:hAnsi="Times New Roman" w:eastAsia="宋体" w:cs="Times New Roman"/>
                      <w:b w:val="0"/>
                      <w:bCs w:val="0"/>
                      <w:color w:val="auto"/>
                      <w:kern w:val="2"/>
                      <w:sz w:val="21"/>
                      <w:szCs w:val="21"/>
                      <w:highlight w:val="none"/>
                      <w:vertAlign w:val="baseline"/>
                      <w:lang w:val="en-US" w:eastAsia="zh-CN"/>
                    </w:rPr>
                    <w:t>安装新风系统，</w:t>
                  </w:r>
                  <w:r>
                    <w:rPr>
                      <w:rFonts w:hint="default" w:ascii="Times New Roman" w:hAnsi="Times New Roman" w:eastAsia="宋体" w:cs="Times New Roman"/>
                      <w:b w:val="0"/>
                      <w:bCs w:val="0"/>
                      <w:color w:val="auto"/>
                      <w:kern w:val="2"/>
                      <w:sz w:val="21"/>
                      <w:szCs w:val="21"/>
                      <w:highlight w:val="none"/>
                      <w:vertAlign w:val="baseline"/>
                      <w:lang w:val="en-US" w:eastAsia="zh-CN"/>
                    </w:rPr>
                    <w:t>加强通风换气，定期喷洒宠物除臭剂。</w:t>
                  </w:r>
                </w:p>
              </w:tc>
            </w:tr>
            <w:tr w14:paraId="4D557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12" w:type="dxa"/>
                  <w:vMerge w:val="restart"/>
                  <w:tcBorders>
                    <w:left w:val="nil"/>
                    <w:right w:val="single" w:color="auto" w:sz="4" w:space="0"/>
                  </w:tcBorders>
                </w:tcPr>
                <w:p w14:paraId="1A55C1DF">
                  <w:pPr>
                    <w:pStyle w:val="60"/>
                    <w:keepNext w:val="0"/>
                    <w:keepLines w:val="0"/>
                    <w:pageBreakBefore w:val="0"/>
                    <w:widowControl w:val="0"/>
                    <w:kinsoku/>
                    <w:wordWrap/>
                    <w:overflowPunct/>
                    <w:topLinePunct w:val="0"/>
                    <w:autoSpaceDE/>
                    <w:autoSpaceDN/>
                    <w:bidi w:val="0"/>
                    <w:adjustRightInd/>
                    <w:snapToGrid/>
                    <w:spacing w:before="1653" w:beforeLines="4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固体废物</w:t>
                  </w:r>
                </w:p>
              </w:tc>
              <w:tc>
                <w:tcPr>
                  <w:tcW w:w="1620" w:type="dxa"/>
                  <w:tcBorders>
                    <w:left w:val="single" w:color="auto" w:sz="4" w:space="0"/>
                    <w:right w:val="single" w:color="auto" w:sz="4" w:space="0"/>
                  </w:tcBorders>
                </w:tcPr>
                <w:p w14:paraId="6D71EE44">
                  <w:pPr>
                    <w:pStyle w:val="60"/>
                    <w:keepNext w:val="0"/>
                    <w:keepLines w:val="0"/>
                    <w:pageBreakBefore w:val="0"/>
                    <w:widowControl w:val="0"/>
                    <w:kinsoku/>
                    <w:wordWrap/>
                    <w:overflowPunct/>
                    <w:topLinePunct w:val="0"/>
                    <w:autoSpaceDE/>
                    <w:autoSpaceDN/>
                    <w:bidi w:val="0"/>
                    <w:adjustRightInd/>
                    <w:snapToGrid/>
                    <w:spacing w:before="919" w:beforeLines="2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医疗废物</w:t>
                  </w:r>
                </w:p>
              </w:tc>
              <w:tc>
                <w:tcPr>
                  <w:tcW w:w="2070" w:type="dxa"/>
                  <w:tcBorders>
                    <w:left w:val="single" w:color="auto" w:sz="4" w:space="0"/>
                    <w:right w:val="single" w:color="auto" w:sz="4" w:space="0"/>
                  </w:tcBorders>
                  <w:vAlign w:val="top"/>
                </w:tcPr>
                <w:p w14:paraId="2DC0BF9E">
                  <w:pPr>
                    <w:pStyle w:val="6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rPr>
                    <w:t>一次性输液管、针管、医用棉球、纱布、废弃药品、手术废弃组织等医疗废物</w:t>
                  </w:r>
                  <w:r>
                    <w:rPr>
                      <w:rFonts w:hint="eastAsia" w:ascii="Times New Roman" w:hAnsi="Times New Roman" w:eastAsia="宋体" w:cs="Times New Roman"/>
                      <w:b w:val="0"/>
                      <w:bCs w:val="0"/>
                      <w:color w:val="auto"/>
                      <w:kern w:val="2"/>
                      <w:sz w:val="21"/>
                      <w:szCs w:val="21"/>
                      <w:highlight w:val="none"/>
                      <w:vertAlign w:val="baseline"/>
                      <w:lang w:val="en-US" w:eastAsia="zh-CN"/>
                    </w:rPr>
                    <w:t>、动物组织、动物毛发</w:t>
                  </w:r>
                </w:p>
              </w:tc>
              <w:tc>
                <w:tcPr>
                  <w:tcW w:w="3905" w:type="dxa"/>
                  <w:tcBorders>
                    <w:left w:val="single" w:color="auto" w:sz="4" w:space="0"/>
                    <w:right w:val="nil"/>
                  </w:tcBorders>
                </w:tcPr>
                <w:p w14:paraId="4F501A7C">
                  <w:pPr>
                    <w:keepNext w:val="0"/>
                    <w:keepLines w:val="0"/>
                    <w:widowControl/>
                    <w:suppressLineNumbers w:val="0"/>
                    <w:spacing w:before="368" w:beforeLines="100"/>
                    <w:jc w:val="center"/>
                    <w:rPr>
                      <w:rFonts w:hint="default" w:ascii="Times New Roman" w:hAnsi="Times New Roman" w:eastAsia="宋体" w:cs="Times New Roman"/>
                      <w:b w:val="0"/>
                      <w:bCs w:val="0"/>
                      <w:color w:val="auto"/>
                      <w:kern w:val="2"/>
                      <w:sz w:val="21"/>
                      <w:szCs w:val="21"/>
                      <w:highlight w:val="none"/>
                      <w:vertAlign w:val="baseline"/>
                    </w:rPr>
                  </w:pPr>
                  <w:r>
                    <w:rPr>
                      <w:rFonts w:hint="default" w:ascii="Times New Roman" w:hAnsi="Times New Roman" w:eastAsia="宋体" w:cs="Times New Roman"/>
                      <w:color w:val="auto"/>
                      <w:kern w:val="0"/>
                      <w:sz w:val="21"/>
                      <w:szCs w:val="21"/>
                      <w:highlight w:val="none"/>
                      <w:lang w:val="en-US" w:eastAsia="zh-CN" w:bidi="ar"/>
                    </w:rPr>
                    <w:t>分类收集后，暂存</w:t>
                  </w:r>
                  <w:r>
                    <w:rPr>
                      <w:rFonts w:hint="eastAsia" w:cs="Times New Roman"/>
                      <w:color w:val="auto"/>
                      <w:kern w:val="0"/>
                      <w:sz w:val="21"/>
                      <w:szCs w:val="21"/>
                      <w:highlight w:val="none"/>
                      <w:lang w:val="en-US" w:eastAsia="zh-CN" w:bidi="ar"/>
                    </w:rPr>
                    <w:t>危废间</w:t>
                  </w:r>
                  <w:r>
                    <w:rPr>
                      <w:rFonts w:hint="default" w:ascii="Times New Roman" w:hAnsi="Times New Roman" w:eastAsia="宋体" w:cs="Times New Roman"/>
                      <w:color w:val="auto"/>
                      <w:kern w:val="0"/>
                      <w:sz w:val="21"/>
                      <w:szCs w:val="21"/>
                      <w:highlight w:val="none"/>
                      <w:lang w:val="en-US" w:eastAsia="zh-CN" w:bidi="ar"/>
                    </w:rPr>
                    <w:t>后，委托有资质单位统一处置（宠物在医院内死亡，由饲养者带回处置）。</w:t>
                  </w:r>
                </w:p>
              </w:tc>
            </w:tr>
            <w:tr w14:paraId="4128A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7" w:hRule="atLeast"/>
              </w:trPr>
              <w:tc>
                <w:tcPr>
                  <w:tcW w:w="712" w:type="dxa"/>
                  <w:vMerge w:val="continue"/>
                  <w:tcBorders>
                    <w:left w:val="nil"/>
                    <w:right w:val="single" w:color="auto" w:sz="4" w:space="0"/>
                  </w:tcBorders>
                </w:tcPr>
                <w:p w14:paraId="48BC3A4D">
                  <w:pPr>
                    <w:pStyle w:val="60"/>
                    <w:keepNext w:val="0"/>
                    <w:keepLines w:val="0"/>
                    <w:pageBreakBefore w:val="0"/>
                    <w:widowControl w:val="0"/>
                    <w:kinsoku/>
                    <w:wordWrap/>
                    <w:overflowPunct/>
                    <w:topLinePunct w:val="0"/>
                    <w:autoSpaceDE/>
                    <w:autoSpaceDN/>
                    <w:bidi w:val="0"/>
                    <w:adjustRightInd/>
                    <w:snapToGrid/>
                    <w:spacing w:before="368" w:beforeLines="1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p>
              </w:tc>
              <w:tc>
                <w:tcPr>
                  <w:tcW w:w="1620" w:type="dxa"/>
                  <w:tcBorders>
                    <w:left w:val="single" w:color="auto" w:sz="4" w:space="0"/>
                    <w:right w:val="single" w:color="auto" w:sz="4" w:space="0"/>
                  </w:tcBorders>
                </w:tcPr>
                <w:p w14:paraId="4B544F39">
                  <w:pPr>
                    <w:pStyle w:val="6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eastAsia="宋体" w:cs="Times New Roman"/>
                      <w:color w:val="auto"/>
                      <w:kern w:val="2"/>
                      <w:sz w:val="21"/>
                      <w:szCs w:val="21"/>
                      <w:highlight w:val="none"/>
                      <w:lang w:eastAsia="zh-CN"/>
                    </w:rPr>
                    <w:t>消毒设备</w:t>
                  </w:r>
                  <w:r>
                    <w:rPr>
                      <w:rFonts w:hint="eastAsia" w:ascii="Times New Roman" w:hAnsi="Times New Roman" w:eastAsia="宋体" w:cs="Times New Roman"/>
                      <w:color w:val="auto"/>
                      <w:kern w:val="2"/>
                      <w:sz w:val="21"/>
                      <w:szCs w:val="21"/>
                      <w:highlight w:val="none"/>
                    </w:rPr>
                    <w:t>处理</w:t>
                  </w:r>
                  <w:r>
                    <w:rPr>
                      <w:rFonts w:hint="eastAsia" w:ascii="Times New Roman" w:hAnsi="Times New Roman" w:eastAsia="宋体" w:cs="Times New Roman"/>
                      <w:color w:val="auto"/>
                      <w:kern w:val="2"/>
                      <w:sz w:val="21"/>
                      <w:szCs w:val="21"/>
                      <w:highlight w:val="none"/>
                      <w:lang w:val="en-US" w:eastAsia="zh-CN"/>
                    </w:rPr>
                    <w:t>宠物美容</w:t>
                  </w:r>
                  <w:r>
                    <w:rPr>
                      <w:rFonts w:hint="eastAsia" w:ascii="Times New Roman" w:hAnsi="Times New Roman" w:eastAsia="宋体" w:cs="Times New Roman"/>
                      <w:color w:val="auto"/>
                      <w:kern w:val="2"/>
                      <w:sz w:val="21"/>
                      <w:szCs w:val="21"/>
                      <w:highlight w:val="none"/>
                    </w:rPr>
                    <w:t>废水</w:t>
                  </w:r>
                  <w:r>
                    <w:rPr>
                      <w:rFonts w:hint="eastAsia" w:ascii="Times New Roman" w:hAnsi="Times New Roman" w:eastAsia="宋体" w:cs="Times New Roman"/>
                      <w:color w:val="auto"/>
                      <w:kern w:val="2"/>
                      <w:sz w:val="21"/>
                      <w:szCs w:val="21"/>
                      <w:highlight w:val="none"/>
                      <w:lang w:eastAsia="zh-CN"/>
                    </w:rPr>
                    <w:t>，</w:t>
                  </w:r>
                  <w:r>
                    <w:rPr>
                      <w:rFonts w:hint="eastAsia" w:ascii="Times New Roman" w:hAnsi="Times New Roman" w:eastAsia="宋体" w:cs="Times New Roman"/>
                      <w:b w:val="0"/>
                      <w:bCs w:val="0"/>
                      <w:color w:val="auto"/>
                      <w:kern w:val="2"/>
                      <w:sz w:val="21"/>
                      <w:szCs w:val="21"/>
                      <w:highlight w:val="none"/>
                      <w:vertAlign w:val="baseline"/>
                      <w:lang w:val="en-US" w:eastAsia="zh-CN"/>
                    </w:rPr>
                    <w:t>第二、三道检验设备清洗废水和</w:t>
                  </w:r>
                  <w:r>
                    <w:rPr>
                      <w:rFonts w:hint="eastAsia" w:ascii="Times New Roman" w:hAnsi="Times New Roman" w:eastAsia="宋体" w:cs="Times New Roman"/>
                      <w:color w:val="auto"/>
                      <w:kern w:val="2"/>
                      <w:sz w:val="21"/>
                      <w:szCs w:val="21"/>
                      <w:highlight w:val="none"/>
                      <w:lang w:val="en-US" w:eastAsia="zh-CN"/>
                    </w:rPr>
                    <w:t>宠物医疗废水</w:t>
                  </w:r>
                  <w:r>
                    <w:rPr>
                      <w:rFonts w:hint="eastAsia" w:ascii="Times New Roman" w:hAnsi="Times New Roman" w:eastAsia="宋体" w:cs="Times New Roman"/>
                      <w:color w:val="auto"/>
                      <w:kern w:val="2"/>
                      <w:sz w:val="21"/>
                      <w:szCs w:val="21"/>
                      <w:highlight w:val="none"/>
                    </w:rPr>
                    <w:t>产生的污泥</w:t>
                  </w:r>
                </w:p>
              </w:tc>
              <w:tc>
                <w:tcPr>
                  <w:tcW w:w="2070" w:type="dxa"/>
                  <w:tcBorders>
                    <w:left w:val="single" w:color="auto" w:sz="4" w:space="0"/>
                    <w:right w:val="single" w:color="auto" w:sz="4" w:space="0"/>
                  </w:tcBorders>
                  <w:vAlign w:val="top"/>
                </w:tcPr>
                <w:p w14:paraId="672C32B7">
                  <w:pPr>
                    <w:pStyle w:val="60"/>
                    <w:keepNext w:val="0"/>
                    <w:keepLines w:val="0"/>
                    <w:pageBreakBefore w:val="0"/>
                    <w:widowControl w:val="0"/>
                    <w:kinsoku/>
                    <w:wordWrap/>
                    <w:overflowPunct/>
                    <w:topLinePunct w:val="0"/>
                    <w:autoSpaceDE/>
                    <w:autoSpaceDN/>
                    <w:bidi w:val="0"/>
                    <w:adjustRightInd/>
                    <w:snapToGrid/>
                    <w:spacing w:before="1469" w:beforeLines="4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rPr>
                    <w:t>污泥</w:t>
                  </w:r>
                </w:p>
              </w:tc>
              <w:tc>
                <w:tcPr>
                  <w:tcW w:w="3905" w:type="dxa"/>
                  <w:tcBorders>
                    <w:left w:val="single" w:color="auto" w:sz="4" w:space="0"/>
                    <w:right w:val="nil"/>
                  </w:tcBorders>
                </w:tcPr>
                <w:p w14:paraId="265C8F29">
                  <w:pPr>
                    <w:keepNext w:val="0"/>
                    <w:keepLines w:val="0"/>
                    <w:pageBreakBefore w:val="0"/>
                    <w:widowControl/>
                    <w:suppressLineNumbers w:val="0"/>
                    <w:kinsoku/>
                    <w:wordWrap/>
                    <w:overflowPunct/>
                    <w:topLinePunct w:val="0"/>
                    <w:autoSpaceDE/>
                    <w:autoSpaceDN/>
                    <w:bidi w:val="0"/>
                    <w:adjustRightInd/>
                    <w:snapToGrid/>
                    <w:spacing w:before="1469" w:beforeLines="40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委托有资质单位</w:t>
                  </w:r>
                  <w:r>
                    <w:rPr>
                      <w:rFonts w:hint="eastAsia" w:cs="Times New Roman"/>
                      <w:color w:val="auto"/>
                      <w:kern w:val="0"/>
                      <w:sz w:val="21"/>
                      <w:szCs w:val="21"/>
                      <w:highlight w:val="none"/>
                      <w:lang w:val="en-US" w:eastAsia="zh-CN" w:bidi="ar"/>
                    </w:rPr>
                    <w:t>定期清运</w:t>
                  </w:r>
                </w:p>
              </w:tc>
            </w:tr>
            <w:tr w14:paraId="4DC6D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12" w:type="dxa"/>
                  <w:vMerge w:val="continue"/>
                  <w:tcBorders>
                    <w:left w:val="nil"/>
                    <w:right w:val="single" w:color="auto" w:sz="4" w:space="0"/>
                  </w:tcBorders>
                </w:tcPr>
                <w:p w14:paraId="59C694D8">
                  <w:pPr>
                    <w:pStyle w:val="60"/>
                    <w:keepNext w:val="0"/>
                    <w:keepLines w:val="0"/>
                    <w:pageBreakBefore w:val="0"/>
                    <w:widowControl w:val="0"/>
                    <w:kinsoku/>
                    <w:wordWrap/>
                    <w:overflowPunct/>
                    <w:topLinePunct w:val="0"/>
                    <w:autoSpaceDE/>
                    <w:autoSpaceDN/>
                    <w:bidi w:val="0"/>
                    <w:adjustRightInd/>
                    <w:snapToGrid/>
                    <w:spacing w:before="368" w:beforeLines="10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p>
              </w:tc>
              <w:tc>
                <w:tcPr>
                  <w:tcW w:w="1620" w:type="dxa"/>
                  <w:tcBorders>
                    <w:left w:val="single" w:color="auto" w:sz="4" w:space="0"/>
                    <w:right w:val="single" w:color="auto" w:sz="4" w:space="0"/>
                  </w:tcBorders>
                </w:tcPr>
                <w:p w14:paraId="6A4E81C7">
                  <w:pPr>
                    <w:pStyle w:val="60"/>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生活垃圾</w:t>
                  </w:r>
                </w:p>
              </w:tc>
              <w:tc>
                <w:tcPr>
                  <w:tcW w:w="2070" w:type="dxa"/>
                  <w:tcBorders>
                    <w:left w:val="single" w:color="auto" w:sz="4" w:space="0"/>
                    <w:right w:val="single" w:color="auto" w:sz="4" w:space="0"/>
                  </w:tcBorders>
                </w:tcPr>
                <w:p w14:paraId="78929ACA">
                  <w:pPr>
                    <w:pStyle w:val="60"/>
                    <w:keepNext w:val="0"/>
                    <w:keepLines w:val="0"/>
                    <w:pageBreakBefore w:val="0"/>
                    <w:widowControl w:val="0"/>
                    <w:kinsoku/>
                    <w:wordWrap/>
                    <w:overflowPunct/>
                    <w:topLinePunct w:val="0"/>
                    <w:autoSpaceDE/>
                    <w:autoSpaceDN/>
                    <w:bidi w:val="0"/>
                    <w:adjustRightInd/>
                    <w:snapToGrid/>
                    <w:spacing w:before="185" w:beforeLines="5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rPr>
                    <w:t>/</w:t>
                  </w:r>
                </w:p>
              </w:tc>
              <w:tc>
                <w:tcPr>
                  <w:tcW w:w="3905" w:type="dxa"/>
                  <w:tcBorders>
                    <w:left w:val="single" w:color="auto" w:sz="4" w:space="0"/>
                    <w:right w:val="nil"/>
                  </w:tcBorders>
                </w:tcPr>
                <w:p w14:paraId="5336E62F">
                  <w:pPr>
                    <w:keepNext w:val="0"/>
                    <w:keepLines w:val="0"/>
                    <w:pageBreakBefore w:val="0"/>
                    <w:widowControl/>
                    <w:suppressLineNumbers w:val="0"/>
                    <w:kinsoku/>
                    <w:wordWrap/>
                    <w:overflowPunct/>
                    <w:topLinePunct w:val="0"/>
                    <w:autoSpaceDE/>
                    <w:autoSpaceDN/>
                    <w:bidi w:val="0"/>
                    <w:adjustRightInd/>
                    <w:snapToGrid/>
                    <w:spacing w:before="185" w:beforeLines="50"/>
                    <w:jc w:val="center"/>
                    <w:textAlignment w:val="auto"/>
                    <w:rPr>
                      <w:rFonts w:hint="default" w:ascii="Times New Roman" w:hAnsi="Times New Roman" w:eastAsia="宋体" w:cs="Times New Roman"/>
                      <w:color w:val="auto"/>
                      <w:kern w:val="0"/>
                      <w:sz w:val="20"/>
                      <w:szCs w:val="20"/>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分类收集后，委托环卫部门清运。</w:t>
                  </w:r>
                </w:p>
              </w:tc>
            </w:tr>
            <w:tr w14:paraId="071F9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712" w:type="dxa"/>
                  <w:tcBorders>
                    <w:left w:val="nil"/>
                    <w:bottom w:val="single" w:color="auto" w:sz="12" w:space="0"/>
                    <w:right w:val="single" w:color="auto" w:sz="4" w:space="0"/>
                  </w:tcBorders>
                </w:tcPr>
                <w:p w14:paraId="34195FA3">
                  <w:pPr>
                    <w:pStyle w:val="6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eastAsia="宋体" w:cs="Times New Roman"/>
                      <w:b w:val="0"/>
                      <w:bCs w:val="0"/>
                      <w:color w:val="auto"/>
                      <w:kern w:val="2"/>
                      <w:sz w:val="21"/>
                      <w:szCs w:val="21"/>
                      <w:highlight w:val="none"/>
                      <w:vertAlign w:val="baseline"/>
                      <w:lang w:val="en-US" w:eastAsia="zh-CN"/>
                    </w:rPr>
                    <w:t>噪声</w:t>
                  </w:r>
                </w:p>
              </w:tc>
              <w:tc>
                <w:tcPr>
                  <w:tcW w:w="1620" w:type="dxa"/>
                  <w:tcBorders>
                    <w:left w:val="single" w:color="auto" w:sz="4" w:space="0"/>
                    <w:bottom w:val="single" w:color="auto" w:sz="12" w:space="0"/>
                    <w:right w:val="single" w:color="auto" w:sz="4" w:space="0"/>
                  </w:tcBorders>
                </w:tcPr>
                <w:p w14:paraId="58A8ECE7">
                  <w:pPr>
                    <w:pStyle w:val="6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eastAsia="宋体" w:cs="Times New Roman"/>
                      <w:b w:val="0"/>
                      <w:bCs w:val="0"/>
                      <w:color w:val="auto"/>
                      <w:kern w:val="2"/>
                      <w:sz w:val="21"/>
                      <w:szCs w:val="21"/>
                      <w:highlight w:val="none"/>
                      <w:vertAlign w:val="baseline"/>
                      <w:lang w:val="en-US" w:eastAsia="zh-CN"/>
                    </w:rPr>
                    <w:t>宠物叫声</w:t>
                  </w:r>
                </w:p>
              </w:tc>
              <w:tc>
                <w:tcPr>
                  <w:tcW w:w="2070" w:type="dxa"/>
                  <w:tcBorders>
                    <w:left w:val="single" w:color="auto" w:sz="4" w:space="0"/>
                    <w:bottom w:val="single" w:color="auto" w:sz="12" w:space="0"/>
                    <w:right w:val="single" w:color="auto" w:sz="4" w:space="0"/>
                  </w:tcBorders>
                </w:tcPr>
                <w:p w14:paraId="0B76045B">
                  <w:pPr>
                    <w:pStyle w:val="6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rPr>
                  </w:pPr>
                  <w:r>
                    <w:rPr>
                      <w:rFonts w:hint="eastAsia" w:ascii="Times New Roman" w:hAnsi="Times New Roman" w:eastAsia="宋体" w:cs="Times New Roman"/>
                      <w:color w:val="auto"/>
                      <w:kern w:val="2"/>
                      <w:sz w:val="21"/>
                      <w:szCs w:val="21"/>
                      <w:highlight w:val="none"/>
                    </w:rPr>
                    <w:t>Leq（A）</w:t>
                  </w:r>
                </w:p>
              </w:tc>
              <w:tc>
                <w:tcPr>
                  <w:tcW w:w="3905" w:type="dxa"/>
                  <w:tcBorders>
                    <w:left w:val="single" w:color="auto" w:sz="4" w:space="0"/>
                    <w:bottom w:val="single" w:color="auto" w:sz="12" w:space="0"/>
                    <w:right w:val="nil"/>
                  </w:tcBorders>
                </w:tcPr>
                <w:p w14:paraId="0B98EC1D">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olor w:val="auto"/>
                      <w:kern w:val="0"/>
                      <w:sz w:val="21"/>
                      <w:szCs w:val="21"/>
                      <w:highlight w:val="none"/>
                    </w:rPr>
                    <w:t>墙体隔声</w:t>
                  </w:r>
                </w:p>
              </w:tc>
            </w:tr>
          </w:tbl>
          <w:p w14:paraId="04441C75">
            <w:pPr>
              <w:widowControl/>
              <w:adjustRightInd w:val="0"/>
              <w:snapToGrid w:val="0"/>
              <w:spacing w:line="360" w:lineRule="auto"/>
              <w:rPr>
                <w:rFonts w:hint="default" w:ascii="Times New Roman" w:hAnsi="Times New Roman" w:cs="Times New Roman"/>
                <w:color w:val="auto"/>
                <w:highlight w:val="none"/>
              </w:rPr>
            </w:pPr>
          </w:p>
        </w:tc>
      </w:tr>
      <w:tr w14:paraId="58AF150E">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108" w:type="dxa"/>
            <w:bottom w:w="0" w:type="dxa"/>
            <w:right w:w="108" w:type="dxa"/>
          </w:tblCellMar>
        </w:tblPrEx>
        <w:trPr>
          <w:trHeight w:val="1331" w:hRule="atLeast"/>
          <w:jc w:val="center"/>
        </w:trPr>
        <w:tc>
          <w:tcPr>
            <w:tcW w:w="1191" w:type="dxa"/>
            <w:tcBorders>
              <w:tl2br w:val="nil"/>
              <w:tr2bl w:val="nil"/>
            </w:tcBorders>
            <w:vAlign w:val="center"/>
          </w:tcPr>
          <w:p w14:paraId="10145181">
            <w:pPr>
              <w:pStyle w:val="45"/>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bCs/>
                <w:color w:val="auto"/>
                <w:highlight w:val="none"/>
              </w:rPr>
              <w:t>与项目有关的原有环境污染问题</w:t>
            </w:r>
          </w:p>
        </w:tc>
        <w:tc>
          <w:tcPr>
            <w:tcW w:w="8661" w:type="dxa"/>
            <w:tcBorders>
              <w:tl2br w:val="nil"/>
              <w:tr2bl w:val="nil"/>
            </w:tcBorders>
            <w:vAlign w:val="center"/>
          </w:tcPr>
          <w:p w14:paraId="21C57751">
            <w:pPr>
              <w:keepNext w:val="0"/>
              <w:keepLines w:val="0"/>
              <w:pageBreakBefore w:val="0"/>
              <w:widowControl/>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highlight w:val="none"/>
              </w:rPr>
            </w:pPr>
            <w:r>
              <w:rPr>
                <w:rFonts w:hint="default" w:ascii="Times New Roman" w:hAnsi="Times New Roman" w:cs="Times New Roman"/>
                <w:bCs/>
                <w:color w:val="auto"/>
                <w:highlight w:val="none"/>
              </w:rPr>
              <w:t>无</w:t>
            </w:r>
          </w:p>
        </w:tc>
      </w:tr>
    </w:tbl>
    <w:p w14:paraId="5E33A41E">
      <w:pPr>
        <w:pStyle w:val="320"/>
        <w:ind w:firstLine="0" w:firstLineChars="0"/>
        <w:rPr>
          <w:color w:val="auto"/>
          <w:highlight w:val="none"/>
        </w:rPr>
        <w:sectPr>
          <w:footerReference r:id="rId6" w:type="default"/>
          <w:pgSz w:w="11906" w:h="16838"/>
          <w:pgMar w:top="1418" w:right="1134" w:bottom="1418" w:left="1134" w:header="851" w:footer="992" w:gutter="0"/>
          <w:pgBorders>
            <w:top w:val="none" w:sz="0" w:space="0"/>
            <w:left w:val="none" w:sz="0" w:space="0"/>
            <w:bottom w:val="none" w:sz="0" w:space="0"/>
            <w:right w:val="none" w:sz="0" w:space="0"/>
          </w:pgBorders>
          <w:pgNumType w:fmt="decimal"/>
          <w:cols w:space="720" w:num="1"/>
          <w:docGrid w:linePitch="367" w:charSpace="915"/>
        </w:sectPr>
      </w:pPr>
    </w:p>
    <w:p w14:paraId="7EF746F0">
      <w:pPr>
        <w:pStyle w:val="2"/>
        <w:keepNext/>
        <w:keepLines/>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bookmarkStart w:id="61" w:name="_Toc24513"/>
      <w:bookmarkStart w:id="62" w:name="_Toc12418"/>
      <w:bookmarkStart w:id="63" w:name="_Toc133251541"/>
      <w:r>
        <w:rPr>
          <w:color w:val="auto"/>
          <w:highlight w:val="none"/>
        </w:rPr>
        <w:t>区域环境质量现状、环境保护目标及评价标准</w:t>
      </w:r>
      <w:bookmarkEnd w:id="61"/>
      <w:bookmarkEnd w:id="62"/>
      <w:bookmarkEnd w:id="63"/>
    </w:p>
    <w:tbl>
      <w:tblPr>
        <w:tblStyle w:val="50"/>
        <w:tblW w:w="986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78"/>
        <w:gridCol w:w="8689"/>
      </w:tblGrid>
      <w:tr w14:paraId="46ED05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1178" w:type="dxa"/>
            <w:vAlign w:val="center"/>
          </w:tcPr>
          <w:p w14:paraId="3BAA215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区域环境</w:t>
            </w:r>
          </w:p>
          <w:p w14:paraId="0BA817D5">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质量现状</w:t>
            </w:r>
          </w:p>
        </w:tc>
        <w:tc>
          <w:tcPr>
            <w:tcW w:w="8689" w:type="dxa"/>
            <w:vAlign w:val="center"/>
          </w:tcPr>
          <w:p w14:paraId="412ACFD3">
            <w:pPr>
              <w:pStyle w:val="3"/>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地表水环境质量现状</w:t>
            </w:r>
          </w:p>
          <w:p w14:paraId="33E00DFD">
            <w:pPr>
              <w:widowControl/>
              <w:adjustRightInd w:val="0"/>
              <w:snapToGrid w:val="0"/>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项目位于</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REF 项目地址 \h  \* MERGEFORMAT </w:instrText>
            </w:r>
            <w:r>
              <w:rPr>
                <w:rFonts w:hint="default" w:ascii="Times New Roman" w:hAnsi="Times New Roman" w:eastAsia="宋体" w:cs="Times New Roman"/>
                <w:color w:val="auto"/>
                <w:highlight w:val="none"/>
              </w:rPr>
              <w:fldChar w:fldCharType="separate"/>
            </w:r>
            <w:r>
              <w:rPr>
                <w:rFonts w:hint="eastAsia" w:cs="Times New Roman"/>
                <w:color w:val="auto"/>
                <w:highlight w:val="none"/>
                <w:lang w:eastAsia="zh-CN"/>
              </w:rPr>
              <w:t>福建省福州市晋安区玉井路99号蓝光公馆8#楼1层20商业（餐饮）</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。项目周边水域为</w:t>
            </w:r>
            <w:r>
              <w:rPr>
                <w:rFonts w:hint="eastAsia" w:cs="Times New Roman"/>
                <w:color w:val="auto"/>
                <w:highlight w:val="none"/>
                <w:lang w:val="en-US" w:eastAsia="zh-CN"/>
              </w:rPr>
              <w:t>化工</w:t>
            </w:r>
            <w:r>
              <w:rPr>
                <w:rFonts w:hint="eastAsia" w:cs="Times New Roman"/>
                <w:color w:val="auto"/>
                <w:highlight w:val="none"/>
                <w:lang w:eastAsia="zh-CN"/>
              </w:rPr>
              <w:t>河</w:t>
            </w:r>
            <w:r>
              <w:rPr>
                <w:rFonts w:hint="default" w:ascii="Times New Roman" w:hAnsi="Times New Roman" w:eastAsia="宋体" w:cs="Times New Roman"/>
                <w:color w:val="auto"/>
                <w:highlight w:val="none"/>
              </w:rPr>
              <w:t>，为福州市区内河。根据《福州市地表水环境功能区划定方案》，福州市区内河网全河段（包括西湖）水体功能为一般景观用水，环境功能类别为Ⅴ类，水质执行《地表水环境质量标准》（GB3838-2002）Ⅴ类水质标准，具体详见表3-1。</w:t>
            </w:r>
          </w:p>
          <w:p w14:paraId="0CE7FCA1">
            <w:pPr>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表3-1  《地表水环境质量标准》GB3838-2002（摘录）</w:t>
            </w:r>
          </w:p>
          <w:tbl>
            <w:tblPr>
              <w:tblStyle w:val="50"/>
              <w:tblpPr w:leftFromText="180" w:rightFromText="180" w:vertAnchor="text" w:tblpXSpec="center" w:tblpY="1"/>
              <w:tblW w:w="84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32"/>
              <w:gridCol w:w="2032"/>
              <w:gridCol w:w="2032"/>
              <w:gridCol w:w="2364"/>
            </w:tblGrid>
            <w:tr w14:paraId="07344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14:paraId="45D72AD3">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2032" w:type="dxa"/>
                  <w:vAlign w:val="center"/>
                </w:tcPr>
                <w:p w14:paraId="7F81F2EB">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p>
              </w:tc>
              <w:tc>
                <w:tcPr>
                  <w:tcW w:w="2032" w:type="dxa"/>
                  <w:vAlign w:val="center"/>
                </w:tcPr>
                <w:p w14:paraId="443551A5">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限值</w:t>
                  </w:r>
                </w:p>
              </w:tc>
              <w:tc>
                <w:tcPr>
                  <w:tcW w:w="2364" w:type="dxa"/>
                  <w:vAlign w:val="center"/>
                </w:tcPr>
                <w:p w14:paraId="5A2D8244">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标准来源</w:t>
                  </w:r>
                </w:p>
              </w:tc>
            </w:tr>
            <w:tr w14:paraId="3FE0E3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14:paraId="7E175E39">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2032" w:type="dxa"/>
                  <w:vAlign w:val="center"/>
                </w:tcPr>
                <w:p w14:paraId="0377F5D3">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pH（无量纲）</w:t>
                  </w:r>
                </w:p>
              </w:tc>
              <w:tc>
                <w:tcPr>
                  <w:tcW w:w="2032" w:type="dxa"/>
                  <w:vAlign w:val="center"/>
                </w:tcPr>
                <w:p w14:paraId="49375CF3">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9</w:t>
                  </w:r>
                </w:p>
              </w:tc>
              <w:tc>
                <w:tcPr>
                  <w:tcW w:w="2364" w:type="dxa"/>
                  <w:vMerge w:val="restart"/>
                  <w:vAlign w:val="center"/>
                </w:tcPr>
                <w:p w14:paraId="46827CBC">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《地表水环境质量标准》（GB3838-2002）Ⅴ类</w:t>
                  </w:r>
                </w:p>
              </w:tc>
            </w:tr>
            <w:tr w14:paraId="3AABC4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14:paraId="6F860963">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2032" w:type="dxa"/>
                  <w:vAlign w:val="center"/>
                </w:tcPr>
                <w:p w14:paraId="7C321D4D">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DO</w:t>
                  </w:r>
                </w:p>
              </w:tc>
              <w:tc>
                <w:tcPr>
                  <w:tcW w:w="2032" w:type="dxa"/>
                  <w:vAlign w:val="center"/>
                </w:tcPr>
                <w:p w14:paraId="6056BA9B">
                  <w:pPr>
                    <w:pStyle w:val="189"/>
                    <w:rPr>
                      <w:rFonts w:hint="default" w:ascii="Times New Roman" w:hAnsi="Times New Roman" w:eastAsia="宋体" w:cs="Times New Roman"/>
                      <w:color w:val="auto"/>
                      <w:highlight w:val="none"/>
                    </w:rPr>
                  </w:pPr>
                  <w:r>
                    <w:rPr>
                      <w:rFonts w:hint="default" w:ascii="Arial" w:hAnsi="Arial" w:cs="Arial"/>
                      <w:color w:val="auto"/>
                      <w:kern w:val="2"/>
                      <w:sz w:val="21"/>
                      <w:szCs w:val="21"/>
                      <w:highlight w:val="none"/>
                      <w:vertAlign w:val="baseline"/>
                      <w:lang w:val="en-US" w:eastAsia="zh-CN" w:bidi="ar-SA"/>
                    </w:rPr>
                    <w:t>≥</w:t>
                  </w:r>
                  <w:r>
                    <w:rPr>
                      <w:rFonts w:hint="default" w:ascii="Times New Roman" w:hAnsi="Times New Roman" w:eastAsia="宋体" w:cs="Times New Roman"/>
                      <w:color w:val="auto"/>
                      <w:highlight w:val="none"/>
                    </w:rPr>
                    <w:t>2mg/L</w:t>
                  </w:r>
                </w:p>
              </w:tc>
              <w:tc>
                <w:tcPr>
                  <w:tcW w:w="2364" w:type="dxa"/>
                  <w:vMerge w:val="continue"/>
                  <w:vAlign w:val="center"/>
                </w:tcPr>
                <w:p w14:paraId="5D883AB2">
                  <w:pPr>
                    <w:pStyle w:val="189"/>
                    <w:rPr>
                      <w:rFonts w:hint="default" w:ascii="Times New Roman" w:hAnsi="Times New Roman" w:eastAsia="宋体" w:cs="Times New Roman"/>
                      <w:color w:val="auto"/>
                      <w:highlight w:val="none"/>
                    </w:rPr>
                  </w:pPr>
                </w:p>
              </w:tc>
            </w:tr>
            <w:tr w14:paraId="527B34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14:paraId="4EBDF234">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2032" w:type="dxa"/>
                  <w:vAlign w:val="center"/>
                </w:tcPr>
                <w:p w14:paraId="23C6CF32">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COD</w:t>
                  </w:r>
                </w:p>
              </w:tc>
              <w:tc>
                <w:tcPr>
                  <w:tcW w:w="2032" w:type="dxa"/>
                  <w:vAlign w:val="center"/>
                </w:tcPr>
                <w:p w14:paraId="076B2E23">
                  <w:pPr>
                    <w:pStyle w:val="189"/>
                    <w:rPr>
                      <w:rFonts w:hint="default" w:ascii="Times New Roman" w:hAnsi="Times New Roman" w:eastAsia="宋体" w:cs="Times New Roman"/>
                      <w:color w:val="auto"/>
                      <w:highlight w:val="none"/>
                    </w:rPr>
                  </w:pPr>
                  <w:r>
                    <w:rPr>
                      <w:rFonts w:hint="default" w:ascii="Arial" w:hAnsi="Arial" w:eastAsia="宋体" w:cs="Arial"/>
                      <w:color w:val="auto"/>
                      <w:highlight w:val="none"/>
                    </w:rPr>
                    <w:t>≤</w:t>
                  </w:r>
                  <w:r>
                    <w:rPr>
                      <w:rFonts w:hint="default" w:ascii="Times New Roman" w:hAnsi="Times New Roman" w:eastAsia="宋体" w:cs="Times New Roman"/>
                      <w:color w:val="auto"/>
                      <w:highlight w:val="none"/>
                    </w:rPr>
                    <w:t>40 mg/L</w:t>
                  </w:r>
                </w:p>
              </w:tc>
              <w:tc>
                <w:tcPr>
                  <w:tcW w:w="2364" w:type="dxa"/>
                  <w:vMerge w:val="continue"/>
                  <w:vAlign w:val="center"/>
                </w:tcPr>
                <w:p w14:paraId="26873A3C">
                  <w:pPr>
                    <w:pStyle w:val="189"/>
                    <w:rPr>
                      <w:rFonts w:hint="default" w:ascii="Times New Roman" w:hAnsi="Times New Roman" w:eastAsia="宋体" w:cs="Times New Roman"/>
                      <w:color w:val="auto"/>
                      <w:highlight w:val="none"/>
                    </w:rPr>
                  </w:pPr>
                </w:p>
              </w:tc>
            </w:tr>
            <w:tr w14:paraId="056C1D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14:paraId="0B8CF84F">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2032" w:type="dxa"/>
                  <w:vAlign w:val="center"/>
                </w:tcPr>
                <w:p w14:paraId="6ED25939">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BOD</w:t>
                  </w:r>
                  <w:r>
                    <w:rPr>
                      <w:rFonts w:hint="default" w:ascii="Times New Roman" w:hAnsi="Times New Roman" w:eastAsia="宋体" w:cs="Times New Roman"/>
                      <w:color w:val="auto"/>
                      <w:highlight w:val="none"/>
                      <w:vertAlign w:val="subscript"/>
                    </w:rPr>
                    <w:t>5</w:t>
                  </w:r>
                </w:p>
              </w:tc>
              <w:tc>
                <w:tcPr>
                  <w:tcW w:w="2032" w:type="dxa"/>
                  <w:vAlign w:val="center"/>
                </w:tcPr>
                <w:p w14:paraId="036F1AB7">
                  <w:pPr>
                    <w:pStyle w:val="189"/>
                    <w:rPr>
                      <w:rFonts w:hint="default" w:ascii="Times New Roman" w:hAnsi="Times New Roman" w:eastAsia="宋体" w:cs="Times New Roman"/>
                      <w:color w:val="auto"/>
                      <w:highlight w:val="none"/>
                    </w:rPr>
                  </w:pPr>
                  <w:r>
                    <w:rPr>
                      <w:rFonts w:hint="default" w:ascii="Arial" w:hAnsi="Arial" w:eastAsia="宋体" w:cs="Arial"/>
                      <w:color w:val="auto"/>
                      <w:highlight w:val="none"/>
                    </w:rPr>
                    <w:t>≤</w:t>
                  </w:r>
                  <w:r>
                    <w:rPr>
                      <w:rFonts w:hint="default" w:ascii="Times New Roman" w:hAnsi="Times New Roman" w:eastAsia="宋体" w:cs="Times New Roman"/>
                      <w:color w:val="auto"/>
                      <w:highlight w:val="none"/>
                    </w:rPr>
                    <w:t>10mg/L</w:t>
                  </w:r>
                </w:p>
              </w:tc>
              <w:tc>
                <w:tcPr>
                  <w:tcW w:w="2364" w:type="dxa"/>
                  <w:vMerge w:val="continue"/>
                  <w:vAlign w:val="center"/>
                </w:tcPr>
                <w:p w14:paraId="74749EB4">
                  <w:pPr>
                    <w:pStyle w:val="189"/>
                    <w:rPr>
                      <w:rFonts w:hint="default" w:ascii="Times New Roman" w:hAnsi="Times New Roman" w:eastAsia="宋体" w:cs="Times New Roman"/>
                      <w:color w:val="auto"/>
                      <w:highlight w:val="none"/>
                    </w:rPr>
                  </w:pPr>
                </w:p>
              </w:tc>
            </w:tr>
            <w:tr w14:paraId="356050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14:paraId="5BE20A3C">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2032" w:type="dxa"/>
                  <w:vAlign w:val="center"/>
                </w:tcPr>
                <w:p w14:paraId="5F03BA00">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高锰酸盐指数</w:t>
                  </w:r>
                </w:p>
              </w:tc>
              <w:tc>
                <w:tcPr>
                  <w:tcW w:w="2032" w:type="dxa"/>
                  <w:vAlign w:val="center"/>
                </w:tcPr>
                <w:p w14:paraId="1056C29B">
                  <w:pPr>
                    <w:pStyle w:val="189"/>
                    <w:rPr>
                      <w:rFonts w:hint="default" w:ascii="Times New Roman" w:hAnsi="Times New Roman" w:eastAsia="宋体" w:cs="Times New Roman"/>
                      <w:color w:val="auto"/>
                      <w:highlight w:val="none"/>
                    </w:rPr>
                  </w:pPr>
                  <w:r>
                    <w:rPr>
                      <w:rFonts w:hint="default" w:ascii="Arial" w:hAnsi="Arial" w:eastAsia="宋体" w:cs="Arial"/>
                      <w:color w:val="auto"/>
                      <w:highlight w:val="none"/>
                    </w:rPr>
                    <w:t>≤</w:t>
                  </w:r>
                  <w:r>
                    <w:rPr>
                      <w:rFonts w:hint="default" w:ascii="Times New Roman" w:hAnsi="Times New Roman" w:eastAsia="宋体" w:cs="Times New Roman"/>
                      <w:color w:val="auto"/>
                      <w:highlight w:val="none"/>
                    </w:rPr>
                    <w:t>15 mg/L</w:t>
                  </w:r>
                </w:p>
              </w:tc>
              <w:tc>
                <w:tcPr>
                  <w:tcW w:w="2364" w:type="dxa"/>
                  <w:vMerge w:val="continue"/>
                  <w:vAlign w:val="center"/>
                </w:tcPr>
                <w:p w14:paraId="10622252">
                  <w:pPr>
                    <w:pStyle w:val="189"/>
                    <w:rPr>
                      <w:rFonts w:hint="default" w:ascii="Times New Roman" w:hAnsi="Times New Roman" w:eastAsia="宋体" w:cs="Times New Roman"/>
                      <w:color w:val="auto"/>
                      <w:highlight w:val="none"/>
                    </w:rPr>
                  </w:pPr>
                </w:p>
              </w:tc>
            </w:tr>
            <w:tr w14:paraId="1379D7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2032" w:type="dxa"/>
                  <w:vAlign w:val="center"/>
                </w:tcPr>
                <w:p w14:paraId="772BDFD2">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2032" w:type="dxa"/>
                  <w:vAlign w:val="center"/>
                </w:tcPr>
                <w:p w14:paraId="2842B71B">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氨氮</w:t>
                  </w:r>
                </w:p>
              </w:tc>
              <w:tc>
                <w:tcPr>
                  <w:tcW w:w="2032" w:type="dxa"/>
                  <w:vAlign w:val="center"/>
                </w:tcPr>
                <w:p w14:paraId="24BF453D">
                  <w:pPr>
                    <w:pStyle w:val="189"/>
                    <w:rPr>
                      <w:rFonts w:hint="default" w:ascii="Times New Roman" w:hAnsi="Times New Roman" w:eastAsia="宋体" w:cs="Times New Roman"/>
                      <w:color w:val="auto"/>
                      <w:highlight w:val="none"/>
                    </w:rPr>
                  </w:pPr>
                  <w:r>
                    <w:rPr>
                      <w:rFonts w:hint="default" w:ascii="Arial" w:hAnsi="Arial" w:eastAsia="宋体" w:cs="Arial"/>
                      <w:color w:val="auto"/>
                      <w:highlight w:val="none"/>
                    </w:rPr>
                    <w:t>≤</w:t>
                  </w:r>
                  <w:r>
                    <w:rPr>
                      <w:rFonts w:hint="default" w:ascii="Times New Roman" w:hAnsi="Times New Roman" w:eastAsia="宋体" w:cs="Times New Roman"/>
                      <w:color w:val="auto"/>
                      <w:highlight w:val="none"/>
                    </w:rPr>
                    <w:t>2.0 mg/L</w:t>
                  </w:r>
                </w:p>
              </w:tc>
              <w:tc>
                <w:tcPr>
                  <w:tcW w:w="2364" w:type="dxa"/>
                  <w:vMerge w:val="continue"/>
                  <w:vAlign w:val="center"/>
                </w:tcPr>
                <w:p w14:paraId="1A6236C3">
                  <w:pPr>
                    <w:pStyle w:val="189"/>
                    <w:rPr>
                      <w:rFonts w:hint="default" w:ascii="Times New Roman" w:hAnsi="Times New Roman" w:eastAsia="宋体" w:cs="Times New Roman"/>
                      <w:color w:val="auto"/>
                      <w:highlight w:val="none"/>
                    </w:rPr>
                  </w:pPr>
                </w:p>
              </w:tc>
            </w:tr>
            <w:tr w14:paraId="5A7776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14:paraId="6CB4D9D0">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w:t>
                  </w:r>
                </w:p>
              </w:tc>
              <w:tc>
                <w:tcPr>
                  <w:tcW w:w="2032" w:type="dxa"/>
                  <w:vAlign w:val="center"/>
                </w:tcPr>
                <w:p w14:paraId="0BC7556E">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总氮</w:t>
                  </w:r>
                </w:p>
              </w:tc>
              <w:tc>
                <w:tcPr>
                  <w:tcW w:w="2032" w:type="dxa"/>
                  <w:vAlign w:val="center"/>
                </w:tcPr>
                <w:p w14:paraId="18C0C6BD">
                  <w:pPr>
                    <w:pStyle w:val="189"/>
                    <w:rPr>
                      <w:rFonts w:hint="default" w:ascii="Times New Roman" w:hAnsi="Times New Roman" w:eastAsia="宋体" w:cs="Times New Roman"/>
                      <w:color w:val="auto"/>
                      <w:highlight w:val="none"/>
                    </w:rPr>
                  </w:pPr>
                  <w:r>
                    <w:rPr>
                      <w:rFonts w:hint="default" w:ascii="Arial" w:hAnsi="Arial" w:eastAsia="宋体" w:cs="Arial"/>
                      <w:color w:val="auto"/>
                      <w:highlight w:val="none"/>
                    </w:rPr>
                    <w:t>≤</w:t>
                  </w:r>
                  <w:r>
                    <w:rPr>
                      <w:rFonts w:hint="default" w:ascii="Times New Roman" w:hAnsi="Times New Roman" w:eastAsia="宋体" w:cs="Times New Roman"/>
                      <w:color w:val="auto"/>
                      <w:highlight w:val="none"/>
                    </w:rPr>
                    <w:t>2.0 mg/L</w:t>
                  </w:r>
                </w:p>
              </w:tc>
              <w:tc>
                <w:tcPr>
                  <w:tcW w:w="2364" w:type="dxa"/>
                  <w:vMerge w:val="continue"/>
                  <w:vAlign w:val="center"/>
                </w:tcPr>
                <w:p w14:paraId="3C08E7EE">
                  <w:pPr>
                    <w:pStyle w:val="189"/>
                    <w:rPr>
                      <w:rFonts w:hint="default" w:ascii="Times New Roman" w:hAnsi="Times New Roman" w:eastAsia="宋体" w:cs="Times New Roman"/>
                      <w:color w:val="auto"/>
                      <w:highlight w:val="none"/>
                    </w:rPr>
                  </w:pPr>
                </w:p>
              </w:tc>
            </w:tr>
            <w:tr w14:paraId="697CC5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14:paraId="6C8EAF33">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w:t>
                  </w:r>
                </w:p>
              </w:tc>
              <w:tc>
                <w:tcPr>
                  <w:tcW w:w="2032" w:type="dxa"/>
                  <w:vAlign w:val="center"/>
                </w:tcPr>
                <w:p w14:paraId="7115ED7D">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总磷</w:t>
                  </w:r>
                </w:p>
              </w:tc>
              <w:tc>
                <w:tcPr>
                  <w:tcW w:w="2032" w:type="dxa"/>
                  <w:vAlign w:val="center"/>
                </w:tcPr>
                <w:p w14:paraId="6971514B">
                  <w:pPr>
                    <w:pStyle w:val="189"/>
                    <w:rPr>
                      <w:rFonts w:hint="default" w:ascii="Times New Roman" w:hAnsi="Times New Roman" w:eastAsia="宋体" w:cs="Times New Roman"/>
                      <w:color w:val="auto"/>
                      <w:highlight w:val="none"/>
                    </w:rPr>
                  </w:pPr>
                  <w:r>
                    <w:rPr>
                      <w:rFonts w:hint="default" w:ascii="Arial" w:hAnsi="Arial" w:eastAsia="宋体" w:cs="Arial"/>
                      <w:color w:val="auto"/>
                      <w:highlight w:val="none"/>
                    </w:rPr>
                    <w:t>≤</w:t>
                  </w:r>
                  <w:r>
                    <w:rPr>
                      <w:rFonts w:hint="default" w:ascii="Times New Roman" w:hAnsi="Times New Roman" w:eastAsia="宋体" w:cs="Times New Roman"/>
                      <w:color w:val="auto"/>
                      <w:highlight w:val="none"/>
                    </w:rPr>
                    <w:t>0.4 mg/L</w:t>
                  </w:r>
                </w:p>
              </w:tc>
              <w:tc>
                <w:tcPr>
                  <w:tcW w:w="2364" w:type="dxa"/>
                  <w:vMerge w:val="continue"/>
                  <w:vAlign w:val="center"/>
                </w:tcPr>
                <w:p w14:paraId="56498B18">
                  <w:pPr>
                    <w:pStyle w:val="189"/>
                    <w:rPr>
                      <w:rFonts w:hint="default" w:ascii="Times New Roman" w:hAnsi="Times New Roman" w:eastAsia="宋体" w:cs="Times New Roman"/>
                      <w:color w:val="auto"/>
                      <w:highlight w:val="none"/>
                    </w:rPr>
                  </w:pPr>
                </w:p>
              </w:tc>
            </w:tr>
            <w:tr w14:paraId="7E74DD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2" w:type="dxa"/>
                  <w:vAlign w:val="center"/>
                </w:tcPr>
                <w:p w14:paraId="260E58E5">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w:t>
                  </w:r>
                </w:p>
              </w:tc>
              <w:tc>
                <w:tcPr>
                  <w:tcW w:w="2032" w:type="dxa"/>
                  <w:vAlign w:val="center"/>
                </w:tcPr>
                <w:p w14:paraId="30FC912A">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石油类</w:t>
                  </w:r>
                </w:p>
              </w:tc>
              <w:tc>
                <w:tcPr>
                  <w:tcW w:w="2032" w:type="dxa"/>
                  <w:vAlign w:val="center"/>
                </w:tcPr>
                <w:p w14:paraId="0CFD277B">
                  <w:pPr>
                    <w:pStyle w:val="189"/>
                    <w:rPr>
                      <w:rFonts w:hint="default" w:ascii="Times New Roman" w:hAnsi="Times New Roman" w:eastAsia="宋体" w:cs="Times New Roman"/>
                      <w:color w:val="auto"/>
                      <w:highlight w:val="none"/>
                    </w:rPr>
                  </w:pPr>
                  <w:r>
                    <w:rPr>
                      <w:rFonts w:hint="default" w:ascii="Arial" w:hAnsi="Arial" w:eastAsia="宋体" w:cs="Arial"/>
                      <w:color w:val="auto"/>
                      <w:highlight w:val="none"/>
                    </w:rPr>
                    <w:t>≤</w:t>
                  </w:r>
                  <w:r>
                    <w:rPr>
                      <w:rFonts w:hint="default" w:ascii="Times New Roman" w:hAnsi="Times New Roman" w:eastAsia="宋体" w:cs="Times New Roman"/>
                      <w:color w:val="auto"/>
                      <w:highlight w:val="none"/>
                    </w:rPr>
                    <w:t>1.0 mg/L</w:t>
                  </w:r>
                </w:p>
              </w:tc>
              <w:tc>
                <w:tcPr>
                  <w:tcW w:w="2364" w:type="dxa"/>
                  <w:vMerge w:val="continue"/>
                  <w:vAlign w:val="center"/>
                </w:tcPr>
                <w:p w14:paraId="06AC1F1A">
                  <w:pPr>
                    <w:pStyle w:val="189"/>
                    <w:rPr>
                      <w:rFonts w:hint="default" w:ascii="Times New Roman" w:hAnsi="Times New Roman" w:eastAsia="宋体" w:cs="Times New Roman"/>
                      <w:color w:val="auto"/>
                      <w:highlight w:val="none"/>
                    </w:rPr>
                  </w:pPr>
                </w:p>
              </w:tc>
            </w:tr>
          </w:tbl>
          <w:p w14:paraId="237807EC">
            <w:pPr>
              <w:pStyle w:val="15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福建省生态环境厅网站公布的《福建省流域水环境质量状况（2023年1～12月）》数据，2023年1～12月，全省主要流域总体水质为优。国控断面Ⅰ～Ⅲ类水质比例99.0％，Ⅰ～Ⅱ类水质比例68.6％；国控及省控断面Ⅰ～Ⅲ类水质比例99.5％，其中Ⅰ～Ⅱ类水质比例65.3％，各类水质比例如下</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Ⅰ类占1.9%，Ⅱ类占63.5%，Ⅲ类占34.1%，Ⅳ类占0.5%，无Ⅴ类和劣Ⅴ类水。</w:t>
            </w:r>
          </w:p>
          <w:p w14:paraId="2AB7F8C1">
            <w:pPr>
              <w:pStyle w:val="157"/>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周边水域主要为</w:t>
            </w:r>
            <w:r>
              <w:rPr>
                <w:rFonts w:hint="eastAsia" w:ascii="Times New Roman" w:hAnsi="Times New Roman" w:eastAsia="宋体" w:cs="Times New Roman"/>
                <w:color w:val="auto"/>
                <w:highlight w:val="none"/>
                <w:lang w:eastAsia="zh-CN"/>
              </w:rPr>
              <w:t>化工河</w:t>
            </w:r>
            <w:r>
              <w:rPr>
                <w:rFonts w:hint="default" w:ascii="Times New Roman" w:hAnsi="Times New Roman" w:eastAsia="宋体" w:cs="Times New Roman"/>
                <w:color w:val="auto"/>
                <w:highlight w:val="none"/>
              </w:rPr>
              <w:t>，属于福州市内河河网，</w:t>
            </w:r>
            <w:r>
              <w:rPr>
                <w:rFonts w:hint="eastAsia" w:ascii="Times New Roman" w:hAnsi="Times New Roman" w:eastAsia="宋体" w:cs="Times New Roman"/>
                <w:color w:val="auto"/>
                <w:highlight w:val="none"/>
                <w:lang w:eastAsia="zh-CN"/>
              </w:rPr>
              <w:t>化工河</w:t>
            </w:r>
            <w:r>
              <w:rPr>
                <w:rFonts w:hint="default" w:ascii="Times New Roman" w:hAnsi="Times New Roman" w:eastAsia="宋体" w:cs="Times New Roman"/>
                <w:color w:val="auto"/>
                <w:highlight w:val="none"/>
              </w:rPr>
              <w:t>水环境质量现状可达《地表水环境质量标准》（GB3838-2002）中的V类标准，项目区域水环境质量现状达标。</w:t>
            </w:r>
          </w:p>
          <w:p w14:paraId="1D28E845">
            <w:pPr>
              <w:pStyle w:val="15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color w:val="auto"/>
                <w:highlight w:val="none"/>
              </w:rPr>
              <w:t>地表水环境》</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HJ2.3-2018</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的要求，水环境质量现状调查应优先采用国务院生态</w:t>
            </w:r>
            <w:r>
              <w:rPr>
                <w:rFonts w:hint="eastAsia" w:ascii="Times New Roman" w:hAnsi="Times New Roman" w:eastAsia="宋体" w:cs="Times New Roman"/>
                <w:color w:val="auto"/>
                <w:highlight w:val="none"/>
                <w:lang w:eastAsia="zh-CN"/>
              </w:rPr>
              <w:t>生态环境主管部门</w:t>
            </w:r>
            <w:r>
              <w:rPr>
                <w:rFonts w:hint="default" w:ascii="Times New Roman" w:hAnsi="Times New Roman" w:eastAsia="宋体" w:cs="Times New Roman"/>
                <w:color w:val="auto"/>
                <w:highlight w:val="none"/>
              </w:rPr>
              <w:t>统一发布的水环境状况信息。本此评价选取福建省主要流域水环境质量状况信息，符合《环境影响评价技术导则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color w:val="auto"/>
                <w:highlight w:val="none"/>
              </w:rPr>
              <w:t>地表水环境》</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HJ2.2-2018</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的要求，环境现状监测数据可行。</w:t>
            </w:r>
          </w:p>
          <w:p w14:paraId="2417098A">
            <w:pPr>
              <w:pStyle w:val="157"/>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highlight w:val="none"/>
              </w:rPr>
            </w:pPr>
            <w:r>
              <w:rPr>
                <w:highlight w:val="none"/>
              </w:rPr>
              <w:drawing>
                <wp:inline distT="0" distB="0" distL="114300" distR="114300">
                  <wp:extent cx="5368925" cy="3059430"/>
                  <wp:effectExtent l="0" t="0" r="3175" b="762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0" cstate="print"/>
                          <a:stretch>
                            <a:fillRect/>
                          </a:stretch>
                        </pic:blipFill>
                        <pic:spPr>
                          <a:xfrm>
                            <a:off x="0" y="0"/>
                            <a:ext cx="5368925" cy="3059430"/>
                          </a:xfrm>
                          <a:prstGeom prst="rect">
                            <a:avLst/>
                          </a:prstGeom>
                          <a:noFill/>
                          <a:ln>
                            <a:noFill/>
                          </a:ln>
                        </pic:spPr>
                      </pic:pic>
                    </a:graphicData>
                  </a:graphic>
                </wp:inline>
              </w:drawing>
            </w:r>
          </w:p>
          <w:p w14:paraId="3B076FD7">
            <w:pPr>
              <w:pStyle w:val="198"/>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图3-1  水环境质量现状截图</w:t>
            </w:r>
          </w:p>
          <w:p w14:paraId="3BD4A1C7">
            <w:pPr>
              <w:pStyle w:val="198"/>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hint="default" w:ascii="Times New Roman" w:hAnsi="Times New Roman" w:eastAsia="宋体" w:cs="Times New Roman"/>
                <w:b/>
                <w:bCs w:val="0"/>
                <w:color w:val="auto"/>
                <w:sz w:val="28"/>
                <w:szCs w:val="22"/>
                <w:highlight w:val="none"/>
                <w:lang w:val="en-US" w:eastAsia="zh-CN"/>
              </w:rPr>
            </w:pPr>
            <w:r>
              <w:rPr>
                <w:rFonts w:hint="eastAsia" w:ascii="Times New Roman" w:hAnsi="Times New Roman" w:eastAsia="宋体" w:cs="Times New Roman"/>
                <w:b/>
                <w:bCs w:val="0"/>
                <w:color w:val="auto"/>
                <w:sz w:val="28"/>
                <w:szCs w:val="22"/>
                <w:highlight w:val="none"/>
                <w:lang w:val="en-US" w:eastAsia="zh-CN"/>
              </w:rPr>
              <w:t>3.2 声环境质量现状</w:t>
            </w:r>
          </w:p>
          <w:p w14:paraId="0A3B7080">
            <w:pPr>
              <w:pStyle w:val="198"/>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lang w:val="en-US" w:eastAsia="zh-CN"/>
              </w:rPr>
              <w:t>根据《福州市声环境功能区划图（2021年）》（详见附图</w:t>
            </w:r>
            <w:r>
              <w:rPr>
                <w:rFonts w:hint="eastAsia" w:ascii="Times New Roman" w:hAnsi="Times New Roman" w:cs="Times New Roman"/>
                <w:b w:val="0"/>
                <w:bCs/>
                <w:color w:val="auto"/>
                <w:highlight w:val="none"/>
                <w:lang w:val="en-US" w:eastAsia="zh-CN"/>
              </w:rPr>
              <w:t>6</w:t>
            </w:r>
            <w:r>
              <w:rPr>
                <w:rFonts w:hint="default" w:ascii="Times New Roman" w:hAnsi="Times New Roman" w:eastAsia="宋体" w:cs="Times New Roman"/>
                <w:b w:val="0"/>
                <w:bCs/>
                <w:color w:val="auto"/>
                <w:highlight w:val="none"/>
                <w:lang w:val="en-US" w:eastAsia="zh-CN"/>
              </w:rPr>
              <w:t>），</w:t>
            </w:r>
            <w:r>
              <w:rPr>
                <w:rFonts w:hint="eastAsia" w:ascii="Times New Roman" w:hAnsi="Times New Roman" w:cs="Times New Roman"/>
                <w:b w:val="0"/>
                <w:bCs/>
                <w:color w:val="auto"/>
                <w:highlight w:val="none"/>
                <w:lang w:val="en-US" w:eastAsia="zh-CN"/>
              </w:rPr>
              <w:t>项目西侧距离项目33m前横路</w:t>
            </w:r>
            <w:r>
              <w:rPr>
                <w:rFonts w:hint="default" w:ascii="Times New Roman" w:hAnsi="Times New Roman" w:eastAsia="宋体" w:cs="Times New Roman"/>
                <w:b w:val="0"/>
                <w:bCs/>
                <w:color w:val="auto"/>
                <w:highlight w:val="none"/>
                <w:lang w:val="en-US" w:eastAsia="zh-CN"/>
              </w:rPr>
              <w:t>为</w:t>
            </w:r>
            <w:r>
              <w:rPr>
                <w:rFonts w:hint="eastAsia" w:ascii="Times New Roman" w:hAnsi="Times New Roman" w:cs="Times New Roman"/>
                <w:b w:val="0"/>
                <w:bCs/>
                <w:color w:val="auto"/>
                <w:highlight w:val="none"/>
                <w:lang w:val="en-US" w:eastAsia="zh-CN"/>
              </w:rPr>
              <w:t>城市主干道</w:t>
            </w:r>
            <w:r>
              <w:rPr>
                <w:rFonts w:hint="default" w:ascii="Times New Roman" w:hAnsi="Times New Roman" w:eastAsia="宋体" w:cs="Times New Roman"/>
                <w:b w:val="0"/>
                <w:bCs/>
                <w:color w:val="auto"/>
                <w:highlight w:val="none"/>
                <w:lang w:val="en-US" w:eastAsia="zh-CN"/>
              </w:rPr>
              <w:t>，故项目</w:t>
            </w:r>
            <w:r>
              <w:rPr>
                <w:rFonts w:hint="eastAsia" w:ascii="Times New Roman" w:hAnsi="Times New Roman" w:cs="Times New Roman"/>
                <w:b w:val="0"/>
                <w:bCs/>
                <w:color w:val="auto"/>
                <w:highlight w:val="none"/>
                <w:lang w:val="en-US" w:eastAsia="zh-CN"/>
              </w:rPr>
              <w:t>西侧环境噪声</w:t>
            </w:r>
            <w:r>
              <w:rPr>
                <w:rFonts w:hint="default" w:ascii="Times New Roman" w:hAnsi="Times New Roman" w:eastAsia="宋体" w:cs="Times New Roman"/>
                <w:b w:val="0"/>
                <w:bCs/>
                <w:color w:val="auto"/>
                <w:highlight w:val="none"/>
                <w:lang w:val="en-US" w:eastAsia="zh-CN"/>
              </w:rPr>
              <w:t>执行《声环境质量标准》（GB3096-2008）中的4</w:t>
            </w:r>
            <w:r>
              <w:rPr>
                <w:rFonts w:hint="eastAsia" w:ascii="Times New Roman" w:hAnsi="Times New Roman" w:cs="Times New Roman"/>
                <w:b w:val="0"/>
                <w:bCs/>
                <w:color w:val="auto"/>
                <w:highlight w:val="none"/>
                <w:lang w:val="en-US" w:eastAsia="zh-CN"/>
              </w:rPr>
              <w:t>a</w:t>
            </w:r>
            <w:r>
              <w:rPr>
                <w:rFonts w:hint="default" w:ascii="Times New Roman" w:hAnsi="Times New Roman" w:eastAsia="宋体" w:cs="Times New Roman"/>
                <w:b w:val="0"/>
                <w:bCs/>
                <w:color w:val="auto"/>
                <w:highlight w:val="none"/>
                <w:lang w:val="en-US" w:eastAsia="zh-CN"/>
              </w:rPr>
              <w:t>类标准，即昼间≤70dB(A)、 夜间≤55dB(A)。项目</w:t>
            </w:r>
            <w:r>
              <w:rPr>
                <w:rFonts w:hint="eastAsia" w:ascii="Times New Roman" w:hAnsi="Times New Roman" w:cs="Times New Roman"/>
                <w:b w:val="0"/>
                <w:bCs/>
                <w:color w:val="auto"/>
                <w:highlight w:val="none"/>
                <w:lang w:val="en-US" w:eastAsia="zh-CN"/>
              </w:rPr>
              <w:t>其余边界</w:t>
            </w:r>
            <w:r>
              <w:rPr>
                <w:rFonts w:hint="default" w:ascii="Times New Roman" w:hAnsi="Times New Roman" w:eastAsia="宋体" w:cs="Times New Roman"/>
                <w:b w:val="0"/>
                <w:bCs/>
                <w:color w:val="auto"/>
                <w:highlight w:val="none"/>
                <w:lang w:val="en-US" w:eastAsia="zh-CN"/>
              </w:rPr>
              <w:t>环境噪声执行《声环境质量标准》（GB3096-2008）中2类功能区标准</w:t>
            </w:r>
            <w:r>
              <w:rPr>
                <w:rFonts w:hint="eastAsia" w:ascii="Times New Roman" w:hAnsi="Times New Roman" w:cs="Times New Roman"/>
                <w:b w:val="0"/>
                <w:bCs/>
                <w:color w:val="auto"/>
                <w:highlight w:val="none"/>
                <w:lang w:val="en-US" w:eastAsia="zh-CN"/>
              </w:rPr>
              <w:t>，</w:t>
            </w:r>
            <w:r>
              <w:rPr>
                <w:rFonts w:hint="default" w:ascii="Times New Roman" w:hAnsi="Times New Roman" w:eastAsia="宋体" w:cs="Times New Roman"/>
                <w:b w:val="0"/>
                <w:bCs/>
                <w:color w:val="auto"/>
                <w:highlight w:val="none"/>
                <w:lang w:val="en-US" w:eastAsia="zh-CN"/>
              </w:rPr>
              <w:t>即昼间≤60dB(A)、夜间≤50dB(A)。具体见表3-</w:t>
            </w:r>
            <w:r>
              <w:rPr>
                <w:rFonts w:hint="eastAsia" w:ascii="Times New Roman" w:hAnsi="Times New Roman" w:cs="Times New Roman"/>
                <w:b w:val="0"/>
                <w:bCs/>
                <w:color w:val="auto"/>
                <w:highlight w:val="none"/>
                <w:lang w:val="en-US" w:eastAsia="zh-CN"/>
              </w:rPr>
              <w:t>2</w:t>
            </w:r>
            <w:r>
              <w:rPr>
                <w:rFonts w:hint="default" w:ascii="Times New Roman" w:hAnsi="Times New Roman" w:eastAsia="宋体" w:cs="Times New Roman"/>
                <w:b w:val="0"/>
                <w:bCs/>
                <w:color w:val="auto"/>
                <w:highlight w:val="none"/>
                <w:lang w:val="en-US" w:eastAsia="zh-CN"/>
              </w:rPr>
              <w:t>。</w:t>
            </w:r>
          </w:p>
          <w:p w14:paraId="5D2D657A">
            <w:pPr>
              <w:pStyle w:val="198"/>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w:t>
            </w:r>
            <w:r>
              <w:rPr>
                <w:rFonts w:hint="eastAsia"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rPr>
              <w:t xml:space="preserve">  环境噪声限值（GB3096-2008）单位：dB(A)</w:t>
            </w:r>
          </w:p>
          <w:tbl>
            <w:tblPr>
              <w:tblStyle w:val="50"/>
              <w:tblW w:w="846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14"/>
              <w:gridCol w:w="2422"/>
              <w:gridCol w:w="2424"/>
            </w:tblGrid>
            <w:tr w14:paraId="70E1C2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4" w:type="dxa"/>
                  <w:vAlign w:val="center"/>
                </w:tcPr>
                <w:p w14:paraId="01A24E99">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声环境功能区类别/时段</w:t>
                  </w:r>
                </w:p>
              </w:tc>
              <w:tc>
                <w:tcPr>
                  <w:tcW w:w="2422" w:type="dxa"/>
                  <w:vAlign w:val="center"/>
                </w:tcPr>
                <w:p w14:paraId="1D7C242C">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昼间</w:t>
                  </w:r>
                </w:p>
              </w:tc>
              <w:tc>
                <w:tcPr>
                  <w:tcW w:w="2424" w:type="dxa"/>
                  <w:vAlign w:val="center"/>
                </w:tcPr>
                <w:p w14:paraId="44E04CEA">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夜间</w:t>
                  </w:r>
                </w:p>
              </w:tc>
            </w:tr>
            <w:tr w14:paraId="507E51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4" w:type="dxa"/>
                  <w:vAlign w:val="center"/>
                </w:tcPr>
                <w:p w14:paraId="22B9802D">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2422" w:type="dxa"/>
                  <w:vAlign w:val="center"/>
                </w:tcPr>
                <w:p w14:paraId="42C4850B">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w:t>
                  </w:r>
                </w:p>
              </w:tc>
              <w:tc>
                <w:tcPr>
                  <w:tcW w:w="2424" w:type="dxa"/>
                  <w:vAlign w:val="center"/>
                </w:tcPr>
                <w:p w14:paraId="64A2631B">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w:t>
                  </w:r>
                </w:p>
              </w:tc>
            </w:tr>
            <w:tr w14:paraId="393FFA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4" w:type="dxa"/>
                  <w:vAlign w:val="center"/>
                </w:tcPr>
                <w:p w14:paraId="34BC7BFD">
                  <w:pPr>
                    <w:pStyle w:val="18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4a</w:t>
                  </w:r>
                </w:p>
              </w:tc>
              <w:tc>
                <w:tcPr>
                  <w:tcW w:w="2422" w:type="dxa"/>
                  <w:vAlign w:val="center"/>
                </w:tcPr>
                <w:p w14:paraId="326FDF57">
                  <w:pPr>
                    <w:pStyle w:val="18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70</w:t>
                  </w:r>
                </w:p>
              </w:tc>
              <w:tc>
                <w:tcPr>
                  <w:tcW w:w="2424" w:type="dxa"/>
                  <w:vAlign w:val="center"/>
                </w:tcPr>
                <w:p w14:paraId="4A4E4D7C">
                  <w:pPr>
                    <w:pStyle w:val="18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w:t>
                  </w:r>
                </w:p>
              </w:tc>
            </w:tr>
          </w:tbl>
          <w:p w14:paraId="74F3F9E8">
            <w:pPr>
              <w:pStyle w:val="15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为了</w:t>
            </w:r>
            <w:r>
              <w:rPr>
                <w:rFonts w:hint="default" w:ascii="Times New Roman" w:hAnsi="Times New Roman" w:eastAsia="宋体" w:cs="Times New Roman"/>
                <w:color w:val="000000" w:themeColor="text1"/>
                <w:highlight w:val="none"/>
                <w14:textFill>
                  <w14:solidFill>
                    <w14:schemeClr w14:val="tx1"/>
                  </w14:solidFill>
                </w14:textFill>
              </w:rPr>
              <w:t>解项目周围声环境质量现状，建设单位于202</w:t>
            </w:r>
            <w:r>
              <w:rPr>
                <w:rFonts w:hint="eastAsia" w:ascii="Times New Roman" w:hAnsi="Times New Roman" w:eastAsia="宋体" w:cs="Times New Roman"/>
                <w:color w:val="000000" w:themeColor="text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highlight w:val="none"/>
                <w14:textFill>
                  <w14:solidFill>
                    <w14:schemeClr w14:val="tx1"/>
                  </w14:solidFill>
                </w14:textFill>
              </w:rPr>
              <w:t>年</w:t>
            </w:r>
            <w:r>
              <w:rPr>
                <w:rFonts w:hint="eastAsia" w:ascii="Times New Roman" w:hAnsi="Times New Roman" w:eastAsia="宋体" w:cs="Times New Roman"/>
                <w:color w:val="000000" w:themeColor="text1"/>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highlight w:val="none"/>
                <w14:textFill>
                  <w14:solidFill>
                    <w14:schemeClr w14:val="tx1"/>
                  </w14:solidFill>
                </w14:textFill>
              </w:rPr>
              <w:t>月</w:t>
            </w:r>
            <w:r>
              <w:rPr>
                <w:rFonts w:hint="eastAsia" w:ascii="Times New Roman" w:hAnsi="Times New Roman" w:eastAsia="宋体" w:cs="Times New Roman"/>
                <w:color w:val="000000" w:themeColor="text1"/>
                <w:highlight w:val="none"/>
                <w:lang w:val="en-US" w:eastAsia="zh-CN"/>
                <w14:textFill>
                  <w14:solidFill>
                    <w14:schemeClr w14:val="tx1"/>
                  </w14:solidFill>
                </w14:textFill>
              </w:rPr>
              <w:t>29</w:t>
            </w:r>
            <w:r>
              <w:rPr>
                <w:rFonts w:hint="default" w:ascii="Times New Roman" w:hAnsi="Times New Roman" w:eastAsia="宋体" w:cs="Times New Roman"/>
                <w:color w:val="000000" w:themeColor="text1"/>
                <w:highlight w:val="none"/>
                <w14:textFill>
                  <w14:solidFill>
                    <w14:schemeClr w14:val="tx1"/>
                  </w14:solidFill>
                </w14:textFill>
              </w:rPr>
              <w:t>日委托福建山水环境检测有限公司对项目</w:t>
            </w:r>
            <w:r>
              <w:rPr>
                <w:rFonts w:hint="default" w:ascii="Times New Roman" w:hAnsi="Times New Roman" w:eastAsia="宋体" w:cs="Times New Roman"/>
                <w:color w:val="000000" w:themeColor="text1"/>
                <w:highlight w:val="none"/>
                <w:lang w:val="en-US" w:eastAsia="zh-CN"/>
                <w14:textFill>
                  <w14:solidFill>
                    <w14:schemeClr w14:val="tx1"/>
                  </w14:solidFill>
                </w14:textFill>
              </w:rPr>
              <w:t>周边50米范</w:t>
            </w:r>
            <w:r>
              <w:rPr>
                <w:rFonts w:hint="default" w:ascii="Times New Roman" w:hAnsi="Times New Roman" w:eastAsia="宋体" w:cs="Times New Roman"/>
                <w:color w:val="auto"/>
                <w:highlight w:val="none"/>
                <w:lang w:val="en-US" w:eastAsia="zh-CN"/>
              </w:rPr>
              <w:t>围内存在声环境保护目标的质量</w:t>
            </w:r>
            <w:r>
              <w:rPr>
                <w:rFonts w:hint="default" w:ascii="Times New Roman" w:hAnsi="Times New Roman" w:eastAsia="宋体" w:cs="Times New Roman"/>
                <w:color w:val="auto"/>
                <w:highlight w:val="none"/>
              </w:rPr>
              <w:t>现状进行了监测，监测结果详见3-</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p>
          <w:p w14:paraId="18A4D5B9">
            <w:pPr>
              <w:pStyle w:val="198"/>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rPr>
              <w:t xml:space="preserve">  厂界噪声现状监测值      单位：LAeq（dB（A））</w:t>
            </w:r>
          </w:p>
          <w:tbl>
            <w:tblPr>
              <w:tblStyle w:val="50"/>
              <w:tblW w:w="852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9"/>
              <w:gridCol w:w="2454"/>
              <w:gridCol w:w="844"/>
              <w:gridCol w:w="868"/>
              <w:gridCol w:w="911"/>
              <w:gridCol w:w="846"/>
              <w:gridCol w:w="836"/>
              <w:gridCol w:w="868"/>
            </w:tblGrid>
            <w:tr w14:paraId="292FD3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899" w:type="dxa"/>
                  <w:vMerge w:val="restart"/>
                  <w:tcBorders>
                    <w:tl2br w:val="nil"/>
                    <w:tr2bl w:val="nil"/>
                  </w:tcBorders>
                  <w:vAlign w:val="center"/>
                </w:tcPr>
                <w:p w14:paraId="1B429E7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测点编号</w:t>
                  </w:r>
                </w:p>
              </w:tc>
              <w:tc>
                <w:tcPr>
                  <w:tcW w:w="2454" w:type="dxa"/>
                  <w:vMerge w:val="restart"/>
                  <w:tcBorders>
                    <w:tl2br w:val="nil"/>
                    <w:tr2bl w:val="nil"/>
                  </w:tcBorders>
                  <w:vAlign w:val="center"/>
                </w:tcPr>
                <w:p w14:paraId="2AA8584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测点位置</w:t>
                  </w:r>
                </w:p>
              </w:tc>
              <w:tc>
                <w:tcPr>
                  <w:tcW w:w="1712" w:type="dxa"/>
                  <w:gridSpan w:val="2"/>
                  <w:tcBorders>
                    <w:tl2br w:val="nil"/>
                    <w:tr2bl w:val="nil"/>
                  </w:tcBorders>
                  <w:vAlign w:val="center"/>
                </w:tcPr>
                <w:p w14:paraId="211AAFC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监测结果</w:t>
                  </w:r>
                </w:p>
              </w:tc>
              <w:tc>
                <w:tcPr>
                  <w:tcW w:w="1757" w:type="dxa"/>
                  <w:gridSpan w:val="2"/>
                  <w:tcBorders>
                    <w:tl2br w:val="nil"/>
                    <w:tr2bl w:val="nil"/>
                  </w:tcBorders>
                  <w:vAlign w:val="center"/>
                </w:tcPr>
                <w:p w14:paraId="115E48B6">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执行标准</w:t>
                  </w:r>
                </w:p>
              </w:tc>
              <w:tc>
                <w:tcPr>
                  <w:tcW w:w="1704" w:type="dxa"/>
                  <w:gridSpan w:val="2"/>
                  <w:tcBorders>
                    <w:tl2br w:val="nil"/>
                    <w:tr2bl w:val="nil"/>
                  </w:tcBorders>
                  <w:vAlign w:val="center"/>
                </w:tcPr>
                <w:p w14:paraId="1A32CFE3">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达标情况</w:t>
                  </w:r>
                </w:p>
              </w:tc>
            </w:tr>
            <w:tr w14:paraId="2B6B3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899" w:type="dxa"/>
                  <w:vMerge w:val="continue"/>
                  <w:tcBorders>
                    <w:tl2br w:val="nil"/>
                    <w:tr2bl w:val="nil"/>
                  </w:tcBorders>
                  <w:vAlign w:val="center"/>
                </w:tcPr>
                <w:p w14:paraId="6A91C57E">
                  <w:pPr>
                    <w:jc w:val="center"/>
                    <w:rPr>
                      <w:rFonts w:hint="default" w:ascii="Times New Roman" w:hAnsi="Times New Roman" w:eastAsia="宋体" w:cs="Times New Roman"/>
                      <w:color w:val="auto"/>
                      <w:sz w:val="21"/>
                      <w:szCs w:val="21"/>
                      <w:highlight w:val="none"/>
                    </w:rPr>
                  </w:pPr>
                </w:p>
              </w:tc>
              <w:tc>
                <w:tcPr>
                  <w:tcW w:w="2454" w:type="dxa"/>
                  <w:vMerge w:val="continue"/>
                  <w:tcBorders>
                    <w:tl2br w:val="nil"/>
                    <w:tr2bl w:val="nil"/>
                  </w:tcBorders>
                  <w:vAlign w:val="center"/>
                </w:tcPr>
                <w:p w14:paraId="38CA654A">
                  <w:pPr>
                    <w:jc w:val="center"/>
                    <w:rPr>
                      <w:rFonts w:hint="default" w:ascii="Times New Roman" w:hAnsi="Times New Roman" w:eastAsia="宋体" w:cs="Times New Roman"/>
                      <w:color w:val="auto"/>
                      <w:sz w:val="21"/>
                      <w:szCs w:val="21"/>
                      <w:highlight w:val="none"/>
                    </w:rPr>
                  </w:pPr>
                </w:p>
              </w:tc>
              <w:tc>
                <w:tcPr>
                  <w:tcW w:w="844" w:type="dxa"/>
                  <w:tcBorders>
                    <w:tl2br w:val="nil"/>
                    <w:tr2bl w:val="nil"/>
                  </w:tcBorders>
                  <w:vAlign w:val="center"/>
                </w:tcPr>
                <w:p w14:paraId="0284BC8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昼间</w:t>
                  </w:r>
                </w:p>
              </w:tc>
              <w:tc>
                <w:tcPr>
                  <w:tcW w:w="868" w:type="dxa"/>
                  <w:tcBorders>
                    <w:tl2br w:val="nil"/>
                    <w:tr2bl w:val="nil"/>
                  </w:tcBorders>
                  <w:vAlign w:val="center"/>
                </w:tcPr>
                <w:p w14:paraId="6BA357F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w:t>
                  </w:r>
                </w:p>
              </w:tc>
              <w:tc>
                <w:tcPr>
                  <w:tcW w:w="911" w:type="dxa"/>
                  <w:tcBorders>
                    <w:tl2br w:val="nil"/>
                    <w:tr2bl w:val="nil"/>
                  </w:tcBorders>
                  <w:vAlign w:val="center"/>
                </w:tcPr>
                <w:p w14:paraId="6E01CF5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昼间</w:t>
                  </w:r>
                </w:p>
              </w:tc>
              <w:tc>
                <w:tcPr>
                  <w:tcW w:w="846" w:type="dxa"/>
                  <w:tcBorders>
                    <w:tl2br w:val="nil"/>
                    <w:tr2bl w:val="nil"/>
                  </w:tcBorders>
                  <w:vAlign w:val="center"/>
                </w:tcPr>
                <w:p w14:paraId="1B88093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夜间</w:t>
                  </w:r>
                </w:p>
              </w:tc>
              <w:tc>
                <w:tcPr>
                  <w:tcW w:w="836" w:type="dxa"/>
                  <w:tcBorders>
                    <w:tl2br w:val="nil"/>
                    <w:tr2bl w:val="nil"/>
                  </w:tcBorders>
                  <w:vAlign w:val="center"/>
                </w:tcPr>
                <w:p w14:paraId="70C5599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昼间</w:t>
                  </w:r>
                </w:p>
              </w:tc>
              <w:tc>
                <w:tcPr>
                  <w:tcW w:w="868" w:type="dxa"/>
                  <w:tcBorders>
                    <w:tl2br w:val="nil"/>
                    <w:tr2bl w:val="nil"/>
                  </w:tcBorders>
                  <w:vAlign w:val="center"/>
                </w:tcPr>
                <w:p w14:paraId="3CCFE4C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夜间</w:t>
                  </w:r>
                </w:p>
              </w:tc>
            </w:tr>
            <w:tr w14:paraId="3EFF5F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899" w:type="dxa"/>
                  <w:tcBorders>
                    <w:tl2br w:val="nil"/>
                    <w:tr2bl w:val="nil"/>
                  </w:tcBorders>
                  <w:vAlign w:val="center"/>
                </w:tcPr>
                <w:p w14:paraId="730ECFA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N1</w:t>
                  </w:r>
                </w:p>
              </w:tc>
              <w:tc>
                <w:tcPr>
                  <w:tcW w:w="2454" w:type="dxa"/>
                  <w:tcBorders>
                    <w:tl2br w:val="nil"/>
                    <w:tr2bl w:val="nil"/>
                  </w:tcBorders>
                  <w:vAlign w:val="center"/>
                </w:tcPr>
                <w:p w14:paraId="10B62D72">
                  <w:pPr>
                    <w:widowControl/>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rPr>
                    <w:t>厂界南侧N1</w:t>
                  </w:r>
                </w:p>
              </w:tc>
              <w:tc>
                <w:tcPr>
                  <w:tcW w:w="844" w:type="dxa"/>
                  <w:tcBorders>
                    <w:tl2br w:val="nil"/>
                    <w:tr2bl w:val="nil"/>
                  </w:tcBorders>
                  <w:vAlign w:val="center"/>
                </w:tcPr>
                <w:p w14:paraId="34AE4E6B">
                  <w:pPr>
                    <w:tabs>
                      <w:tab w:val="left" w:pos="990"/>
                    </w:tabs>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57</w:t>
                  </w:r>
                </w:p>
              </w:tc>
              <w:tc>
                <w:tcPr>
                  <w:tcW w:w="868" w:type="dxa"/>
                  <w:tcBorders>
                    <w:tl2br w:val="nil"/>
                    <w:tr2bl w:val="nil"/>
                  </w:tcBorders>
                  <w:vAlign w:val="center"/>
                </w:tcPr>
                <w:p w14:paraId="75C4A064">
                  <w:pPr>
                    <w:tabs>
                      <w:tab w:val="left" w:pos="990"/>
                    </w:tabs>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b w:val="0"/>
                      <w:bCs w:val="0"/>
                      <w:color w:val="auto"/>
                      <w:kern w:val="2"/>
                      <w:sz w:val="21"/>
                      <w:szCs w:val="21"/>
                      <w:highlight w:val="none"/>
                      <w:lang w:val="en-US" w:eastAsia="zh-CN" w:bidi="ar-SA"/>
                    </w:rPr>
                    <w:t>4</w:t>
                  </w:r>
                  <w:r>
                    <w:rPr>
                      <w:rFonts w:hint="eastAsia" w:cs="Times New Roman"/>
                      <w:b w:val="0"/>
                      <w:bCs w:val="0"/>
                      <w:color w:val="auto"/>
                      <w:kern w:val="2"/>
                      <w:sz w:val="21"/>
                      <w:szCs w:val="21"/>
                      <w:highlight w:val="none"/>
                      <w:lang w:val="en-US" w:eastAsia="zh-CN" w:bidi="ar-SA"/>
                    </w:rPr>
                    <w:t>8</w:t>
                  </w:r>
                </w:p>
              </w:tc>
              <w:tc>
                <w:tcPr>
                  <w:tcW w:w="911" w:type="dxa"/>
                  <w:tcBorders>
                    <w:tl2br w:val="nil"/>
                    <w:tr2bl w:val="nil"/>
                  </w:tcBorders>
                  <w:vAlign w:val="center"/>
                </w:tcPr>
                <w:p w14:paraId="6085CACB">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60</w:t>
                  </w:r>
                </w:p>
              </w:tc>
              <w:tc>
                <w:tcPr>
                  <w:tcW w:w="846" w:type="dxa"/>
                  <w:tcBorders>
                    <w:tl2br w:val="nil"/>
                    <w:tr2bl w:val="nil"/>
                  </w:tcBorders>
                  <w:vAlign w:val="center"/>
                </w:tcPr>
                <w:p w14:paraId="370F82D2">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50</w:t>
                  </w:r>
                </w:p>
              </w:tc>
              <w:tc>
                <w:tcPr>
                  <w:tcW w:w="836" w:type="dxa"/>
                  <w:tcBorders>
                    <w:tl2br w:val="nil"/>
                    <w:tr2bl w:val="nil"/>
                  </w:tcBorders>
                  <w:vAlign w:val="center"/>
                </w:tcPr>
                <w:p w14:paraId="3B6EFAEC">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c>
                <w:tcPr>
                  <w:tcW w:w="868" w:type="dxa"/>
                  <w:tcBorders>
                    <w:tl2br w:val="nil"/>
                    <w:tr2bl w:val="nil"/>
                  </w:tcBorders>
                  <w:vAlign w:val="center"/>
                </w:tcPr>
                <w:p w14:paraId="1CA62C9E">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r>
            <w:tr w14:paraId="002069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899" w:type="dxa"/>
                  <w:tcBorders>
                    <w:tl2br w:val="nil"/>
                    <w:tr2bl w:val="nil"/>
                  </w:tcBorders>
                  <w:vAlign w:val="center"/>
                </w:tcPr>
                <w:p w14:paraId="508B6B0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N2</w:t>
                  </w:r>
                </w:p>
              </w:tc>
              <w:tc>
                <w:tcPr>
                  <w:tcW w:w="2454" w:type="dxa"/>
                  <w:tcBorders>
                    <w:tl2br w:val="nil"/>
                    <w:tr2bl w:val="nil"/>
                  </w:tcBorders>
                  <w:vAlign w:val="center"/>
                </w:tcPr>
                <w:p w14:paraId="723B1903">
                  <w:pPr>
                    <w:widowControl/>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rPr>
                    <w:t>厂界</w:t>
                  </w:r>
                  <w:r>
                    <w:rPr>
                      <w:rFonts w:hint="eastAsia" w:cs="Times New Roman"/>
                      <w:b w:val="0"/>
                      <w:bCs w:val="0"/>
                      <w:color w:val="auto"/>
                      <w:kern w:val="0"/>
                      <w:sz w:val="21"/>
                      <w:szCs w:val="21"/>
                      <w:highlight w:val="none"/>
                      <w:lang w:val="en-US" w:eastAsia="zh-CN"/>
                    </w:rPr>
                    <w:t>西</w:t>
                  </w:r>
                  <w:r>
                    <w:rPr>
                      <w:rFonts w:hint="default" w:ascii="Times New Roman" w:hAnsi="Times New Roman" w:eastAsia="宋体" w:cs="Times New Roman"/>
                      <w:b w:val="0"/>
                      <w:bCs w:val="0"/>
                      <w:color w:val="auto"/>
                      <w:kern w:val="0"/>
                      <w:sz w:val="21"/>
                      <w:szCs w:val="21"/>
                      <w:highlight w:val="none"/>
                      <w:lang w:val="en-US" w:eastAsia="zh-CN"/>
                    </w:rPr>
                    <w:t>侧N2</w:t>
                  </w:r>
                </w:p>
              </w:tc>
              <w:tc>
                <w:tcPr>
                  <w:tcW w:w="844" w:type="dxa"/>
                  <w:tcBorders>
                    <w:tl2br w:val="nil"/>
                    <w:tr2bl w:val="nil"/>
                  </w:tcBorders>
                  <w:vAlign w:val="center"/>
                </w:tcPr>
                <w:p w14:paraId="2B9EA9BA">
                  <w:pPr>
                    <w:tabs>
                      <w:tab w:val="left" w:pos="990"/>
                    </w:tabs>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b w:val="0"/>
                      <w:bCs w:val="0"/>
                      <w:color w:val="auto"/>
                      <w:kern w:val="2"/>
                      <w:sz w:val="21"/>
                      <w:szCs w:val="21"/>
                      <w:highlight w:val="none"/>
                      <w:lang w:val="en-US" w:eastAsia="zh-CN" w:bidi="ar-SA"/>
                    </w:rPr>
                    <w:t>5</w:t>
                  </w:r>
                  <w:r>
                    <w:rPr>
                      <w:rFonts w:hint="eastAsia" w:cs="Times New Roman"/>
                      <w:b w:val="0"/>
                      <w:bCs w:val="0"/>
                      <w:color w:val="auto"/>
                      <w:kern w:val="2"/>
                      <w:sz w:val="21"/>
                      <w:szCs w:val="21"/>
                      <w:highlight w:val="none"/>
                      <w:lang w:val="en-US" w:eastAsia="zh-CN" w:bidi="ar-SA"/>
                    </w:rPr>
                    <w:t>8</w:t>
                  </w:r>
                </w:p>
              </w:tc>
              <w:tc>
                <w:tcPr>
                  <w:tcW w:w="868" w:type="dxa"/>
                  <w:tcBorders>
                    <w:tl2br w:val="nil"/>
                    <w:tr2bl w:val="nil"/>
                  </w:tcBorders>
                  <w:vAlign w:val="center"/>
                </w:tcPr>
                <w:p w14:paraId="2064CDE5">
                  <w:pPr>
                    <w:tabs>
                      <w:tab w:val="left" w:pos="990"/>
                    </w:tabs>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b w:val="0"/>
                      <w:bCs w:val="0"/>
                      <w:color w:val="auto"/>
                      <w:kern w:val="2"/>
                      <w:sz w:val="21"/>
                      <w:szCs w:val="21"/>
                      <w:highlight w:val="none"/>
                      <w:lang w:val="en-US" w:eastAsia="zh-CN" w:bidi="ar-SA"/>
                    </w:rPr>
                    <w:t>4</w:t>
                  </w:r>
                  <w:r>
                    <w:rPr>
                      <w:rFonts w:hint="eastAsia" w:cs="Times New Roman"/>
                      <w:b w:val="0"/>
                      <w:bCs w:val="0"/>
                      <w:color w:val="auto"/>
                      <w:kern w:val="2"/>
                      <w:sz w:val="21"/>
                      <w:szCs w:val="21"/>
                      <w:highlight w:val="none"/>
                      <w:lang w:val="en-US" w:eastAsia="zh-CN" w:bidi="ar-SA"/>
                    </w:rPr>
                    <w:t>6</w:t>
                  </w:r>
                </w:p>
              </w:tc>
              <w:tc>
                <w:tcPr>
                  <w:tcW w:w="911" w:type="dxa"/>
                  <w:tcBorders>
                    <w:tl2br w:val="nil"/>
                    <w:tr2bl w:val="nil"/>
                  </w:tcBorders>
                  <w:vAlign w:val="center"/>
                </w:tcPr>
                <w:p w14:paraId="57BFA186">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70</w:t>
                  </w:r>
                </w:p>
              </w:tc>
              <w:tc>
                <w:tcPr>
                  <w:tcW w:w="846" w:type="dxa"/>
                  <w:tcBorders>
                    <w:tl2br w:val="nil"/>
                    <w:tr2bl w:val="nil"/>
                  </w:tcBorders>
                  <w:vAlign w:val="center"/>
                </w:tcPr>
                <w:p w14:paraId="6DA68615">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55</w:t>
                  </w:r>
                </w:p>
              </w:tc>
              <w:tc>
                <w:tcPr>
                  <w:tcW w:w="836" w:type="dxa"/>
                  <w:tcBorders>
                    <w:tl2br w:val="nil"/>
                    <w:tr2bl w:val="nil"/>
                  </w:tcBorders>
                  <w:vAlign w:val="center"/>
                </w:tcPr>
                <w:p w14:paraId="68E53B4B">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c>
                <w:tcPr>
                  <w:tcW w:w="868" w:type="dxa"/>
                  <w:tcBorders>
                    <w:tl2br w:val="nil"/>
                    <w:tr2bl w:val="nil"/>
                  </w:tcBorders>
                  <w:vAlign w:val="center"/>
                </w:tcPr>
                <w:p w14:paraId="4E4EED1E">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r>
            <w:tr w14:paraId="49A66F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899" w:type="dxa"/>
                  <w:tcBorders>
                    <w:tl2br w:val="nil"/>
                    <w:tr2bl w:val="nil"/>
                  </w:tcBorders>
                  <w:vAlign w:val="center"/>
                </w:tcPr>
                <w:p w14:paraId="67BC30C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N3</w:t>
                  </w:r>
                </w:p>
              </w:tc>
              <w:tc>
                <w:tcPr>
                  <w:tcW w:w="2454" w:type="dxa"/>
                  <w:tcBorders>
                    <w:tl2br w:val="nil"/>
                    <w:tr2bl w:val="nil"/>
                  </w:tcBorders>
                  <w:vAlign w:val="center"/>
                </w:tcPr>
                <w:p w14:paraId="399A1F90">
                  <w:pPr>
                    <w:widowControl/>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rPr>
                    <w:t>厂界</w:t>
                  </w:r>
                  <w:r>
                    <w:rPr>
                      <w:rFonts w:hint="eastAsia" w:cs="Times New Roman"/>
                      <w:b w:val="0"/>
                      <w:bCs w:val="0"/>
                      <w:color w:val="auto"/>
                      <w:kern w:val="0"/>
                      <w:sz w:val="21"/>
                      <w:szCs w:val="21"/>
                      <w:highlight w:val="none"/>
                      <w:lang w:val="en-US" w:eastAsia="zh-CN"/>
                    </w:rPr>
                    <w:t>北</w:t>
                  </w:r>
                  <w:r>
                    <w:rPr>
                      <w:rFonts w:hint="default" w:ascii="Times New Roman" w:hAnsi="Times New Roman" w:eastAsia="宋体" w:cs="Times New Roman"/>
                      <w:b w:val="0"/>
                      <w:bCs w:val="0"/>
                      <w:color w:val="auto"/>
                      <w:kern w:val="0"/>
                      <w:sz w:val="21"/>
                      <w:szCs w:val="21"/>
                      <w:highlight w:val="none"/>
                      <w:lang w:val="en-US" w:eastAsia="zh-CN"/>
                    </w:rPr>
                    <w:t>侧N3</w:t>
                  </w:r>
                </w:p>
              </w:tc>
              <w:tc>
                <w:tcPr>
                  <w:tcW w:w="844" w:type="dxa"/>
                  <w:tcBorders>
                    <w:tl2br w:val="nil"/>
                    <w:tr2bl w:val="nil"/>
                  </w:tcBorders>
                  <w:vAlign w:val="center"/>
                </w:tcPr>
                <w:p w14:paraId="7056D5B6">
                  <w:pPr>
                    <w:tabs>
                      <w:tab w:val="left" w:pos="990"/>
                    </w:tabs>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56</w:t>
                  </w:r>
                </w:p>
              </w:tc>
              <w:tc>
                <w:tcPr>
                  <w:tcW w:w="868" w:type="dxa"/>
                  <w:tcBorders>
                    <w:tl2br w:val="nil"/>
                    <w:tr2bl w:val="nil"/>
                  </w:tcBorders>
                  <w:vAlign w:val="center"/>
                </w:tcPr>
                <w:p w14:paraId="461E3605">
                  <w:pPr>
                    <w:tabs>
                      <w:tab w:val="left" w:pos="990"/>
                    </w:tabs>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b w:val="0"/>
                      <w:bCs w:val="0"/>
                      <w:color w:val="auto"/>
                      <w:kern w:val="2"/>
                      <w:sz w:val="21"/>
                      <w:szCs w:val="21"/>
                      <w:highlight w:val="none"/>
                      <w:lang w:val="en-US" w:eastAsia="zh-CN" w:bidi="ar-SA"/>
                    </w:rPr>
                    <w:t>4</w:t>
                  </w:r>
                  <w:r>
                    <w:rPr>
                      <w:rFonts w:hint="eastAsia" w:cs="Times New Roman"/>
                      <w:b w:val="0"/>
                      <w:bCs w:val="0"/>
                      <w:color w:val="auto"/>
                      <w:kern w:val="2"/>
                      <w:sz w:val="21"/>
                      <w:szCs w:val="21"/>
                      <w:highlight w:val="none"/>
                      <w:lang w:val="en-US" w:eastAsia="zh-CN" w:bidi="ar-SA"/>
                    </w:rPr>
                    <w:t>7</w:t>
                  </w:r>
                </w:p>
              </w:tc>
              <w:tc>
                <w:tcPr>
                  <w:tcW w:w="911" w:type="dxa"/>
                  <w:tcBorders>
                    <w:tl2br w:val="nil"/>
                    <w:tr2bl w:val="nil"/>
                  </w:tcBorders>
                  <w:vAlign w:val="center"/>
                </w:tcPr>
                <w:p w14:paraId="59CC1782">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60</w:t>
                  </w:r>
                </w:p>
              </w:tc>
              <w:tc>
                <w:tcPr>
                  <w:tcW w:w="846" w:type="dxa"/>
                  <w:tcBorders>
                    <w:tl2br w:val="nil"/>
                    <w:tr2bl w:val="nil"/>
                  </w:tcBorders>
                  <w:vAlign w:val="center"/>
                </w:tcPr>
                <w:p w14:paraId="62D7F9AE">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50</w:t>
                  </w:r>
                </w:p>
              </w:tc>
              <w:tc>
                <w:tcPr>
                  <w:tcW w:w="836" w:type="dxa"/>
                  <w:tcBorders>
                    <w:tl2br w:val="nil"/>
                    <w:tr2bl w:val="nil"/>
                  </w:tcBorders>
                  <w:vAlign w:val="center"/>
                </w:tcPr>
                <w:p w14:paraId="545996D7">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c>
                <w:tcPr>
                  <w:tcW w:w="868" w:type="dxa"/>
                  <w:tcBorders>
                    <w:tl2br w:val="nil"/>
                    <w:tr2bl w:val="nil"/>
                  </w:tcBorders>
                  <w:vAlign w:val="center"/>
                </w:tcPr>
                <w:p w14:paraId="170F7690">
                  <w:pPr>
                    <w:tabs>
                      <w:tab w:val="left" w:pos="990"/>
                    </w:tabs>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达标</w:t>
                  </w:r>
                </w:p>
              </w:tc>
            </w:tr>
            <w:tr w14:paraId="2734C5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899" w:type="dxa"/>
                  <w:tcBorders>
                    <w:tl2br w:val="nil"/>
                    <w:tr2bl w:val="nil"/>
                  </w:tcBorders>
                  <w:vAlign w:val="center"/>
                </w:tcPr>
                <w:p w14:paraId="74D701BC">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备注</w:t>
                  </w:r>
                </w:p>
              </w:tc>
              <w:tc>
                <w:tcPr>
                  <w:tcW w:w="7627" w:type="dxa"/>
                  <w:gridSpan w:val="7"/>
                  <w:tcBorders>
                    <w:tl2br w:val="nil"/>
                    <w:tr2bl w:val="nil"/>
                  </w:tcBorders>
                  <w:vAlign w:val="center"/>
                </w:tcPr>
                <w:p w14:paraId="43250794">
                  <w:pPr>
                    <w:widowControl/>
                    <w:ind w:right="29" w:rightChars="12"/>
                    <w:jc w:val="center"/>
                    <w:textAlignment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检测时气象参数：天气晴，风速</w:t>
                  </w:r>
                  <w:r>
                    <w:rPr>
                      <w:rFonts w:hint="eastAsia" w:cs="Times New Roman"/>
                      <w:b w:val="0"/>
                      <w:bCs w:val="0"/>
                      <w:color w:val="auto"/>
                      <w:kern w:val="0"/>
                      <w:sz w:val="21"/>
                      <w:szCs w:val="21"/>
                      <w:highlight w:val="none"/>
                      <w:lang w:val="en-US" w:eastAsia="zh-CN"/>
                    </w:rPr>
                    <w:t>2.3-3.8</w:t>
                  </w:r>
                  <w:r>
                    <w:rPr>
                      <w:rFonts w:hint="default" w:ascii="Times New Roman" w:hAnsi="Times New Roman" w:eastAsia="宋体" w:cs="Times New Roman"/>
                      <w:b w:val="0"/>
                      <w:bCs w:val="0"/>
                      <w:color w:val="auto"/>
                      <w:kern w:val="0"/>
                      <w:sz w:val="21"/>
                      <w:szCs w:val="21"/>
                      <w:highlight w:val="none"/>
                      <w:lang w:val="en-US" w:eastAsia="zh-CN"/>
                    </w:rPr>
                    <w:t>m/s。</w:t>
                  </w:r>
                </w:p>
              </w:tc>
            </w:tr>
          </w:tbl>
          <w:p w14:paraId="51A65FB4">
            <w:pPr>
              <w:keepNext w:val="0"/>
              <w:keepLines w:val="0"/>
              <w:pageBreakBefore w:val="0"/>
              <w:widowControl/>
              <w:kinsoku/>
              <w:wordWrap/>
              <w:overflowPunct/>
              <w:topLinePunct w:val="0"/>
              <w:autoSpaceDE/>
              <w:autoSpaceDN/>
              <w:bidi w:val="0"/>
              <w:adjustRightInd w:val="0"/>
              <w:snapToGrid w:val="0"/>
              <w:spacing w:line="360" w:lineRule="auto"/>
              <w:ind w:firstLine="0"/>
              <w:textAlignment w:val="auto"/>
              <w:rPr>
                <w:rFonts w:hint="default" w:ascii="Times New Roman" w:hAnsi="Times New Roman" w:eastAsia="宋体" w:cs="Times New Roman"/>
                <w:b/>
                <w:bCs/>
                <w:color w:val="auto"/>
                <w:sz w:val="28"/>
                <w:szCs w:val="28"/>
                <w:highlight w:val="none"/>
                <w:lang w:val="en-US" w:eastAsia="zh-CN"/>
              </w:rPr>
            </w:pPr>
            <w:r>
              <w:rPr>
                <w:rFonts w:hint="eastAsia" w:ascii="Times New Roman" w:hAnsi="Times New Roman" w:eastAsia="宋体" w:cs="Times New Roman"/>
                <w:b/>
                <w:bCs/>
                <w:color w:val="auto"/>
                <w:sz w:val="28"/>
                <w:szCs w:val="28"/>
                <w:highlight w:val="none"/>
                <w:lang w:val="en-US" w:eastAsia="zh-CN"/>
              </w:rPr>
              <w:t>3.3 大气环境质量现状</w:t>
            </w:r>
          </w:p>
          <w:p w14:paraId="6DE31F55">
            <w:pPr>
              <w:widowControl/>
              <w:adjustRightInd w:val="0"/>
              <w:snapToGrid w:val="0"/>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项目位于</w:t>
            </w:r>
            <w:r>
              <w:rPr>
                <w:rFonts w:hint="eastAsia" w:cs="Times New Roman"/>
                <w:color w:val="auto"/>
                <w:highlight w:val="none"/>
                <w:lang w:eastAsia="zh-CN"/>
              </w:rPr>
              <w:t>晋安区</w:t>
            </w:r>
            <w:r>
              <w:rPr>
                <w:rFonts w:hint="default" w:ascii="Times New Roman" w:hAnsi="Times New Roman" w:eastAsia="宋体" w:cs="Times New Roman"/>
                <w:color w:val="auto"/>
                <w:highlight w:val="none"/>
              </w:rPr>
              <w:t>，根据福州市人民政府正式批复实施的《福州市环境空气质量功能区划（报批稿）》（榕政综</w:t>
            </w:r>
            <w:r>
              <w:rPr>
                <w:kern w:val="0"/>
                <w:highlight w:val="none"/>
              </w:rPr>
              <w:t>〔</w:t>
            </w:r>
            <w:r>
              <w:rPr>
                <w:rFonts w:hint="default" w:ascii="Times New Roman" w:hAnsi="Times New Roman" w:eastAsia="宋体" w:cs="Times New Roman"/>
                <w:color w:val="auto"/>
                <w:highlight w:val="none"/>
              </w:rPr>
              <w:t>2014</w:t>
            </w:r>
            <w:r>
              <w:rPr>
                <w:kern w:val="0"/>
                <w:highlight w:val="none"/>
              </w:rPr>
              <w:t>〕</w:t>
            </w:r>
            <w:r>
              <w:rPr>
                <w:rFonts w:hint="default" w:ascii="Times New Roman" w:hAnsi="Times New Roman" w:eastAsia="宋体" w:cs="Times New Roman"/>
                <w:color w:val="auto"/>
                <w:highlight w:val="none"/>
              </w:rPr>
              <w:t>30号）的规定，项目所在区域环境空气功能区划为二类区，环境空气执行《环境空气质量标准》（GB3095-2012）及修改单中的二级标准，具体限值详见表3-</w:t>
            </w:r>
            <w:r>
              <w:rPr>
                <w:rFonts w:hint="eastAsia" w:cs="Times New Roman"/>
                <w:color w:val="auto"/>
                <w:highlight w:val="none"/>
                <w:lang w:val="en-US" w:eastAsia="zh-CN"/>
              </w:rPr>
              <w:t>4</w:t>
            </w:r>
            <w:r>
              <w:rPr>
                <w:rFonts w:hint="default" w:ascii="Times New Roman" w:hAnsi="Times New Roman" w:eastAsia="宋体" w:cs="Times New Roman"/>
                <w:color w:val="auto"/>
                <w:highlight w:val="none"/>
              </w:rPr>
              <w:t>。</w:t>
            </w:r>
          </w:p>
          <w:p w14:paraId="0C9E0896">
            <w:pPr>
              <w:pStyle w:val="198"/>
              <w:spacing w:line="240" w:lineRule="auto"/>
              <w:rPr>
                <w:rFonts w:hint="default" w:ascii="Times New Roman" w:hAnsi="Times New Roman" w:eastAsia="宋体" w:cs="Times New Roman"/>
                <w:color w:val="auto"/>
                <w:highlight w:val="none"/>
              </w:rPr>
            </w:pPr>
            <w:bookmarkStart w:id="64" w:name="_Ref104720251"/>
            <w:r>
              <w:rPr>
                <w:rFonts w:hint="default" w:ascii="Times New Roman" w:hAnsi="Times New Roman" w:eastAsia="宋体" w:cs="Times New Roman"/>
                <w:color w:val="auto"/>
                <w:highlight w:val="none"/>
              </w:rPr>
              <w:t>表</w:t>
            </w:r>
            <w:bookmarkEnd w:id="64"/>
            <w:r>
              <w:rPr>
                <w:rFonts w:hint="default" w:ascii="Times New Roman" w:hAnsi="Times New Roman" w:eastAsia="宋体" w:cs="Times New Roman"/>
                <w:color w:val="auto"/>
                <w:highlight w:val="none"/>
              </w:rPr>
              <w:t>3-</w:t>
            </w:r>
            <w:r>
              <w:rPr>
                <w:rFonts w:hint="eastAsia"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rPr>
              <w:t xml:space="preserve">  环境空气质量标准 （GB3095-2012）</w:t>
            </w:r>
          </w:p>
          <w:tbl>
            <w:tblPr>
              <w:tblStyle w:val="50"/>
              <w:tblW w:w="845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50"/>
              <w:gridCol w:w="1134"/>
              <w:gridCol w:w="2240"/>
              <w:gridCol w:w="1295"/>
              <w:gridCol w:w="1134"/>
            </w:tblGrid>
            <w:tr w14:paraId="2D6B9D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0" w:type="dxa"/>
                  <w:vMerge w:val="restart"/>
                  <w:vAlign w:val="center"/>
                </w:tcPr>
                <w:p w14:paraId="61C144F1">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执行标准</w:t>
                  </w:r>
                </w:p>
              </w:tc>
              <w:tc>
                <w:tcPr>
                  <w:tcW w:w="1134" w:type="dxa"/>
                  <w:vMerge w:val="restart"/>
                  <w:vAlign w:val="center"/>
                </w:tcPr>
                <w:p w14:paraId="5D16C39B">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4669" w:type="dxa"/>
                  <w:gridSpan w:val="3"/>
                  <w:vAlign w:val="center"/>
                </w:tcPr>
                <w:p w14:paraId="3210AF03">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标准值（mg/m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r>
            <w:tr w14:paraId="054966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0" w:type="dxa"/>
                  <w:vMerge w:val="continue"/>
                  <w:vAlign w:val="center"/>
                </w:tcPr>
                <w:p w14:paraId="7A862F90">
                  <w:pPr>
                    <w:pStyle w:val="189"/>
                    <w:rPr>
                      <w:rFonts w:hint="default" w:ascii="Times New Roman" w:hAnsi="Times New Roman" w:eastAsia="宋体" w:cs="Times New Roman"/>
                      <w:color w:val="auto"/>
                      <w:highlight w:val="none"/>
                    </w:rPr>
                  </w:pPr>
                </w:p>
              </w:tc>
              <w:tc>
                <w:tcPr>
                  <w:tcW w:w="1134" w:type="dxa"/>
                  <w:vMerge w:val="continue"/>
                  <w:vAlign w:val="center"/>
                </w:tcPr>
                <w:p w14:paraId="6318922E">
                  <w:pPr>
                    <w:pStyle w:val="189"/>
                    <w:rPr>
                      <w:rFonts w:hint="default" w:ascii="Times New Roman" w:hAnsi="Times New Roman" w:eastAsia="宋体" w:cs="Times New Roman"/>
                      <w:color w:val="auto"/>
                      <w:highlight w:val="none"/>
                    </w:rPr>
                  </w:pPr>
                </w:p>
              </w:tc>
              <w:tc>
                <w:tcPr>
                  <w:tcW w:w="2240" w:type="dxa"/>
                  <w:vAlign w:val="center"/>
                </w:tcPr>
                <w:p w14:paraId="4EAC5EA8">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1小时平均/1次取值</w:t>
                  </w:r>
                </w:p>
              </w:tc>
              <w:tc>
                <w:tcPr>
                  <w:tcW w:w="1295" w:type="dxa"/>
                  <w:vAlign w:val="center"/>
                </w:tcPr>
                <w:p w14:paraId="69538BB6">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w:t>
                  </w:r>
                </w:p>
              </w:tc>
              <w:tc>
                <w:tcPr>
                  <w:tcW w:w="1134" w:type="dxa"/>
                  <w:vAlign w:val="center"/>
                </w:tcPr>
                <w:p w14:paraId="42DE0A83">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w:t>
                  </w:r>
                </w:p>
              </w:tc>
            </w:tr>
            <w:tr w14:paraId="12C2C2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0" w:type="dxa"/>
                  <w:vMerge w:val="restart"/>
                  <w:vAlign w:val="center"/>
                </w:tcPr>
                <w:p w14:paraId="75E75D6A">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《环境空气质量标准》（GB3095-2012）二级标准</w:t>
                  </w:r>
                </w:p>
              </w:tc>
              <w:tc>
                <w:tcPr>
                  <w:tcW w:w="1134" w:type="dxa"/>
                  <w:vAlign w:val="center"/>
                </w:tcPr>
                <w:p w14:paraId="134CCD51">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2</w:t>
                  </w:r>
                </w:p>
              </w:tc>
              <w:tc>
                <w:tcPr>
                  <w:tcW w:w="2240" w:type="dxa"/>
                  <w:vAlign w:val="center"/>
                </w:tcPr>
                <w:p w14:paraId="79573B7D">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0.50 </w:t>
                  </w:r>
                </w:p>
              </w:tc>
              <w:tc>
                <w:tcPr>
                  <w:tcW w:w="1295" w:type="dxa"/>
                  <w:vAlign w:val="center"/>
                </w:tcPr>
                <w:p w14:paraId="1C89762E">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0.15</w:t>
                  </w:r>
                </w:p>
              </w:tc>
              <w:tc>
                <w:tcPr>
                  <w:tcW w:w="1134" w:type="dxa"/>
                  <w:vAlign w:val="center"/>
                </w:tcPr>
                <w:p w14:paraId="69A2E13B">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0.060</w:t>
                  </w:r>
                </w:p>
              </w:tc>
            </w:tr>
            <w:tr w14:paraId="0B084A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0" w:type="dxa"/>
                  <w:vMerge w:val="continue"/>
                  <w:vAlign w:val="center"/>
                </w:tcPr>
                <w:p w14:paraId="48ACCB4C">
                  <w:pPr>
                    <w:pStyle w:val="189"/>
                    <w:rPr>
                      <w:rFonts w:hint="default" w:ascii="Times New Roman" w:hAnsi="Times New Roman" w:eastAsia="宋体" w:cs="Times New Roman"/>
                      <w:color w:val="auto"/>
                      <w:highlight w:val="none"/>
                    </w:rPr>
                  </w:pPr>
                </w:p>
              </w:tc>
              <w:tc>
                <w:tcPr>
                  <w:tcW w:w="1134" w:type="dxa"/>
                  <w:vAlign w:val="center"/>
                </w:tcPr>
                <w:p w14:paraId="7A1D82DB">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p>
              </w:tc>
              <w:tc>
                <w:tcPr>
                  <w:tcW w:w="2240" w:type="dxa"/>
                  <w:vAlign w:val="center"/>
                </w:tcPr>
                <w:p w14:paraId="05B39FBF">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0.20</w:t>
                  </w:r>
                </w:p>
              </w:tc>
              <w:tc>
                <w:tcPr>
                  <w:tcW w:w="1295" w:type="dxa"/>
                  <w:vAlign w:val="center"/>
                </w:tcPr>
                <w:p w14:paraId="77158894">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0.080 </w:t>
                  </w:r>
                </w:p>
              </w:tc>
              <w:tc>
                <w:tcPr>
                  <w:tcW w:w="1134" w:type="dxa"/>
                  <w:vAlign w:val="center"/>
                </w:tcPr>
                <w:p w14:paraId="4F682AE7">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0.040</w:t>
                  </w:r>
                </w:p>
              </w:tc>
            </w:tr>
            <w:tr w14:paraId="6712C0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50" w:type="dxa"/>
                  <w:vMerge w:val="continue"/>
                  <w:vAlign w:val="center"/>
                </w:tcPr>
                <w:p w14:paraId="23EA91A4">
                  <w:pPr>
                    <w:pStyle w:val="189"/>
                    <w:rPr>
                      <w:rFonts w:hint="default" w:ascii="Times New Roman" w:hAnsi="Times New Roman" w:eastAsia="宋体" w:cs="Times New Roman"/>
                      <w:color w:val="auto"/>
                      <w:highlight w:val="none"/>
                    </w:rPr>
                  </w:pPr>
                </w:p>
              </w:tc>
              <w:tc>
                <w:tcPr>
                  <w:tcW w:w="1134" w:type="dxa"/>
                  <w:vAlign w:val="center"/>
                </w:tcPr>
                <w:p w14:paraId="217037F3">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w:t>
                  </w:r>
                </w:p>
              </w:tc>
              <w:tc>
                <w:tcPr>
                  <w:tcW w:w="2240" w:type="dxa"/>
                  <w:vAlign w:val="center"/>
                </w:tcPr>
                <w:p w14:paraId="1E94FD54">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c>
                <w:tcPr>
                  <w:tcW w:w="1295" w:type="dxa"/>
                  <w:vAlign w:val="center"/>
                </w:tcPr>
                <w:p w14:paraId="512C49A3">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134" w:type="dxa"/>
                  <w:vAlign w:val="center"/>
                </w:tcPr>
                <w:p w14:paraId="536978A8">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14:paraId="5A6B0D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50" w:type="dxa"/>
                  <w:vMerge w:val="continue"/>
                  <w:vAlign w:val="center"/>
                </w:tcPr>
                <w:p w14:paraId="6C7E773C">
                  <w:pPr>
                    <w:pStyle w:val="189"/>
                    <w:rPr>
                      <w:rFonts w:hint="default" w:ascii="Times New Roman" w:hAnsi="Times New Roman" w:eastAsia="宋体" w:cs="Times New Roman"/>
                      <w:color w:val="auto"/>
                      <w:highlight w:val="none"/>
                    </w:rPr>
                  </w:pPr>
                </w:p>
              </w:tc>
              <w:tc>
                <w:tcPr>
                  <w:tcW w:w="1134" w:type="dxa"/>
                  <w:vAlign w:val="center"/>
                </w:tcPr>
                <w:p w14:paraId="1267DDE8">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p>
              </w:tc>
              <w:tc>
                <w:tcPr>
                  <w:tcW w:w="2240" w:type="dxa"/>
                  <w:vAlign w:val="center"/>
                </w:tcPr>
                <w:p w14:paraId="51A245C4">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295" w:type="dxa"/>
                  <w:vAlign w:val="center"/>
                </w:tcPr>
                <w:p w14:paraId="4D4538C4">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0.15</w:t>
                  </w:r>
                </w:p>
              </w:tc>
              <w:tc>
                <w:tcPr>
                  <w:tcW w:w="1134" w:type="dxa"/>
                  <w:vAlign w:val="center"/>
                </w:tcPr>
                <w:p w14:paraId="2122F1DD">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0.070</w:t>
                  </w:r>
                </w:p>
              </w:tc>
            </w:tr>
            <w:tr w14:paraId="04E92C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50" w:type="dxa"/>
                  <w:vMerge w:val="continue"/>
                  <w:vAlign w:val="center"/>
                </w:tcPr>
                <w:p w14:paraId="253CF9E3">
                  <w:pPr>
                    <w:pStyle w:val="189"/>
                    <w:rPr>
                      <w:rFonts w:hint="default" w:ascii="Times New Roman" w:hAnsi="Times New Roman" w:eastAsia="宋体" w:cs="Times New Roman"/>
                      <w:color w:val="auto"/>
                      <w:highlight w:val="none"/>
                    </w:rPr>
                  </w:pPr>
                </w:p>
              </w:tc>
              <w:tc>
                <w:tcPr>
                  <w:tcW w:w="1134" w:type="dxa"/>
                  <w:vAlign w:val="center"/>
                </w:tcPr>
                <w:p w14:paraId="0D0AF3EA">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p>
              </w:tc>
              <w:tc>
                <w:tcPr>
                  <w:tcW w:w="2240" w:type="dxa"/>
                  <w:vAlign w:val="center"/>
                </w:tcPr>
                <w:p w14:paraId="0A7A5F58">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295" w:type="dxa"/>
                  <w:vAlign w:val="center"/>
                </w:tcPr>
                <w:p w14:paraId="7DD37639">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0.075</w:t>
                  </w:r>
                </w:p>
              </w:tc>
              <w:tc>
                <w:tcPr>
                  <w:tcW w:w="1134" w:type="dxa"/>
                  <w:vAlign w:val="center"/>
                </w:tcPr>
                <w:p w14:paraId="05479F28">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0.035</w:t>
                  </w:r>
                </w:p>
              </w:tc>
            </w:tr>
            <w:tr w14:paraId="0585A1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50" w:type="dxa"/>
                  <w:vMerge w:val="continue"/>
                  <w:vAlign w:val="center"/>
                </w:tcPr>
                <w:p w14:paraId="057FCE51">
                  <w:pPr>
                    <w:pStyle w:val="189"/>
                    <w:rPr>
                      <w:rFonts w:hint="default" w:ascii="Times New Roman" w:hAnsi="Times New Roman" w:eastAsia="宋体" w:cs="Times New Roman"/>
                      <w:color w:val="auto"/>
                      <w:highlight w:val="none"/>
                    </w:rPr>
                  </w:pPr>
                </w:p>
              </w:tc>
              <w:tc>
                <w:tcPr>
                  <w:tcW w:w="1134" w:type="dxa"/>
                  <w:vAlign w:val="center"/>
                </w:tcPr>
                <w:p w14:paraId="3E4BAEA3">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TSP</w:t>
                  </w:r>
                </w:p>
              </w:tc>
              <w:tc>
                <w:tcPr>
                  <w:tcW w:w="2240" w:type="dxa"/>
                  <w:vAlign w:val="center"/>
                </w:tcPr>
                <w:p w14:paraId="1F765DB2">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295" w:type="dxa"/>
                  <w:vAlign w:val="center"/>
                </w:tcPr>
                <w:p w14:paraId="19840CC4">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0.30</w:t>
                  </w:r>
                </w:p>
              </w:tc>
              <w:tc>
                <w:tcPr>
                  <w:tcW w:w="1134" w:type="dxa"/>
                  <w:vAlign w:val="center"/>
                </w:tcPr>
                <w:p w14:paraId="61B4A0A8">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0.20</w:t>
                  </w:r>
                </w:p>
              </w:tc>
            </w:tr>
            <w:tr w14:paraId="5B103B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50" w:type="dxa"/>
                  <w:vMerge w:val="continue"/>
                  <w:vAlign w:val="center"/>
                </w:tcPr>
                <w:p w14:paraId="6D02DE77">
                  <w:pPr>
                    <w:pStyle w:val="189"/>
                    <w:rPr>
                      <w:rFonts w:hint="default" w:ascii="Times New Roman" w:hAnsi="Times New Roman" w:eastAsia="宋体" w:cs="Times New Roman"/>
                      <w:color w:val="auto"/>
                      <w:highlight w:val="none"/>
                    </w:rPr>
                  </w:pPr>
                </w:p>
              </w:tc>
              <w:tc>
                <w:tcPr>
                  <w:tcW w:w="1134" w:type="dxa"/>
                  <w:vAlign w:val="center"/>
                </w:tcPr>
                <w:p w14:paraId="14801A31">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p>
              </w:tc>
              <w:tc>
                <w:tcPr>
                  <w:tcW w:w="2240" w:type="dxa"/>
                  <w:vAlign w:val="center"/>
                </w:tcPr>
                <w:p w14:paraId="753D8F55">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0.20</w:t>
                  </w:r>
                </w:p>
              </w:tc>
              <w:tc>
                <w:tcPr>
                  <w:tcW w:w="1295" w:type="dxa"/>
                  <w:vAlign w:val="center"/>
                </w:tcPr>
                <w:p w14:paraId="2A3F9896">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0.10</w:t>
                  </w:r>
                </w:p>
              </w:tc>
              <w:tc>
                <w:tcPr>
                  <w:tcW w:w="1134" w:type="dxa"/>
                  <w:vAlign w:val="center"/>
                </w:tcPr>
                <w:p w14:paraId="6318A6E7">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bl>
          <w:p w14:paraId="38D69102">
            <w:pPr>
              <w:pStyle w:val="157"/>
              <w:ind w:firstLine="480"/>
              <w:rPr>
                <w:rFonts w:hint="default" w:ascii="Times New Roman" w:hAnsi="Times New Roman" w:eastAsia="宋体" w:cs="Times New Roman"/>
                <w:color w:val="auto"/>
                <w:highlight w:val="none"/>
              </w:rPr>
            </w:pPr>
            <w:bookmarkStart w:id="65" w:name="_Toc14387"/>
            <w:bookmarkStart w:id="66" w:name="_Toc11923"/>
            <w:bookmarkStart w:id="67" w:name="_Toc133251543"/>
            <w:r>
              <w:rPr>
                <w:rFonts w:hint="default" w:ascii="Times New Roman" w:hAnsi="Times New Roman" w:eastAsia="宋体" w:cs="Times New Roman"/>
                <w:color w:val="auto"/>
                <w:highlight w:val="none"/>
              </w:rPr>
              <w:t>为了解项目的大气环境现状，本评价</w:t>
            </w:r>
            <w:r>
              <w:rPr>
                <w:rFonts w:hint="default" w:ascii="Times New Roman" w:hAnsi="Times New Roman" w:eastAsia="宋体" w:cs="Times New Roman"/>
                <w:color w:val="auto"/>
                <w:highlight w:val="none"/>
                <w:lang w:val="zh-CN"/>
              </w:rPr>
              <w:t>引用福建省生态环境厅网站公布的</w:t>
            </w:r>
            <w:r>
              <w:rPr>
                <w:rFonts w:hint="default" w:ascii="Times New Roman" w:hAnsi="Times New Roman" w:eastAsia="宋体" w:cs="Times New Roman"/>
                <w:color w:val="auto"/>
                <w:highlight w:val="none"/>
              </w:rPr>
              <w:t>202</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年</w:t>
            </w: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zh-CN"/>
              </w:rPr>
              <w:t>福建省城市环境空气质量通报，福州市城区环境空气质量良好，能达到《环境空气质量标准》（GB3095-2012）二级标准要求</w:t>
            </w:r>
            <w:r>
              <w:rPr>
                <w:rFonts w:hint="default" w:ascii="Times New Roman" w:hAnsi="Times New Roman" w:eastAsia="宋体" w:cs="Times New Roman"/>
                <w:color w:val="auto"/>
                <w:highlight w:val="none"/>
              </w:rPr>
              <w:t>，监测结果详见表3-</w:t>
            </w: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和图3-</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p>
          <w:p w14:paraId="7C639389">
            <w:pPr>
              <w:pStyle w:val="198"/>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表3-</w:t>
            </w:r>
            <w:r>
              <w:rPr>
                <w:rFonts w:hint="eastAsia" w:ascii="Times New Roman" w:hAnsi="Times New Roman" w:cs="Times New Roman"/>
                <w:color w:val="auto"/>
                <w:highlight w:val="none"/>
                <w:lang w:val="en-US" w:eastAsia="zh-CN"/>
              </w:rPr>
              <w:t xml:space="preserve">5  </w:t>
            </w:r>
            <w:r>
              <w:rPr>
                <w:rFonts w:hint="default" w:ascii="Times New Roman" w:hAnsi="Times New Roman" w:eastAsia="宋体" w:cs="Times New Roman"/>
                <w:color w:val="auto"/>
                <w:highlight w:val="none"/>
              </w:rPr>
              <w:t xml:space="preserve"> 20</w:t>
            </w:r>
            <w:r>
              <w:rPr>
                <w:rFonts w:hint="eastAsia" w:ascii="Times New Roman" w:hAnsi="Times New Roman" w:cs="Times New Roman"/>
                <w:color w:val="auto"/>
                <w:highlight w:val="none"/>
                <w:lang w:val="en-US" w:eastAsia="zh-CN"/>
              </w:rPr>
              <w:t>24</w:t>
            </w:r>
            <w:r>
              <w:rPr>
                <w:rFonts w:hint="default" w:ascii="Times New Roman" w:hAnsi="Times New Roman" w:eastAsia="宋体" w:cs="Times New Roman"/>
                <w:color w:val="auto"/>
                <w:highlight w:val="none"/>
              </w:rPr>
              <w:t>年</w:t>
            </w:r>
            <w:r>
              <w:rPr>
                <w:rFonts w:hint="eastAsia"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月城市环境空气质量情况</w:t>
            </w:r>
          </w:p>
          <w:tbl>
            <w:tblPr>
              <w:tblStyle w:val="50"/>
              <w:tblW w:w="84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5"/>
              <w:gridCol w:w="741"/>
              <w:gridCol w:w="1134"/>
              <w:gridCol w:w="607"/>
              <w:gridCol w:w="640"/>
              <w:gridCol w:w="687"/>
              <w:gridCol w:w="814"/>
              <w:gridCol w:w="832"/>
              <w:gridCol w:w="1301"/>
              <w:gridCol w:w="899"/>
            </w:tblGrid>
            <w:tr w14:paraId="1F3792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05" w:type="dxa"/>
                  <w:vAlign w:val="center"/>
                </w:tcPr>
                <w:p w14:paraId="4A03399D">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城市</w:t>
                  </w:r>
                </w:p>
              </w:tc>
              <w:tc>
                <w:tcPr>
                  <w:tcW w:w="741" w:type="dxa"/>
                  <w:vAlign w:val="center"/>
                </w:tcPr>
                <w:p w14:paraId="46742513">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综合指数</w:t>
                  </w:r>
                </w:p>
              </w:tc>
              <w:tc>
                <w:tcPr>
                  <w:tcW w:w="1134" w:type="dxa"/>
                  <w:vAlign w:val="center"/>
                </w:tcPr>
                <w:p w14:paraId="0DA5548A">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达标天数</w:t>
                  </w:r>
                </w:p>
                <w:p w14:paraId="18C45135">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比例（%）</w:t>
                  </w:r>
                </w:p>
              </w:tc>
              <w:tc>
                <w:tcPr>
                  <w:tcW w:w="607" w:type="dxa"/>
                  <w:vAlign w:val="center"/>
                </w:tcPr>
                <w:p w14:paraId="36F7F761">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2</w:t>
                  </w:r>
                </w:p>
              </w:tc>
              <w:tc>
                <w:tcPr>
                  <w:tcW w:w="640" w:type="dxa"/>
                  <w:vAlign w:val="center"/>
                </w:tcPr>
                <w:p w14:paraId="683FBE52">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p>
              </w:tc>
              <w:tc>
                <w:tcPr>
                  <w:tcW w:w="687" w:type="dxa"/>
                  <w:vAlign w:val="center"/>
                </w:tcPr>
                <w:p w14:paraId="55AF2101">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p>
              </w:tc>
              <w:tc>
                <w:tcPr>
                  <w:tcW w:w="814" w:type="dxa"/>
                  <w:vAlign w:val="center"/>
                </w:tcPr>
                <w:p w14:paraId="67B94926">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p>
              </w:tc>
              <w:tc>
                <w:tcPr>
                  <w:tcW w:w="832" w:type="dxa"/>
                  <w:vAlign w:val="center"/>
                </w:tcPr>
                <w:p w14:paraId="060BF666">
                  <w:pPr>
                    <w:pStyle w:val="189"/>
                    <w:spacing w:line="240" w:lineRule="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CO-</w:t>
                  </w:r>
                </w:p>
                <w:p w14:paraId="3FD537E7">
                  <w:pPr>
                    <w:pStyle w:val="189"/>
                    <w:spacing w:line="240" w:lineRule="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95per</w:t>
                  </w:r>
                </w:p>
              </w:tc>
              <w:tc>
                <w:tcPr>
                  <w:tcW w:w="1301" w:type="dxa"/>
                  <w:vAlign w:val="center"/>
                </w:tcPr>
                <w:p w14:paraId="6E788EA6">
                  <w:pPr>
                    <w:pStyle w:val="189"/>
                    <w:spacing w:line="240" w:lineRule="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O</w:t>
                  </w:r>
                  <w:r>
                    <w:rPr>
                      <w:rFonts w:hint="default" w:ascii="Times New Roman" w:hAnsi="Times New Roman" w:eastAsia="宋体" w:cs="Times New Roman"/>
                      <w:color w:val="auto"/>
                      <w:highlight w:val="none"/>
                      <w:vertAlign w:val="subscript"/>
                      <w:lang w:val="zh-CN"/>
                    </w:rPr>
                    <w:t>3</w:t>
                  </w:r>
                  <w:r>
                    <w:rPr>
                      <w:rFonts w:hint="default" w:ascii="Times New Roman" w:hAnsi="Times New Roman" w:eastAsia="宋体" w:cs="Times New Roman"/>
                      <w:color w:val="auto"/>
                      <w:highlight w:val="none"/>
                      <w:lang w:val="zh-CN"/>
                    </w:rPr>
                    <w:t>_8h-90per</w:t>
                  </w:r>
                </w:p>
              </w:tc>
              <w:tc>
                <w:tcPr>
                  <w:tcW w:w="899" w:type="dxa"/>
                  <w:vAlign w:val="center"/>
                </w:tcPr>
                <w:p w14:paraId="0410BE1A">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首要污染物</w:t>
                  </w:r>
                </w:p>
              </w:tc>
            </w:tr>
            <w:tr w14:paraId="77F394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05" w:type="dxa"/>
                  <w:vAlign w:val="center"/>
                </w:tcPr>
                <w:p w14:paraId="25530896">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福州市</w:t>
                  </w:r>
                </w:p>
              </w:tc>
              <w:tc>
                <w:tcPr>
                  <w:tcW w:w="741" w:type="dxa"/>
                  <w:vAlign w:val="center"/>
                </w:tcPr>
                <w:p w14:paraId="0F09A794">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2.28</w:t>
                  </w:r>
                </w:p>
              </w:tc>
              <w:tc>
                <w:tcPr>
                  <w:tcW w:w="1134" w:type="dxa"/>
                  <w:vAlign w:val="center"/>
                </w:tcPr>
                <w:p w14:paraId="730C440E">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90.3</w:t>
                  </w:r>
                </w:p>
              </w:tc>
              <w:tc>
                <w:tcPr>
                  <w:tcW w:w="607" w:type="dxa"/>
                  <w:vAlign w:val="center"/>
                </w:tcPr>
                <w:p w14:paraId="5CB572B2">
                  <w:pPr>
                    <w:pStyle w:val="189"/>
                    <w:spacing w:line="240" w:lineRule="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4</w:t>
                  </w:r>
                </w:p>
              </w:tc>
              <w:tc>
                <w:tcPr>
                  <w:tcW w:w="640" w:type="dxa"/>
                  <w:vAlign w:val="center"/>
                </w:tcPr>
                <w:p w14:paraId="7D16FDCE">
                  <w:pPr>
                    <w:pStyle w:val="189"/>
                    <w:spacing w:line="240" w:lineRule="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12</w:t>
                  </w:r>
                </w:p>
              </w:tc>
              <w:tc>
                <w:tcPr>
                  <w:tcW w:w="687" w:type="dxa"/>
                  <w:vAlign w:val="center"/>
                </w:tcPr>
                <w:p w14:paraId="4E2DCFC3">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w:t>
                  </w:r>
                </w:p>
              </w:tc>
              <w:tc>
                <w:tcPr>
                  <w:tcW w:w="814" w:type="dxa"/>
                  <w:vAlign w:val="center"/>
                </w:tcPr>
                <w:p w14:paraId="4EB35D89">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w:t>
                  </w:r>
                </w:p>
              </w:tc>
              <w:tc>
                <w:tcPr>
                  <w:tcW w:w="832" w:type="dxa"/>
                  <w:vAlign w:val="center"/>
                </w:tcPr>
                <w:p w14:paraId="069772D4">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0.6</w:t>
                  </w:r>
                </w:p>
              </w:tc>
              <w:tc>
                <w:tcPr>
                  <w:tcW w:w="1301" w:type="dxa"/>
                  <w:vAlign w:val="center"/>
                </w:tcPr>
                <w:p w14:paraId="07622F2B">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149</w:t>
                  </w:r>
                </w:p>
              </w:tc>
              <w:tc>
                <w:tcPr>
                  <w:tcW w:w="899" w:type="dxa"/>
                  <w:vAlign w:val="center"/>
                </w:tcPr>
                <w:p w14:paraId="3DD2F240">
                  <w:pPr>
                    <w:pStyle w:val="189"/>
                    <w:spacing w:line="240" w:lineRule="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臭氧</w:t>
                  </w:r>
                </w:p>
              </w:tc>
            </w:tr>
            <w:tr w14:paraId="6DF523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460" w:type="dxa"/>
                  <w:gridSpan w:val="10"/>
                  <w:vAlign w:val="center"/>
                </w:tcPr>
                <w:p w14:paraId="28D90CA4">
                  <w:pPr>
                    <w:pStyle w:val="142"/>
                    <w:spacing w:line="240" w:lineRule="auto"/>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18"/>
                      <w:highlight w:val="none"/>
                      <w:lang w:val="zh-CN"/>
                    </w:rPr>
                    <w:t>备注：综合指数为无量纲，CO浓度单位为mg/m</w:t>
                  </w:r>
                  <w:r>
                    <w:rPr>
                      <w:rFonts w:hint="default" w:ascii="Times New Roman" w:hAnsi="Times New Roman" w:eastAsia="宋体" w:cs="Times New Roman"/>
                      <w:color w:val="auto"/>
                      <w:sz w:val="21"/>
                      <w:szCs w:val="18"/>
                      <w:highlight w:val="none"/>
                      <w:vertAlign w:val="superscript"/>
                      <w:lang w:val="zh-CN"/>
                    </w:rPr>
                    <w:t>3</w:t>
                  </w:r>
                  <w:r>
                    <w:rPr>
                      <w:rFonts w:hint="default" w:ascii="Times New Roman" w:hAnsi="Times New Roman" w:eastAsia="宋体" w:cs="Times New Roman"/>
                      <w:color w:val="auto"/>
                      <w:sz w:val="21"/>
                      <w:szCs w:val="18"/>
                      <w:highlight w:val="none"/>
                      <w:lang w:val="zh-CN"/>
                    </w:rPr>
                    <w:t>，其他浓度单位均为</w:t>
                  </w:r>
                  <w:r>
                    <w:rPr>
                      <w:rFonts w:hint="default" w:ascii="Times New Roman" w:hAnsi="Times New Roman" w:eastAsia="宋体" w:cs="Times New Roman"/>
                      <w:color w:val="auto"/>
                      <w:sz w:val="21"/>
                      <w:szCs w:val="18"/>
                      <w:highlight w:val="none"/>
                    </w:rPr>
                    <w:t>u</w:t>
                  </w:r>
                  <w:r>
                    <w:rPr>
                      <w:rFonts w:hint="default" w:ascii="Times New Roman" w:hAnsi="Times New Roman" w:eastAsia="宋体" w:cs="Times New Roman"/>
                      <w:color w:val="auto"/>
                      <w:sz w:val="21"/>
                      <w:szCs w:val="18"/>
                      <w:highlight w:val="none"/>
                      <w:lang w:val="zh-CN"/>
                    </w:rPr>
                    <w:t>g/m</w:t>
                  </w:r>
                  <w:r>
                    <w:rPr>
                      <w:rFonts w:hint="default" w:ascii="Times New Roman" w:hAnsi="Times New Roman" w:eastAsia="宋体" w:cs="Times New Roman"/>
                      <w:color w:val="auto"/>
                      <w:sz w:val="21"/>
                      <w:szCs w:val="18"/>
                      <w:highlight w:val="none"/>
                      <w:vertAlign w:val="superscript"/>
                      <w:lang w:val="zh-CN"/>
                    </w:rPr>
                    <w:t>3</w:t>
                  </w:r>
                  <w:r>
                    <w:rPr>
                      <w:rFonts w:hint="default" w:ascii="Times New Roman" w:hAnsi="Times New Roman" w:eastAsia="宋体" w:cs="Times New Roman"/>
                      <w:color w:val="auto"/>
                      <w:sz w:val="21"/>
                      <w:szCs w:val="18"/>
                      <w:highlight w:val="none"/>
                      <w:lang w:val="zh-CN"/>
                    </w:rPr>
                    <w:t>；综合指数越小，表示环境空气质量相对越好。</w:t>
                  </w:r>
                </w:p>
              </w:tc>
            </w:tr>
          </w:tbl>
          <w:p w14:paraId="44529F05">
            <w:pPr>
              <w:pStyle w:val="157"/>
              <w:ind w:firstLine="0" w:firstLineChars="0"/>
              <w:jc w:val="center"/>
              <w:rPr>
                <w:rFonts w:hint="default" w:ascii="Times New Roman" w:hAnsi="Times New Roman" w:eastAsia="宋体" w:cs="Times New Roman"/>
                <w:color w:val="auto"/>
                <w:highlight w:val="none"/>
              </w:rPr>
            </w:pPr>
            <w:r>
              <w:drawing>
                <wp:inline distT="0" distB="0" distL="114300" distR="114300">
                  <wp:extent cx="5361305" cy="3435985"/>
                  <wp:effectExtent l="0" t="0" r="10795" b="1206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21"/>
                          <a:stretch>
                            <a:fillRect/>
                          </a:stretch>
                        </pic:blipFill>
                        <pic:spPr>
                          <a:xfrm>
                            <a:off x="0" y="0"/>
                            <a:ext cx="5361305" cy="3435985"/>
                          </a:xfrm>
                          <a:prstGeom prst="rect">
                            <a:avLst/>
                          </a:prstGeom>
                          <a:noFill/>
                          <a:ln>
                            <a:noFill/>
                          </a:ln>
                        </pic:spPr>
                      </pic:pic>
                    </a:graphicData>
                  </a:graphic>
                </wp:inline>
              </w:drawing>
            </w:r>
            <w:r>
              <w:rPr>
                <w:rFonts w:hint="default" w:ascii="Times New Roman" w:hAnsi="Times New Roman" w:eastAsia="宋体" w:cs="Times New Roman"/>
                <w:color w:val="auto"/>
                <w:highlight w:val="none"/>
              </w:rPr>
              <w:t xml:space="preserve"> </w:t>
            </w:r>
            <w:r>
              <w:drawing>
                <wp:inline distT="0" distB="0" distL="114300" distR="114300">
                  <wp:extent cx="5370830" cy="3583940"/>
                  <wp:effectExtent l="0" t="0" r="1270" b="16510"/>
                  <wp:docPr id="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
                          <pic:cNvPicPr>
                            <a:picLocks noChangeAspect="1"/>
                          </pic:cNvPicPr>
                        </pic:nvPicPr>
                        <pic:blipFill>
                          <a:blip r:embed="rId22"/>
                          <a:stretch>
                            <a:fillRect/>
                          </a:stretch>
                        </pic:blipFill>
                        <pic:spPr>
                          <a:xfrm>
                            <a:off x="0" y="0"/>
                            <a:ext cx="5370830" cy="3583940"/>
                          </a:xfrm>
                          <a:prstGeom prst="rect">
                            <a:avLst/>
                          </a:prstGeom>
                          <a:noFill/>
                          <a:ln>
                            <a:noFill/>
                          </a:ln>
                        </pic:spPr>
                      </pic:pic>
                    </a:graphicData>
                  </a:graphic>
                </wp:inline>
              </w:drawing>
            </w:r>
          </w:p>
          <w:p w14:paraId="352F8269">
            <w:pPr>
              <w:pStyle w:val="19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图</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rPr>
              <w:t xml:space="preserve"> 空气质量监测数据截图</w:t>
            </w:r>
          </w:p>
          <w:p w14:paraId="4F3B7B66">
            <w:pPr>
              <w:pStyle w:val="15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根据福建省环境空气质量信息发布平台发布的大气环境监测结果，项目周边空气质量现状中各常规指标均可满足《环境空气质量标准》（GB3095-2012）中二级标准限值。</w:t>
            </w:r>
          </w:p>
          <w:p w14:paraId="286B5947">
            <w:pPr>
              <w:pStyle w:val="15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color w:val="auto"/>
                <w:highlight w:val="none"/>
              </w:rPr>
              <w:t>大气环境》（HJ2.2-2018）的要求，大气环境质量现状调查应优先采用国务院生态</w:t>
            </w:r>
            <w:r>
              <w:rPr>
                <w:rFonts w:hint="eastAsia" w:ascii="Times New Roman" w:hAnsi="Times New Roman" w:eastAsia="宋体" w:cs="Times New Roman"/>
                <w:color w:val="auto"/>
                <w:highlight w:val="none"/>
                <w:lang w:eastAsia="zh-CN"/>
              </w:rPr>
              <w:t>生态环境主管部门</w:t>
            </w:r>
            <w:r>
              <w:rPr>
                <w:rFonts w:hint="default" w:ascii="Times New Roman" w:hAnsi="Times New Roman" w:eastAsia="宋体" w:cs="Times New Roman"/>
                <w:color w:val="auto"/>
                <w:highlight w:val="none"/>
              </w:rPr>
              <w:t>统一发布的大气环境状况信息，本次评价选取</w:t>
            </w:r>
            <w:r>
              <w:rPr>
                <w:rFonts w:hint="eastAsia" w:ascii="Times New Roman" w:hAnsi="Times New Roman" w:eastAsia="宋体" w:cs="Times New Roman"/>
                <w:color w:val="auto"/>
                <w:highlight w:val="none"/>
                <w:lang w:val="en-US" w:eastAsia="zh-CN"/>
              </w:rPr>
              <w:t>福建省生态环境厅</w:t>
            </w:r>
            <w:r>
              <w:rPr>
                <w:rFonts w:hint="default" w:ascii="Times New Roman" w:hAnsi="Times New Roman" w:eastAsia="宋体" w:cs="Times New Roman"/>
                <w:color w:val="auto"/>
                <w:highlight w:val="none"/>
              </w:rPr>
              <w:t>网站发布环境空气质量环境状况信息，符合《环境影响评价技术导则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color w:val="auto"/>
                <w:highlight w:val="none"/>
              </w:rPr>
              <w:t>大气环境》</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 2.2-2018</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的要求，环境现状监测数据可行。</w:t>
            </w:r>
          </w:p>
          <w:bookmarkEnd w:id="65"/>
          <w:bookmarkEnd w:id="66"/>
          <w:bookmarkEnd w:id="67"/>
          <w:p w14:paraId="3DA0BD90">
            <w:pPr>
              <w:keepNext w:val="0"/>
              <w:keepLines w:val="0"/>
              <w:widowControl/>
              <w:suppressLineNumbers w:val="0"/>
              <w:jc w:val="left"/>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b/>
                <w:bCs/>
                <w:color w:val="auto"/>
                <w:kern w:val="0"/>
                <w:sz w:val="28"/>
                <w:szCs w:val="28"/>
                <w:highlight w:val="none"/>
                <w:lang w:val="en-US" w:eastAsia="zh-CN" w:bidi="ar"/>
              </w:rPr>
              <w:t xml:space="preserve">3.4 土壤环境 </w:t>
            </w:r>
          </w:p>
          <w:p w14:paraId="3A842A62">
            <w:pPr>
              <w:spacing w:line="360" w:lineRule="auto"/>
              <w:ind w:firstLine="48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color w:val="auto"/>
                <w:highlight w:val="none"/>
              </w:rPr>
              <w:t>土壤环境（试行）》（HJ964-2018）附录A，</w:t>
            </w:r>
            <w:r>
              <w:rPr>
                <w:rFonts w:hint="eastAsia" w:cs="Times New Roman"/>
                <w:color w:val="auto"/>
                <w:highlight w:val="none"/>
                <w:lang w:eastAsia="zh-CN"/>
              </w:rPr>
              <w:t>项目</w:t>
            </w:r>
            <w:r>
              <w:rPr>
                <w:rFonts w:hint="default" w:ascii="Times New Roman" w:hAnsi="Times New Roman" w:eastAsia="宋体" w:cs="Times New Roman"/>
                <w:color w:val="auto"/>
                <w:highlight w:val="none"/>
              </w:rPr>
              <w:t>土壤环境影响评价项目类别为：Ⅳ类；见表</w:t>
            </w:r>
            <w:r>
              <w:rPr>
                <w:rFonts w:hint="default" w:ascii="Times New Roman" w:hAnsi="Times New Roman" w:eastAsia="宋体" w:cs="Times New Roman"/>
                <w:color w:val="auto"/>
                <w:highlight w:val="none"/>
                <w:lang w:val="en-US" w:eastAsia="zh-CN"/>
              </w:rPr>
              <w:t>3-</w:t>
            </w:r>
            <w:r>
              <w:rPr>
                <w:rFonts w:hint="eastAsia" w:cs="Times New Roman"/>
                <w:color w:val="auto"/>
                <w:highlight w:val="none"/>
                <w:lang w:val="en-US" w:eastAsia="zh-CN"/>
              </w:rPr>
              <w:t>6</w:t>
            </w:r>
            <w:r>
              <w:rPr>
                <w:rFonts w:hint="default" w:ascii="Times New Roman" w:hAnsi="Times New Roman" w:eastAsia="宋体" w:cs="Times New Roman"/>
                <w:color w:val="auto"/>
                <w:highlight w:val="none"/>
              </w:rPr>
              <w:t>。</w:t>
            </w:r>
          </w:p>
          <w:p w14:paraId="080581D1">
            <w:pPr>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w:t>
            </w:r>
            <w:r>
              <w:rPr>
                <w:rFonts w:hint="default" w:ascii="Times New Roman" w:hAnsi="Times New Roman" w:eastAsia="宋体" w:cs="Times New Roman"/>
                <w:b/>
                <w:bCs/>
                <w:color w:val="auto"/>
                <w:highlight w:val="none"/>
                <w:lang w:val="en-US" w:eastAsia="zh-CN"/>
              </w:rPr>
              <w:t>3-</w:t>
            </w:r>
            <w:r>
              <w:rPr>
                <w:rFonts w:hint="eastAsia" w:cs="Times New Roman"/>
                <w:b/>
                <w:bCs/>
                <w:color w:val="auto"/>
                <w:highlight w:val="none"/>
                <w:lang w:val="en-US" w:eastAsia="zh-CN"/>
              </w:rPr>
              <w:t>6</w:t>
            </w:r>
            <w:r>
              <w:rPr>
                <w:rFonts w:hint="default" w:ascii="Times New Roman" w:hAnsi="Times New Roman" w:eastAsia="宋体" w:cs="Times New Roman"/>
                <w:b/>
                <w:bCs/>
                <w:color w:val="auto"/>
                <w:highlight w:val="none"/>
              </w:rPr>
              <w:t xml:space="preserve">  土壤环境影响评价行业分类表</w:t>
            </w:r>
          </w:p>
          <w:tbl>
            <w:tblPr>
              <w:tblStyle w:val="50"/>
              <w:tblW w:w="843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48"/>
              <w:gridCol w:w="1185"/>
              <w:gridCol w:w="2425"/>
              <w:gridCol w:w="2783"/>
              <w:gridCol w:w="697"/>
            </w:tblGrid>
            <w:tr w14:paraId="27F416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9" w:hRule="atLeast"/>
              </w:trPr>
              <w:tc>
                <w:tcPr>
                  <w:tcW w:w="1348" w:type="dxa"/>
                  <w:vMerge w:val="restart"/>
                  <w:vAlign w:val="center"/>
                </w:tcPr>
                <w:p w14:paraId="0650B47A">
                  <w:pPr>
                    <w:jc w:val="center"/>
                    <w:rPr>
                      <w:rFonts w:hint="default" w:ascii="Times New Roman" w:hAnsi="Times New Roman" w:eastAsia="宋体" w:cs="Times New Roman"/>
                      <w:b/>
                      <w:bCs w:val="0"/>
                      <w:color w:val="auto"/>
                      <w:kern w:val="0"/>
                      <w:sz w:val="21"/>
                      <w:szCs w:val="21"/>
                      <w:highlight w:val="none"/>
                    </w:rPr>
                  </w:pPr>
                  <w:r>
                    <w:rPr>
                      <w:rFonts w:hint="default" w:ascii="Times New Roman" w:hAnsi="Times New Roman" w:eastAsia="宋体" w:cs="Times New Roman"/>
                      <w:b/>
                      <w:bCs w:val="0"/>
                      <w:color w:val="auto"/>
                      <w:kern w:val="0"/>
                      <w:sz w:val="21"/>
                      <w:szCs w:val="21"/>
                      <w:highlight w:val="none"/>
                    </w:rPr>
                    <w:t>行业类别</w:t>
                  </w:r>
                </w:p>
              </w:tc>
              <w:tc>
                <w:tcPr>
                  <w:tcW w:w="7090" w:type="dxa"/>
                  <w:gridSpan w:val="4"/>
                  <w:vAlign w:val="center"/>
                </w:tcPr>
                <w:p w14:paraId="742152D0">
                  <w:pPr>
                    <w:jc w:val="center"/>
                    <w:rPr>
                      <w:rFonts w:hint="default" w:ascii="Times New Roman" w:hAnsi="Times New Roman" w:eastAsia="宋体" w:cs="Times New Roman"/>
                      <w:b/>
                      <w:bCs w:val="0"/>
                      <w:color w:val="auto"/>
                      <w:kern w:val="0"/>
                      <w:sz w:val="21"/>
                      <w:szCs w:val="21"/>
                      <w:highlight w:val="none"/>
                    </w:rPr>
                  </w:pPr>
                  <w:r>
                    <w:rPr>
                      <w:rFonts w:hint="default" w:ascii="Times New Roman" w:hAnsi="Times New Roman" w:eastAsia="宋体" w:cs="Times New Roman"/>
                      <w:b/>
                      <w:bCs w:val="0"/>
                      <w:color w:val="auto"/>
                      <w:kern w:val="0"/>
                      <w:sz w:val="21"/>
                      <w:szCs w:val="21"/>
                      <w:highlight w:val="none"/>
                    </w:rPr>
                    <w:t>项目类别</w:t>
                  </w:r>
                </w:p>
              </w:tc>
            </w:tr>
            <w:tr w14:paraId="2648C9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348" w:type="dxa"/>
                  <w:vMerge w:val="continue"/>
                  <w:vAlign w:val="center"/>
                </w:tcPr>
                <w:p w14:paraId="52E45C1A">
                  <w:pPr>
                    <w:jc w:val="center"/>
                    <w:rPr>
                      <w:rFonts w:hint="default" w:ascii="Times New Roman" w:hAnsi="Times New Roman" w:eastAsia="宋体" w:cs="Times New Roman"/>
                      <w:color w:val="auto"/>
                      <w:sz w:val="21"/>
                      <w:szCs w:val="21"/>
                      <w:highlight w:val="none"/>
                    </w:rPr>
                  </w:pPr>
                </w:p>
              </w:tc>
              <w:tc>
                <w:tcPr>
                  <w:tcW w:w="1185" w:type="dxa"/>
                  <w:vAlign w:val="center"/>
                </w:tcPr>
                <w:p w14:paraId="3D739A0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Ⅰ类</w:t>
                  </w:r>
                </w:p>
              </w:tc>
              <w:tc>
                <w:tcPr>
                  <w:tcW w:w="2425" w:type="dxa"/>
                  <w:vAlign w:val="center"/>
                </w:tcPr>
                <w:p w14:paraId="113264A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Ⅱ类</w:t>
                  </w:r>
                </w:p>
              </w:tc>
              <w:tc>
                <w:tcPr>
                  <w:tcW w:w="2783" w:type="dxa"/>
                  <w:vAlign w:val="center"/>
                </w:tcPr>
                <w:p w14:paraId="063F386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Ⅲ类</w:t>
                  </w:r>
                </w:p>
              </w:tc>
              <w:tc>
                <w:tcPr>
                  <w:tcW w:w="697" w:type="dxa"/>
                  <w:vAlign w:val="center"/>
                </w:tcPr>
                <w:p w14:paraId="21D096E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Ⅳ类</w:t>
                  </w:r>
                </w:p>
              </w:tc>
            </w:tr>
            <w:tr w14:paraId="79A0FD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348" w:type="dxa"/>
                  <w:vAlign w:val="center"/>
                </w:tcPr>
                <w:p w14:paraId="5354B4C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社会事业与服务业</w:t>
                  </w:r>
                </w:p>
              </w:tc>
              <w:tc>
                <w:tcPr>
                  <w:tcW w:w="1185" w:type="dxa"/>
                  <w:vAlign w:val="center"/>
                </w:tcPr>
                <w:p w14:paraId="4049F88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425" w:type="dxa"/>
                  <w:vAlign w:val="center"/>
                </w:tcPr>
                <w:p w14:paraId="585651C1">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783" w:type="dxa"/>
                  <w:vAlign w:val="center"/>
                </w:tcPr>
                <w:p w14:paraId="1508144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高尔夫球场、加油站、赛车场</w:t>
                  </w:r>
                </w:p>
              </w:tc>
              <w:tc>
                <w:tcPr>
                  <w:tcW w:w="697" w:type="dxa"/>
                  <w:vAlign w:val="center"/>
                </w:tcPr>
                <w:p w14:paraId="316413E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其他</w:t>
                  </w:r>
                </w:p>
              </w:tc>
            </w:tr>
          </w:tbl>
          <w:p w14:paraId="26B4ED36">
            <w:pPr>
              <w:pStyle w:val="157"/>
              <w:ind w:firstLine="480"/>
              <w:rPr>
                <w:rFonts w:hint="default" w:ascii="Times New Roman" w:hAnsi="Times New Roman" w:eastAsia="宋体" w:cs="Times New Roman"/>
                <w:bCs w:val="0"/>
                <w:color w:val="auto"/>
                <w:szCs w:val="24"/>
                <w:highlight w:val="none"/>
              </w:rPr>
            </w:pPr>
            <w:r>
              <w:rPr>
                <w:rFonts w:hint="default" w:ascii="Times New Roman" w:hAnsi="Times New Roman" w:eastAsia="宋体" w:cs="Times New Roman"/>
                <w:bCs w:val="0"/>
                <w:color w:val="auto"/>
                <w:szCs w:val="24"/>
                <w:highlight w:val="none"/>
              </w:rPr>
              <w:t>根据《环境影响评价技术导则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bCs w:val="0"/>
                <w:color w:val="auto"/>
                <w:szCs w:val="24"/>
                <w:highlight w:val="none"/>
              </w:rPr>
              <w:t>土壤环境（试行）》（HJ964-2018）评价等级判据：项目属于Ⅳ类建设项目，根据导则判定，项目可不开展土壤环境影响评价。</w:t>
            </w:r>
          </w:p>
          <w:p w14:paraId="6E42B887">
            <w:pPr>
              <w:pStyle w:val="157"/>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sz w:val="28"/>
                <w:szCs w:val="28"/>
                <w:highlight w:val="none"/>
                <w:lang w:val="en-US" w:eastAsia="zh-CN"/>
              </w:rPr>
            </w:pPr>
            <w:r>
              <w:rPr>
                <w:rFonts w:hint="default" w:ascii="Times New Roman" w:hAnsi="Times New Roman" w:eastAsia="宋体" w:cs="Times New Roman"/>
                <w:b/>
                <w:bCs/>
                <w:color w:val="auto"/>
                <w:sz w:val="28"/>
                <w:szCs w:val="28"/>
                <w:highlight w:val="none"/>
                <w:lang w:val="en-US" w:eastAsia="zh-CN"/>
              </w:rPr>
              <w:t>3.5 地下水环境</w:t>
            </w:r>
          </w:p>
          <w:p w14:paraId="16BF4728">
            <w:pPr>
              <w:adjustRightInd w:val="0"/>
              <w:snapToGrid w:val="0"/>
              <w:spacing w:line="360" w:lineRule="auto"/>
              <w:ind w:firstLine="600" w:firstLineChars="25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color w:val="auto"/>
                <w:highlight w:val="none"/>
              </w:rPr>
              <w:t>地下水环境》（HJ610-2016）附录A，建设项目所属的地下水环境影响评价项目类别为：Ⅳ类；见表</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7</w:t>
            </w:r>
            <w:r>
              <w:rPr>
                <w:rFonts w:hint="default" w:ascii="Times New Roman" w:hAnsi="Times New Roman" w:eastAsia="宋体" w:cs="Times New Roman"/>
                <w:color w:val="auto"/>
                <w:highlight w:val="none"/>
              </w:rPr>
              <w:t>。</w:t>
            </w:r>
          </w:p>
          <w:p w14:paraId="38ECBF18">
            <w:pPr>
              <w:jc w:val="center"/>
              <w:rPr>
                <w:rFonts w:hint="default" w:ascii="Times New Roman" w:hAnsi="Times New Roman" w:eastAsia="宋体" w:cs="Times New Roman"/>
                <w:b/>
                <w:color w:val="auto"/>
                <w:kern w:val="0"/>
                <w:highlight w:val="none"/>
              </w:rPr>
            </w:pPr>
            <w:r>
              <w:rPr>
                <w:rFonts w:hint="default" w:ascii="Times New Roman" w:hAnsi="Times New Roman" w:eastAsia="宋体" w:cs="Times New Roman"/>
                <w:b/>
                <w:color w:val="auto"/>
                <w:kern w:val="0"/>
                <w:highlight w:val="none"/>
              </w:rPr>
              <w:t>表</w:t>
            </w:r>
            <w:r>
              <w:rPr>
                <w:rFonts w:hint="default"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rPr>
              <w:t>-</w:t>
            </w:r>
            <w:r>
              <w:rPr>
                <w:rFonts w:hint="eastAsia" w:cs="Times New Roman"/>
                <w:b/>
                <w:bCs/>
                <w:color w:val="auto"/>
                <w:highlight w:val="none"/>
                <w:lang w:val="en-US" w:eastAsia="zh-CN"/>
              </w:rPr>
              <w:t>7</w:t>
            </w:r>
            <w:r>
              <w:rPr>
                <w:rFonts w:hint="default" w:ascii="Times New Roman" w:hAnsi="Times New Roman" w:eastAsia="宋体" w:cs="Times New Roman"/>
                <w:b/>
                <w:color w:val="auto"/>
                <w:kern w:val="0"/>
                <w:highlight w:val="none"/>
              </w:rPr>
              <w:t xml:space="preserve">  地下水环境影响评价行业分类表</w:t>
            </w:r>
          </w:p>
          <w:tbl>
            <w:tblPr>
              <w:tblStyle w:val="50"/>
              <w:tblW w:w="843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069"/>
              <w:gridCol w:w="1644"/>
              <w:gridCol w:w="1370"/>
              <w:gridCol w:w="1910"/>
              <w:gridCol w:w="1445"/>
            </w:tblGrid>
            <w:tr w14:paraId="1B9CD9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069" w:type="dxa"/>
                  <w:vMerge w:val="restart"/>
                  <w:tcBorders>
                    <w:tl2br w:val="single" w:color="auto" w:sz="4" w:space="0"/>
                  </w:tcBorders>
                  <w:vAlign w:val="center"/>
                </w:tcPr>
                <w:p w14:paraId="20014D43">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 xml:space="preserve">       环评类别</w:t>
                  </w:r>
                </w:p>
                <w:p w14:paraId="04C0BCAC">
                  <w:pP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行业类别</w:t>
                  </w:r>
                </w:p>
              </w:tc>
              <w:tc>
                <w:tcPr>
                  <w:tcW w:w="1644" w:type="dxa"/>
                  <w:vMerge w:val="restart"/>
                  <w:vAlign w:val="center"/>
                </w:tcPr>
                <w:p w14:paraId="2DBB417F">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报告书</w:t>
                  </w:r>
                </w:p>
              </w:tc>
              <w:tc>
                <w:tcPr>
                  <w:tcW w:w="1370" w:type="dxa"/>
                  <w:vMerge w:val="restart"/>
                  <w:vAlign w:val="center"/>
                </w:tcPr>
                <w:p w14:paraId="07E07285">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bCs/>
                      <w:color w:val="auto"/>
                      <w:sz w:val="21"/>
                      <w:szCs w:val="21"/>
                      <w:highlight w:val="none"/>
                    </w:rPr>
                    <w:t>报告表</w:t>
                  </w:r>
                </w:p>
              </w:tc>
              <w:tc>
                <w:tcPr>
                  <w:tcW w:w="3355" w:type="dxa"/>
                  <w:gridSpan w:val="2"/>
                  <w:vAlign w:val="center"/>
                </w:tcPr>
                <w:p w14:paraId="15CAB86E">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地下水环境影响评价项目类别</w:t>
                  </w:r>
                </w:p>
              </w:tc>
            </w:tr>
            <w:tr w14:paraId="49CFFB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069" w:type="dxa"/>
                  <w:vMerge w:val="continue"/>
                  <w:vAlign w:val="center"/>
                </w:tcPr>
                <w:p w14:paraId="26C35475">
                  <w:pPr>
                    <w:jc w:val="center"/>
                    <w:rPr>
                      <w:rFonts w:hint="default" w:ascii="Times New Roman" w:hAnsi="Times New Roman" w:eastAsia="宋体" w:cs="Times New Roman"/>
                      <w:color w:val="auto"/>
                      <w:kern w:val="1"/>
                      <w:sz w:val="21"/>
                      <w:szCs w:val="21"/>
                      <w:highlight w:val="none"/>
                    </w:rPr>
                  </w:pPr>
                </w:p>
              </w:tc>
              <w:tc>
                <w:tcPr>
                  <w:tcW w:w="1644" w:type="dxa"/>
                  <w:vMerge w:val="continue"/>
                  <w:vAlign w:val="center"/>
                </w:tcPr>
                <w:p w14:paraId="64FC3934">
                  <w:pPr>
                    <w:jc w:val="center"/>
                    <w:rPr>
                      <w:rFonts w:hint="default" w:ascii="Times New Roman" w:hAnsi="Times New Roman" w:eastAsia="宋体" w:cs="Times New Roman"/>
                      <w:color w:val="auto"/>
                      <w:kern w:val="1"/>
                      <w:sz w:val="21"/>
                      <w:szCs w:val="21"/>
                      <w:highlight w:val="none"/>
                    </w:rPr>
                  </w:pPr>
                </w:p>
              </w:tc>
              <w:tc>
                <w:tcPr>
                  <w:tcW w:w="1370" w:type="dxa"/>
                  <w:vMerge w:val="continue"/>
                  <w:vAlign w:val="center"/>
                </w:tcPr>
                <w:p w14:paraId="0FC3C6AD">
                  <w:pPr>
                    <w:jc w:val="center"/>
                    <w:rPr>
                      <w:rFonts w:hint="default" w:ascii="Times New Roman" w:hAnsi="Times New Roman" w:eastAsia="宋体" w:cs="Times New Roman"/>
                      <w:color w:val="auto"/>
                      <w:kern w:val="1"/>
                      <w:sz w:val="21"/>
                      <w:szCs w:val="21"/>
                      <w:highlight w:val="none"/>
                    </w:rPr>
                  </w:pPr>
                </w:p>
              </w:tc>
              <w:tc>
                <w:tcPr>
                  <w:tcW w:w="1910" w:type="dxa"/>
                  <w:vAlign w:val="center"/>
                </w:tcPr>
                <w:p w14:paraId="12231767">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报告书</w:t>
                  </w:r>
                </w:p>
              </w:tc>
              <w:tc>
                <w:tcPr>
                  <w:tcW w:w="1445" w:type="dxa"/>
                  <w:vAlign w:val="center"/>
                </w:tcPr>
                <w:p w14:paraId="4EAD97B5">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报告表</w:t>
                  </w:r>
                </w:p>
              </w:tc>
            </w:tr>
            <w:tr w14:paraId="2950A1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8438" w:type="dxa"/>
                  <w:gridSpan w:val="5"/>
                  <w:vAlign w:val="center"/>
                </w:tcPr>
                <w:p w14:paraId="52EBE674">
                  <w:pPr>
                    <w:jc w:val="center"/>
                    <w:rPr>
                      <w:rFonts w:hint="default" w:ascii="Times New Roman" w:hAnsi="Times New Roman" w:eastAsia="宋体" w:cs="Times New Roman"/>
                      <w:color w:val="auto"/>
                      <w:kern w:val="1"/>
                      <w:sz w:val="21"/>
                      <w:szCs w:val="21"/>
                      <w:highlight w:val="none"/>
                    </w:rPr>
                  </w:pPr>
                  <w:r>
                    <w:rPr>
                      <w:rFonts w:hint="default" w:ascii="Times New Roman" w:hAnsi="Times New Roman" w:eastAsia="宋体" w:cs="Times New Roman"/>
                      <w:color w:val="auto"/>
                      <w:kern w:val="1"/>
                      <w:sz w:val="21"/>
                      <w:szCs w:val="21"/>
                      <w:highlight w:val="none"/>
                    </w:rPr>
                    <w:t>V 社会事业与服务业</w:t>
                  </w:r>
                </w:p>
              </w:tc>
            </w:tr>
            <w:tr w14:paraId="2A5D20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2069" w:type="dxa"/>
                  <w:vAlign w:val="center"/>
                </w:tcPr>
                <w:p w14:paraId="3FBEF1C3">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165、动物医院</w:t>
                  </w:r>
                </w:p>
              </w:tc>
              <w:tc>
                <w:tcPr>
                  <w:tcW w:w="1644" w:type="dxa"/>
                  <w:vAlign w:val="center"/>
                </w:tcPr>
                <w:p w14:paraId="2B6D9272">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70" w:type="dxa"/>
                  <w:vAlign w:val="center"/>
                </w:tcPr>
                <w:p w14:paraId="52437DB1">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全部</w:t>
                  </w:r>
                </w:p>
              </w:tc>
              <w:tc>
                <w:tcPr>
                  <w:tcW w:w="1910" w:type="dxa"/>
                  <w:vAlign w:val="center"/>
                </w:tcPr>
                <w:p w14:paraId="3EDD9D0F">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445" w:type="dxa"/>
                  <w:vAlign w:val="center"/>
                </w:tcPr>
                <w:p w14:paraId="506556A4">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Ⅳ类</w:t>
                  </w:r>
                </w:p>
              </w:tc>
            </w:tr>
          </w:tbl>
          <w:p w14:paraId="26E018ED">
            <w:pPr>
              <w:pStyle w:val="427"/>
              <w:adjustRightInd/>
              <w:spacing w:line="360" w:lineRule="auto"/>
              <w:ind w:firstLine="480" w:firstLineChars="200"/>
              <w:jc w:val="both"/>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rPr>
              <w:t>根据《环境影响评价技术导则</w:t>
            </w:r>
            <w:r>
              <w:rPr>
                <w:rFonts w:hint="eastAsia" w:ascii="Times New Roman" w:hAnsi="Times New Roman" w:eastAsia="宋体" w:cs="Times New Roman"/>
                <w:color w:val="auto"/>
                <w:highlight w:val="none"/>
              </w:rPr>
              <w:t>－</w:t>
            </w:r>
            <w:r>
              <w:rPr>
                <w:rFonts w:hint="default" w:ascii="Times New Roman" w:hAnsi="Times New Roman" w:eastAsia="宋体" w:cs="Times New Roman"/>
                <w:color w:val="auto"/>
                <w:kern w:val="2"/>
                <w:highlight w:val="none"/>
              </w:rPr>
              <w:t>地下水环境》（HJ610-2016）评价等级判据：</w:t>
            </w:r>
            <w:r>
              <w:rPr>
                <w:rFonts w:hint="eastAsia" w:eastAsia="宋体" w:cs="Times New Roman"/>
                <w:color w:val="auto"/>
                <w:kern w:val="2"/>
                <w:highlight w:val="none"/>
                <w:lang w:eastAsia="zh-CN"/>
              </w:rPr>
              <w:t>项目</w:t>
            </w:r>
            <w:r>
              <w:rPr>
                <w:rFonts w:hint="default" w:ascii="Times New Roman" w:hAnsi="Times New Roman" w:eastAsia="宋体" w:cs="Times New Roman"/>
                <w:color w:val="auto"/>
                <w:kern w:val="2"/>
                <w:highlight w:val="none"/>
              </w:rPr>
              <w:t>属于Ⅳ类建设项目，</w:t>
            </w:r>
            <w:r>
              <w:rPr>
                <w:rFonts w:hint="eastAsia" w:eastAsia="宋体" w:cs="Times New Roman"/>
                <w:color w:val="auto"/>
                <w:kern w:val="2"/>
                <w:highlight w:val="none"/>
                <w:lang w:val="en-US" w:eastAsia="zh-CN"/>
              </w:rPr>
              <w:t>宠物</w:t>
            </w:r>
            <w:r>
              <w:rPr>
                <w:rFonts w:hint="default" w:ascii="Times New Roman" w:hAnsi="Times New Roman" w:eastAsia="宋体" w:cs="Times New Roman"/>
                <w:color w:val="auto"/>
                <w:kern w:val="2"/>
                <w:highlight w:val="none"/>
              </w:rPr>
              <w:t>医院所在区域地下水环境不敏感；</w:t>
            </w:r>
            <w:r>
              <w:rPr>
                <w:rFonts w:hint="eastAsia" w:eastAsia="宋体" w:cs="Times New Roman"/>
                <w:color w:val="auto"/>
                <w:kern w:val="2"/>
                <w:highlight w:val="none"/>
                <w:lang w:eastAsia="zh-CN"/>
              </w:rPr>
              <w:t>项目</w:t>
            </w:r>
            <w:r>
              <w:rPr>
                <w:rFonts w:hint="default" w:ascii="Times New Roman" w:hAnsi="Times New Roman" w:eastAsia="宋体" w:cs="Times New Roman"/>
                <w:color w:val="auto"/>
                <w:kern w:val="2"/>
                <w:highlight w:val="none"/>
              </w:rPr>
              <w:t>污水水质简单，项目</w:t>
            </w:r>
            <w:r>
              <w:rPr>
                <w:rFonts w:hint="eastAsia" w:eastAsia="宋体" w:cs="Times New Roman"/>
                <w:color w:val="auto"/>
                <w:kern w:val="2"/>
                <w:highlight w:val="none"/>
                <w:lang w:val="en-US" w:eastAsia="zh-CN"/>
              </w:rPr>
              <w:t>医疗</w:t>
            </w:r>
            <w:r>
              <w:rPr>
                <w:rFonts w:hint="default" w:ascii="Times New Roman" w:hAnsi="Times New Roman" w:eastAsia="宋体" w:cs="Times New Roman"/>
                <w:color w:val="auto"/>
                <w:kern w:val="2"/>
                <w:highlight w:val="none"/>
              </w:rPr>
              <w:t>废水</w:t>
            </w:r>
            <w:r>
              <w:rPr>
                <w:rFonts w:hint="eastAsia" w:eastAsia="宋体" w:cs="Times New Roman"/>
                <w:color w:val="auto"/>
                <w:kern w:val="2"/>
                <w:highlight w:val="none"/>
                <w:lang w:val="en-US" w:eastAsia="zh-CN"/>
              </w:rPr>
              <w:t>和宠物美容废水经消毒设备</w:t>
            </w:r>
            <w:r>
              <w:rPr>
                <w:rFonts w:hint="default" w:ascii="Times New Roman" w:hAnsi="Times New Roman" w:eastAsia="宋体" w:cs="Times New Roman"/>
                <w:color w:val="auto"/>
                <w:kern w:val="2"/>
                <w:highlight w:val="none"/>
              </w:rPr>
              <w:t>处理后</w:t>
            </w:r>
            <w:r>
              <w:rPr>
                <w:rFonts w:hint="eastAsia" w:eastAsia="宋体" w:cs="Times New Roman"/>
                <w:color w:val="auto"/>
                <w:kern w:val="2"/>
                <w:highlight w:val="none"/>
                <w:lang w:val="en-US" w:eastAsia="zh-CN"/>
              </w:rPr>
              <w:t>排入化粪池</w:t>
            </w:r>
            <w:r>
              <w:rPr>
                <w:rFonts w:hint="default" w:ascii="Times New Roman" w:hAnsi="Times New Roman" w:eastAsia="宋体" w:cs="Times New Roman"/>
                <w:color w:val="auto"/>
                <w:kern w:val="2"/>
                <w:highlight w:val="none"/>
              </w:rPr>
              <w:t>由市政</w:t>
            </w:r>
            <w:r>
              <w:rPr>
                <w:rFonts w:hint="eastAsia" w:eastAsia="宋体" w:cs="Times New Roman"/>
                <w:color w:val="auto"/>
                <w:kern w:val="2"/>
                <w:highlight w:val="none"/>
                <w:lang w:val="en-US" w:eastAsia="zh-CN"/>
              </w:rPr>
              <w:t>污水</w:t>
            </w:r>
            <w:r>
              <w:rPr>
                <w:rFonts w:hint="default" w:ascii="Times New Roman" w:hAnsi="Times New Roman" w:eastAsia="宋体" w:cs="Times New Roman"/>
                <w:color w:val="auto"/>
                <w:kern w:val="2"/>
                <w:highlight w:val="none"/>
              </w:rPr>
              <w:t>管网进入</w:t>
            </w:r>
            <w:r>
              <w:rPr>
                <w:rFonts w:hint="eastAsia" w:eastAsia="宋体" w:cs="Times New Roman"/>
                <w:color w:val="auto"/>
                <w:kern w:val="2"/>
                <w:highlight w:val="none"/>
                <w:lang w:val="en-US" w:eastAsia="zh-CN"/>
              </w:rPr>
              <w:t>洋里</w:t>
            </w:r>
            <w:r>
              <w:rPr>
                <w:rFonts w:hint="default" w:ascii="Times New Roman" w:hAnsi="Times New Roman" w:eastAsia="宋体" w:cs="Times New Roman"/>
                <w:color w:val="auto"/>
                <w:kern w:val="2"/>
                <w:highlight w:val="none"/>
              </w:rPr>
              <w:t>污水处理厂处理。根据导则判定，</w:t>
            </w:r>
            <w:r>
              <w:rPr>
                <w:rFonts w:hint="eastAsia" w:eastAsia="宋体" w:cs="Times New Roman"/>
                <w:color w:val="auto"/>
                <w:kern w:val="2"/>
                <w:highlight w:val="none"/>
                <w:lang w:eastAsia="zh-CN"/>
              </w:rPr>
              <w:t>项目</w:t>
            </w:r>
            <w:r>
              <w:rPr>
                <w:rFonts w:hint="default" w:ascii="Times New Roman" w:hAnsi="Times New Roman" w:eastAsia="宋体" w:cs="Times New Roman"/>
                <w:color w:val="auto"/>
                <w:kern w:val="2"/>
                <w:highlight w:val="none"/>
              </w:rPr>
              <w:t>可不开展地下水环境影响评价。</w:t>
            </w:r>
          </w:p>
          <w:p w14:paraId="28D78E66">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b/>
                <w:bCs/>
                <w:color w:val="auto"/>
                <w:kern w:val="0"/>
                <w:sz w:val="28"/>
                <w:szCs w:val="28"/>
                <w:highlight w:val="none"/>
                <w:lang w:val="en-US" w:eastAsia="zh-CN" w:bidi="ar"/>
              </w:rPr>
              <w:t xml:space="preserve">3.6 生态环境 </w:t>
            </w:r>
          </w:p>
          <w:p w14:paraId="4279188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 xml:space="preserve">项目租赁现成商业店面运营，项目不属于产业园区外建设项目新增用地，用 </w:t>
            </w:r>
          </w:p>
          <w:p w14:paraId="4EBE6BD7">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地已采取硬化措施，且用地范围内不含有生态环境保护目标，依据《建设项目环境影响报告表编制技术指南（污染影响类）（试行）》，无需进行生态现状调查。</w:t>
            </w:r>
          </w:p>
          <w:p w14:paraId="0E7B0C5A">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b/>
                <w:bCs/>
                <w:color w:val="auto"/>
                <w:kern w:val="0"/>
                <w:sz w:val="28"/>
                <w:szCs w:val="28"/>
                <w:highlight w:val="none"/>
                <w:lang w:val="en-US" w:eastAsia="zh-CN" w:bidi="ar"/>
              </w:rPr>
              <w:t xml:space="preserve">3.7 电磁辐射 </w:t>
            </w:r>
          </w:p>
          <w:p w14:paraId="496FAAE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项目</w:t>
            </w:r>
            <w:r>
              <w:rPr>
                <w:rFonts w:hint="default" w:ascii="Times New Roman" w:hAnsi="Times New Roman" w:eastAsia="宋体" w:cs="Times New Roman"/>
                <w:color w:val="auto"/>
                <w:kern w:val="0"/>
                <w:sz w:val="24"/>
                <w:szCs w:val="24"/>
                <w:highlight w:val="none"/>
                <w:lang w:val="en-US" w:eastAsia="zh-CN" w:bidi="ar"/>
              </w:rPr>
              <w:t>不属于新建或改建、扩建广播电台、差转台、电视塔台、卫星地球上行站、雷达等电磁辐射类项目，依据《建设项目环境影响报告表编制技术指南（污染影响类）（试行）》，不展开电磁辐射现状监测与评价。</w:t>
            </w:r>
          </w:p>
          <w:p w14:paraId="28D8BA4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highlight w:val="none"/>
                <w:lang w:val="en-US" w:eastAsia="zh-CN"/>
              </w:rPr>
            </w:pPr>
            <w:r>
              <w:rPr>
                <w:rFonts w:hint="eastAsia" w:cs="Times New Roman"/>
                <w:color w:val="auto"/>
                <w:kern w:val="0"/>
                <w:sz w:val="24"/>
                <w:szCs w:val="24"/>
                <w:highlight w:val="none"/>
                <w:lang w:val="en-US" w:eastAsia="zh-CN" w:bidi="ar"/>
              </w:rPr>
              <w:t>项目</w:t>
            </w:r>
            <w:r>
              <w:rPr>
                <w:rFonts w:hint="default" w:ascii="Times New Roman" w:hAnsi="Times New Roman" w:eastAsia="宋体" w:cs="Times New Roman"/>
                <w:color w:val="auto"/>
                <w:kern w:val="0"/>
                <w:sz w:val="24"/>
                <w:szCs w:val="24"/>
                <w:highlight w:val="none"/>
                <w:lang w:val="en-US" w:eastAsia="zh-CN" w:bidi="ar"/>
              </w:rPr>
              <w:t>建成后</w:t>
            </w:r>
            <w:r>
              <w:rPr>
                <w:rFonts w:hint="eastAsia" w:cs="Times New Roman"/>
                <w:color w:val="auto"/>
                <w:kern w:val="0"/>
                <w:sz w:val="24"/>
                <w:szCs w:val="24"/>
                <w:highlight w:val="none"/>
                <w:lang w:val="en-US" w:eastAsia="zh-CN" w:bidi="ar"/>
              </w:rPr>
              <w:t>DR室</w:t>
            </w:r>
            <w:r>
              <w:rPr>
                <w:rFonts w:hint="default" w:ascii="Times New Roman" w:hAnsi="Times New Roman" w:eastAsia="宋体" w:cs="Times New Roman"/>
                <w:color w:val="auto"/>
                <w:kern w:val="0"/>
                <w:sz w:val="24"/>
                <w:szCs w:val="24"/>
                <w:highlight w:val="none"/>
                <w:lang w:val="en-US" w:eastAsia="zh-CN" w:bidi="ar"/>
              </w:rPr>
              <w:t>将放置X射线机，属于放射性装置，项目应单独委托有资质单位进行辐射评价，本次环评不对辐射进行分析</w:t>
            </w:r>
            <w:r>
              <w:rPr>
                <w:rFonts w:hint="eastAsia" w:ascii="Times New Roman" w:hAnsi="Times New Roman" w:eastAsia="宋体" w:cs="Times New Roman"/>
                <w:color w:val="auto"/>
                <w:kern w:val="0"/>
                <w:sz w:val="24"/>
                <w:szCs w:val="24"/>
                <w:highlight w:val="none"/>
                <w:lang w:val="en-US" w:eastAsia="zh-CN" w:bidi="ar"/>
              </w:rPr>
              <w:t>。</w:t>
            </w:r>
          </w:p>
        </w:tc>
      </w:tr>
      <w:tr w14:paraId="462E01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1" w:hRule="atLeast"/>
          <w:jc w:val="center"/>
        </w:trPr>
        <w:tc>
          <w:tcPr>
            <w:tcW w:w="1178" w:type="dxa"/>
            <w:vAlign w:val="center"/>
          </w:tcPr>
          <w:p w14:paraId="428FFB7B">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环境</w:t>
            </w:r>
          </w:p>
          <w:p w14:paraId="2DE08BB3">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保护</w:t>
            </w:r>
          </w:p>
          <w:p w14:paraId="01CDCEB9">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目标</w:t>
            </w:r>
          </w:p>
        </w:tc>
        <w:tc>
          <w:tcPr>
            <w:tcW w:w="8689" w:type="dxa"/>
            <w:vAlign w:val="center"/>
          </w:tcPr>
          <w:p w14:paraId="0958A462">
            <w:pPr>
              <w:pStyle w:val="3"/>
              <w:numPr>
                <w:ilvl w:val="1"/>
                <w:numId w:val="0"/>
              </w:numPr>
              <w:ind w:leftChars="0"/>
              <w:rPr>
                <w:rFonts w:hint="default" w:ascii="Times New Roman" w:hAnsi="Times New Roman" w:eastAsia="宋体" w:cs="Times New Roman"/>
                <w:color w:val="auto"/>
                <w:highlight w:val="none"/>
              </w:rPr>
            </w:pPr>
            <w:bookmarkStart w:id="68" w:name="_Toc133251544"/>
            <w:bookmarkStart w:id="69" w:name="_Toc1340"/>
            <w:bookmarkStart w:id="70" w:name="_Toc29091"/>
            <w:r>
              <w:rPr>
                <w:rFonts w:hint="eastAsia" w:ascii="Times New Roman" w:hAnsi="Times New Roman" w:eastAsia="宋体" w:cs="Times New Roman"/>
                <w:color w:val="auto"/>
                <w:highlight w:val="none"/>
                <w:lang w:val="en-US" w:eastAsia="zh-CN"/>
              </w:rPr>
              <w:t>3.8</w:t>
            </w:r>
            <w:r>
              <w:rPr>
                <w:rFonts w:hint="default" w:ascii="Times New Roman" w:hAnsi="Times New Roman" w:eastAsia="宋体" w:cs="Times New Roman"/>
                <w:color w:val="auto"/>
                <w:highlight w:val="none"/>
              </w:rPr>
              <w:t>环境保护目标</w:t>
            </w:r>
            <w:bookmarkEnd w:id="68"/>
            <w:bookmarkEnd w:id="69"/>
            <w:bookmarkEnd w:id="70"/>
          </w:p>
          <w:p w14:paraId="2A9D5E04">
            <w:pPr>
              <w:pStyle w:val="157"/>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经调查，</w:t>
            </w: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评价区内无文物古迹、风景名胜。根据评价范围内环境敏感情况、可能产生的环境问题及项目的排污特征，可以确定</w:t>
            </w: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主要环境</w:t>
            </w:r>
            <w:r>
              <w:rPr>
                <w:rFonts w:hint="eastAsia" w:ascii="Times New Roman" w:hAnsi="Times New Roman" w:eastAsia="宋体" w:cs="Times New Roman"/>
                <w:color w:val="auto"/>
                <w:highlight w:val="none"/>
                <w:lang w:val="en-US" w:eastAsia="zh-CN"/>
              </w:rPr>
              <w:t>保护</w:t>
            </w:r>
            <w:r>
              <w:rPr>
                <w:rFonts w:hint="default" w:ascii="Times New Roman" w:hAnsi="Times New Roman" w:eastAsia="宋体" w:cs="Times New Roman"/>
                <w:color w:val="auto"/>
                <w:highlight w:val="none"/>
              </w:rPr>
              <w:t>目标见表3-</w:t>
            </w:r>
            <w:r>
              <w:rPr>
                <w:rFonts w:hint="eastAsia" w:ascii="Times New Roman" w:hAnsi="Times New Roman" w:eastAsia="宋体" w:cs="Times New Roman"/>
                <w:color w:val="auto"/>
                <w:highlight w:val="none"/>
                <w:lang w:val="en-US" w:eastAsia="zh-CN"/>
              </w:rPr>
              <w:t>8和附图2</w:t>
            </w:r>
            <w:r>
              <w:rPr>
                <w:rFonts w:hint="default" w:ascii="Times New Roman" w:hAnsi="Times New Roman" w:eastAsia="宋体" w:cs="Times New Roman"/>
                <w:color w:val="auto"/>
                <w:highlight w:val="none"/>
              </w:rPr>
              <w:t>。</w:t>
            </w:r>
          </w:p>
          <w:p w14:paraId="2E73F761">
            <w:pPr>
              <w:pStyle w:val="198"/>
              <w:spacing w:line="240" w:lineRule="auto"/>
              <w:rPr>
                <w:rFonts w:hint="default" w:ascii="Times New Roman" w:hAnsi="Times New Roman" w:eastAsia="宋体" w:cs="Times New Roman"/>
                <w:color w:val="auto"/>
                <w:sz w:val="24"/>
                <w:szCs w:val="21"/>
                <w:highlight w:val="none"/>
              </w:rPr>
            </w:pPr>
            <w:r>
              <w:rPr>
                <w:rFonts w:hint="default" w:ascii="Times New Roman" w:hAnsi="Times New Roman" w:eastAsia="宋体" w:cs="Times New Roman"/>
                <w:color w:val="auto"/>
                <w:sz w:val="24"/>
                <w:szCs w:val="21"/>
                <w:highlight w:val="none"/>
              </w:rPr>
              <w:t>表3-</w:t>
            </w:r>
            <w:r>
              <w:rPr>
                <w:rFonts w:hint="eastAsia" w:ascii="Times New Roman" w:hAnsi="Times New Roman" w:cs="Times New Roman"/>
                <w:color w:val="auto"/>
                <w:sz w:val="24"/>
                <w:szCs w:val="21"/>
                <w:highlight w:val="none"/>
                <w:lang w:val="en-US" w:eastAsia="zh-CN"/>
              </w:rPr>
              <w:t xml:space="preserve">8 </w:t>
            </w:r>
            <w:r>
              <w:rPr>
                <w:rFonts w:hint="default" w:ascii="Times New Roman" w:hAnsi="Times New Roman" w:eastAsia="宋体" w:cs="Times New Roman"/>
                <w:color w:val="auto"/>
                <w:sz w:val="24"/>
                <w:szCs w:val="21"/>
                <w:highlight w:val="none"/>
              </w:rPr>
              <w:t xml:space="preserve"> </w:t>
            </w:r>
            <w:r>
              <w:rPr>
                <w:rFonts w:hint="eastAsia" w:ascii="Times New Roman" w:hAnsi="Times New Roman" w:eastAsia="宋体" w:cs="Times New Roman"/>
                <w:color w:val="auto"/>
                <w:sz w:val="24"/>
                <w:szCs w:val="21"/>
                <w:highlight w:val="none"/>
                <w:lang w:val="en-US" w:eastAsia="zh-CN"/>
              </w:rPr>
              <w:t>主要</w:t>
            </w:r>
            <w:r>
              <w:rPr>
                <w:rFonts w:hint="default" w:ascii="Times New Roman" w:hAnsi="Times New Roman" w:eastAsia="宋体" w:cs="Times New Roman"/>
                <w:color w:val="auto"/>
                <w:sz w:val="24"/>
                <w:szCs w:val="21"/>
                <w:highlight w:val="none"/>
              </w:rPr>
              <w:t>环境保护目标</w:t>
            </w:r>
          </w:p>
          <w:tbl>
            <w:tblPr>
              <w:tblStyle w:val="50"/>
              <w:tblW w:w="84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5"/>
              <w:gridCol w:w="1038"/>
              <w:gridCol w:w="1815"/>
              <w:gridCol w:w="980"/>
              <w:gridCol w:w="1420"/>
              <w:gridCol w:w="949"/>
              <w:gridCol w:w="1593"/>
            </w:tblGrid>
            <w:tr w14:paraId="7601AC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Align w:val="center"/>
                </w:tcPr>
                <w:p w14:paraId="648DBFDA">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序号</w:t>
                  </w:r>
                </w:p>
              </w:tc>
              <w:tc>
                <w:tcPr>
                  <w:tcW w:w="1038" w:type="dxa"/>
                  <w:vAlign w:val="center"/>
                </w:tcPr>
                <w:p w14:paraId="24F898E8">
                  <w:pPr>
                    <w:widowControl/>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环境类别</w:t>
                  </w:r>
                </w:p>
              </w:tc>
              <w:tc>
                <w:tcPr>
                  <w:tcW w:w="1815" w:type="dxa"/>
                  <w:vAlign w:val="center"/>
                </w:tcPr>
                <w:p w14:paraId="689F2612">
                  <w:pPr>
                    <w:widowControl/>
                    <w:jc w:val="center"/>
                    <w:rPr>
                      <w:rFonts w:hint="default" w:ascii="Times New Roman" w:hAnsi="Times New Roman" w:eastAsia="宋体" w:cs="Times New Roman"/>
                      <w:color w:val="auto"/>
                      <w:spacing w:val="6"/>
                      <w:kern w:val="0"/>
                      <w:sz w:val="21"/>
                      <w:szCs w:val="21"/>
                      <w:highlight w:val="none"/>
                    </w:rPr>
                  </w:pPr>
                  <w:r>
                    <w:rPr>
                      <w:rFonts w:hint="default" w:ascii="Times New Roman" w:hAnsi="Times New Roman" w:eastAsia="宋体" w:cs="Times New Roman"/>
                      <w:color w:val="auto"/>
                      <w:kern w:val="0"/>
                      <w:sz w:val="21"/>
                      <w:szCs w:val="21"/>
                      <w:highlight w:val="none"/>
                    </w:rPr>
                    <w:t>保护目标</w:t>
                  </w:r>
                </w:p>
              </w:tc>
              <w:tc>
                <w:tcPr>
                  <w:tcW w:w="980" w:type="dxa"/>
                  <w:vAlign w:val="center"/>
                </w:tcPr>
                <w:p w14:paraId="2918F6DA">
                  <w:pPr>
                    <w:widowControl/>
                    <w:jc w:val="center"/>
                    <w:rPr>
                      <w:rFonts w:hint="default" w:ascii="Times New Roman" w:hAnsi="Times New Roman" w:eastAsia="宋体" w:cs="Times New Roman"/>
                      <w:color w:val="auto"/>
                      <w:spacing w:val="6"/>
                      <w:kern w:val="0"/>
                      <w:sz w:val="21"/>
                      <w:szCs w:val="21"/>
                      <w:highlight w:val="none"/>
                    </w:rPr>
                  </w:pPr>
                  <w:r>
                    <w:rPr>
                      <w:rFonts w:hint="default" w:ascii="Times New Roman" w:hAnsi="Times New Roman" w:eastAsia="宋体" w:cs="Times New Roman"/>
                      <w:color w:val="auto"/>
                      <w:spacing w:val="6"/>
                      <w:kern w:val="0"/>
                      <w:sz w:val="21"/>
                      <w:szCs w:val="21"/>
                      <w:highlight w:val="none"/>
                    </w:rPr>
                    <w:t>方位</w:t>
                  </w:r>
                </w:p>
              </w:tc>
              <w:tc>
                <w:tcPr>
                  <w:tcW w:w="1420" w:type="dxa"/>
                  <w:vAlign w:val="center"/>
                </w:tcPr>
                <w:p w14:paraId="566D6708">
                  <w:pPr>
                    <w:widowControl/>
                    <w:jc w:val="center"/>
                    <w:rPr>
                      <w:rFonts w:hint="default" w:ascii="Times New Roman" w:hAnsi="Times New Roman" w:eastAsia="宋体" w:cs="Times New Roman"/>
                      <w:color w:val="auto"/>
                      <w:spacing w:val="6"/>
                      <w:kern w:val="0"/>
                      <w:sz w:val="21"/>
                      <w:szCs w:val="21"/>
                      <w:highlight w:val="none"/>
                    </w:rPr>
                  </w:pPr>
                  <w:r>
                    <w:rPr>
                      <w:rFonts w:hint="eastAsia" w:ascii="Times New Roman" w:hAnsi="Times New Roman" w:eastAsia="宋体" w:cs="Times New Roman"/>
                      <w:color w:val="auto"/>
                      <w:spacing w:val="6"/>
                      <w:kern w:val="0"/>
                      <w:sz w:val="21"/>
                      <w:szCs w:val="21"/>
                      <w:highlight w:val="none"/>
                      <w:lang w:val="en-US" w:eastAsia="zh-CN"/>
                    </w:rPr>
                    <w:t>距离</w:t>
                  </w:r>
                  <w:r>
                    <w:rPr>
                      <w:rFonts w:hint="eastAsia" w:cs="Times New Roman"/>
                      <w:color w:val="auto"/>
                      <w:spacing w:val="6"/>
                      <w:kern w:val="0"/>
                      <w:sz w:val="21"/>
                      <w:szCs w:val="21"/>
                      <w:highlight w:val="none"/>
                      <w:lang w:val="en-US" w:eastAsia="zh-CN"/>
                    </w:rPr>
                    <w:t>场</w:t>
                  </w:r>
                  <w:r>
                    <w:rPr>
                      <w:rFonts w:hint="eastAsia" w:ascii="Times New Roman" w:hAnsi="Times New Roman" w:eastAsia="宋体" w:cs="Times New Roman"/>
                      <w:color w:val="auto"/>
                      <w:spacing w:val="6"/>
                      <w:kern w:val="0"/>
                      <w:sz w:val="21"/>
                      <w:szCs w:val="21"/>
                      <w:highlight w:val="none"/>
                      <w:lang w:val="en-US" w:eastAsia="zh-CN"/>
                    </w:rPr>
                    <w:t>界</w:t>
                  </w:r>
                </w:p>
              </w:tc>
              <w:tc>
                <w:tcPr>
                  <w:tcW w:w="949" w:type="dxa"/>
                  <w:vAlign w:val="center"/>
                </w:tcPr>
                <w:p w14:paraId="74C531F0">
                  <w:pPr>
                    <w:widowControl/>
                    <w:jc w:val="center"/>
                    <w:rPr>
                      <w:rFonts w:hint="default" w:ascii="Times New Roman" w:hAnsi="Times New Roman" w:eastAsia="宋体" w:cs="Times New Roman"/>
                      <w:color w:val="auto"/>
                      <w:spacing w:val="6"/>
                      <w:kern w:val="0"/>
                      <w:sz w:val="21"/>
                      <w:szCs w:val="21"/>
                      <w:highlight w:val="none"/>
                    </w:rPr>
                  </w:pPr>
                  <w:r>
                    <w:rPr>
                      <w:rFonts w:hint="default" w:ascii="Times New Roman" w:hAnsi="Times New Roman" w:eastAsia="宋体" w:cs="Times New Roman"/>
                      <w:color w:val="auto"/>
                      <w:spacing w:val="6"/>
                      <w:kern w:val="0"/>
                      <w:sz w:val="21"/>
                      <w:szCs w:val="21"/>
                      <w:highlight w:val="none"/>
                    </w:rPr>
                    <w:t>性质</w:t>
                  </w:r>
                </w:p>
              </w:tc>
              <w:tc>
                <w:tcPr>
                  <w:tcW w:w="1593" w:type="dxa"/>
                  <w:vAlign w:val="center"/>
                </w:tcPr>
                <w:p w14:paraId="492B61C8">
                  <w:pPr>
                    <w:widowControl/>
                    <w:jc w:val="center"/>
                    <w:rPr>
                      <w:rFonts w:hint="default" w:ascii="Times New Roman" w:hAnsi="Times New Roman" w:eastAsia="宋体" w:cs="Times New Roman"/>
                      <w:color w:val="auto"/>
                      <w:spacing w:val="6"/>
                      <w:kern w:val="0"/>
                      <w:sz w:val="21"/>
                      <w:szCs w:val="21"/>
                      <w:highlight w:val="none"/>
                    </w:rPr>
                  </w:pPr>
                  <w:r>
                    <w:rPr>
                      <w:rFonts w:hint="default" w:ascii="Times New Roman" w:hAnsi="Times New Roman" w:eastAsia="宋体" w:cs="Times New Roman"/>
                      <w:color w:val="auto"/>
                      <w:spacing w:val="6"/>
                      <w:kern w:val="0"/>
                      <w:sz w:val="21"/>
                      <w:szCs w:val="21"/>
                      <w:highlight w:val="none"/>
                    </w:rPr>
                    <w:t>保护标准</w:t>
                  </w:r>
                </w:p>
              </w:tc>
            </w:tr>
            <w:tr w14:paraId="566629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restart"/>
                  <w:vAlign w:val="center"/>
                </w:tcPr>
                <w:p w14:paraId="4B81BE76">
                  <w:pPr>
                    <w:widowControl/>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1</w:t>
                  </w:r>
                </w:p>
              </w:tc>
              <w:tc>
                <w:tcPr>
                  <w:tcW w:w="1038" w:type="dxa"/>
                  <w:vMerge w:val="restart"/>
                  <w:vAlign w:val="center"/>
                </w:tcPr>
                <w:p w14:paraId="509FCB02">
                  <w:pPr>
                    <w:widowControl/>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大气环境</w:t>
                  </w:r>
                </w:p>
              </w:tc>
              <w:tc>
                <w:tcPr>
                  <w:tcW w:w="1815" w:type="dxa"/>
                  <w:vAlign w:val="center"/>
                </w:tcPr>
                <w:p w14:paraId="7E9A8B0F">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福州市晋安区榕博小学</w:t>
                  </w:r>
                </w:p>
              </w:tc>
              <w:tc>
                <w:tcPr>
                  <w:tcW w:w="980" w:type="dxa"/>
                  <w:vAlign w:val="center"/>
                </w:tcPr>
                <w:p w14:paraId="4C99C4E5">
                  <w:pPr>
                    <w:widowControl/>
                    <w:jc w:val="center"/>
                    <w:rPr>
                      <w:rFonts w:hint="default" w:ascii="Times New Roman" w:hAnsi="Times New Roman" w:eastAsia="宋体" w:cs="Times New Roman"/>
                      <w:color w:val="auto"/>
                      <w:spacing w:val="6"/>
                      <w:kern w:val="0"/>
                      <w:sz w:val="21"/>
                      <w:szCs w:val="21"/>
                      <w:highlight w:val="none"/>
                    </w:rPr>
                  </w:pPr>
                  <w:r>
                    <w:rPr>
                      <w:rFonts w:hint="eastAsia" w:cs="Times New Roman"/>
                      <w:snapToGrid w:val="0"/>
                      <w:color w:val="auto"/>
                      <w:kern w:val="44"/>
                      <w:sz w:val="21"/>
                      <w:szCs w:val="21"/>
                      <w:highlight w:val="none"/>
                      <w:lang w:val="en-US" w:eastAsia="zh-CN"/>
                    </w:rPr>
                    <w:t>西侧</w:t>
                  </w:r>
                </w:p>
              </w:tc>
              <w:tc>
                <w:tcPr>
                  <w:tcW w:w="1420" w:type="dxa"/>
                  <w:vAlign w:val="center"/>
                </w:tcPr>
                <w:p w14:paraId="3C5D7588">
                  <w:pPr>
                    <w:widowControl/>
                    <w:jc w:val="center"/>
                    <w:rPr>
                      <w:rFonts w:hint="default" w:ascii="Times New Roman" w:hAnsi="Times New Roman" w:eastAsia="宋体"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109m</w:t>
                  </w:r>
                </w:p>
              </w:tc>
              <w:tc>
                <w:tcPr>
                  <w:tcW w:w="949" w:type="dxa"/>
                  <w:vMerge w:val="restart"/>
                  <w:vAlign w:val="center"/>
                </w:tcPr>
                <w:p w14:paraId="12EDA894">
                  <w:pPr>
                    <w:widowControl/>
                    <w:jc w:val="center"/>
                    <w:rPr>
                      <w:rFonts w:hint="eastAsia" w:ascii="Times New Roman" w:hAnsi="Times New Roman" w:eastAsia="宋体"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学校</w:t>
                  </w:r>
                </w:p>
              </w:tc>
              <w:tc>
                <w:tcPr>
                  <w:tcW w:w="1593" w:type="dxa"/>
                  <w:vMerge w:val="restart"/>
                  <w:vAlign w:val="center"/>
                </w:tcPr>
                <w:p w14:paraId="4586F850">
                  <w:pPr>
                    <w:keepNext w:val="0"/>
                    <w:keepLines w:val="0"/>
                    <w:pageBreakBefore w:val="0"/>
                    <w:widowControl/>
                    <w:kinsoku/>
                    <w:wordWrap w:val="0"/>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44"/>
                      <w:sz w:val="21"/>
                      <w:szCs w:val="21"/>
                      <w:highlight w:val="none"/>
                    </w:rPr>
                  </w:pPr>
                  <w:r>
                    <w:rPr>
                      <w:rFonts w:hint="default" w:ascii="Times New Roman" w:hAnsi="Times New Roman" w:eastAsia="宋体" w:cs="Times New Roman"/>
                      <w:snapToGrid w:val="0"/>
                      <w:color w:val="auto"/>
                      <w:kern w:val="44"/>
                      <w:sz w:val="21"/>
                      <w:szCs w:val="21"/>
                      <w:highlight w:val="none"/>
                    </w:rPr>
                    <w:t>《环境空气质量标准》（GB3095-2012）二级标准</w:t>
                  </w:r>
                </w:p>
              </w:tc>
            </w:tr>
            <w:tr w14:paraId="33A450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14:paraId="7F82B809">
                  <w:pPr>
                    <w:widowControl/>
                    <w:jc w:val="center"/>
                    <w:rPr>
                      <w:rFonts w:hint="default" w:ascii="Times New Roman" w:hAnsi="Times New Roman" w:eastAsia="宋体" w:cs="Times New Roman"/>
                      <w:color w:val="auto"/>
                      <w:kern w:val="0"/>
                      <w:sz w:val="21"/>
                      <w:szCs w:val="21"/>
                      <w:highlight w:val="none"/>
                    </w:rPr>
                  </w:pPr>
                </w:p>
              </w:tc>
              <w:tc>
                <w:tcPr>
                  <w:tcW w:w="1038" w:type="dxa"/>
                  <w:vMerge w:val="continue"/>
                  <w:vAlign w:val="center"/>
                </w:tcPr>
                <w:p w14:paraId="51E14DF0">
                  <w:pPr>
                    <w:widowControl/>
                    <w:jc w:val="center"/>
                    <w:rPr>
                      <w:rFonts w:hint="default" w:ascii="Times New Roman" w:hAnsi="Times New Roman" w:eastAsia="宋体" w:cs="Times New Roman"/>
                      <w:color w:val="auto"/>
                      <w:kern w:val="0"/>
                      <w:sz w:val="21"/>
                      <w:szCs w:val="21"/>
                      <w:highlight w:val="none"/>
                    </w:rPr>
                  </w:pPr>
                </w:p>
              </w:tc>
              <w:tc>
                <w:tcPr>
                  <w:tcW w:w="1815" w:type="dxa"/>
                  <w:vAlign w:val="center"/>
                </w:tcPr>
                <w:p w14:paraId="517F3C6E">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福州市横屿小学</w:t>
                  </w:r>
                </w:p>
              </w:tc>
              <w:tc>
                <w:tcPr>
                  <w:tcW w:w="980" w:type="dxa"/>
                  <w:vAlign w:val="center"/>
                </w:tcPr>
                <w:p w14:paraId="43757A39">
                  <w:pPr>
                    <w:widowControl/>
                    <w:jc w:val="center"/>
                    <w:rPr>
                      <w:rFonts w:hint="default" w:ascii="Times New Roman" w:hAnsi="Times New Roman" w:eastAsia="宋体" w:cs="Times New Roman"/>
                      <w:snapToGrid w:val="0"/>
                      <w:color w:val="auto"/>
                      <w:kern w:val="44"/>
                      <w:sz w:val="21"/>
                      <w:szCs w:val="21"/>
                      <w:highlight w:val="none"/>
                      <w:lang w:val="en-US" w:eastAsia="zh-CN"/>
                    </w:rPr>
                  </w:pPr>
                  <w:r>
                    <w:rPr>
                      <w:rFonts w:hint="eastAsia" w:cs="Times New Roman"/>
                      <w:snapToGrid w:val="0"/>
                      <w:color w:val="auto"/>
                      <w:kern w:val="44"/>
                      <w:sz w:val="21"/>
                      <w:szCs w:val="21"/>
                      <w:highlight w:val="none"/>
                      <w:lang w:val="en-US" w:eastAsia="zh-CN"/>
                    </w:rPr>
                    <w:t>东</w:t>
                  </w:r>
                  <w:r>
                    <w:rPr>
                      <w:rFonts w:hint="default" w:ascii="Times New Roman" w:hAnsi="Times New Roman" w:eastAsia="宋体" w:cs="Times New Roman"/>
                      <w:color w:val="auto"/>
                      <w:sz w:val="21"/>
                      <w:szCs w:val="21"/>
                      <w:highlight w:val="none"/>
                    </w:rPr>
                    <w:t>侧</w:t>
                  </w:r>
                </w:p>
              </w:tc>
              <w:tc>
                <w:tcPr>
                  <w:tcW w:w="1420" w:type="dxa"/>
                  <w:vAlign w:val="center"/>
                </w:tcPr>
                <w:p w14:paraId="65DB15E6">
                  <w:pPr>
                    <w:widowControl/>
                    <w:jc w:val="center"/>
                    <w:rPr>
                      <w:rFonts w:hint="default"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285m</w:t>
                  </w:r>
                </w:p>
              </w:tc>
              <w:tc>
                <w:tcPr>
                  <w:tcW w:w="949" w:type="dxa"/>
                  <w:vMerge w:val="continue"/>
                  <w:vAlign w:val="center"/>
                </w:tcPr>
                <w:p w14:paraId="186825AE">
                  <w:pPr>
                    <w:widowControl/>
                    <w:jc w:val="center"/>
                    <w:rPr>
                      <w:rFonts w:hint="eastAsia" w:cs="Times New Roman"/>
                      <w:color w:val="auto"/>
                      <w:spacing w:val="6"/>
                      <w:kern w:val="0"/>
                      <w:sz w:val="21"/>
                      <w:szCs w:val="21"/>
                      <w:highlight w:val="none"/>
                      <w:lang w:val="en-US" w:eastAsia="zh-CN"/>
                    </w:rPr>
                  </w:pPr>
                </w:p>
              </w:tc>
              <w:tc>
                <w:tcPr>
                  <w:tcW w:w="1593" w:type="dxa"/>
                  <w:vMerge w:val="continue"/>
                  <w:vAlign w:val="center"/>
                </w:tcPr>
                <w:p w14:paraId="26495F19">
                  <w:pPr>
                    <w:widowControl/>
                    <w:jc w:val="center"/>
                    <w:rPr>
                      <w:rFonts w:hint="default" w:ascii="Times New Roman" w:hAnsi="Times New Roman" w:eastAsia="宋体" w:cs="Times New Roman"/>
                      <w:color w:val="auto"/>
                      <w:spacing w:val="6"/>
                      <w:kern w:val="0"/>
                      <w:sz w:val="21"/>
                      <w:szCs w:val="21"/>
                      <w:highlight w:val="none"/>
                    </w:rPr>
                  </w:pPr>
                </w:p>
              </w:tc>
            </w:tr>
            <w:tr w14:paraId="331FB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14:paraId="4F692B4F">
                  <w:pPr>
                    <w:widowControl/>
                    <w:jc w:val="center"/>
                    <w:rPr>
                      <w:rFonts w:hint="default" w:ascii="Times New Roman" w:hAnsi="Times New Roman" w:eastAsia="宋体" w:cs="Times New Roman"/>
                      <w:color w:val="auto"/>
                      <w:kern w:val="0"/>
                      <w:sz w:val="21"/>
                      <w:szCs w:val="21"/>
                      <w:highlight w:val="none"/>
                    </w:rPr>
                  </w:pPr>
                </w:p>
              </w:tc>
              <w:tc>
                <w:tcPr>
                  <w:tcW w:w="1038" w:type="dxa"/>
                  <w:vMerge w:val="continue"/>
                  <w:vAlign w:val="center"/>
                </w:tcPr>
                <w:p w14:paraId="3A951560">
                  <w:pPr>
                    <w:widowControl/>
                    <w:jc w:val="center"/>
                    <w:rPr>
                      <w:rFonts w:hint="default" w:ascii="Times New Roman" w:hAnsi="Times New Roman" w:eastAsia="宋体" w:cs="Times New Roman"/>
                      <w:color w:val="auto"/>
                      <w:kern w:val="0"/>
                      <w:sz w:val="21"/>
                      <w:szCs w:val="21"/>
                      <w:highlight w:val="none"/>
                    </w:rPr>
                  </w:pPr>
                </w:p>
              </w:tc>
              <w:tc>
                <w:tcPr>
                  <w:tcW w:w="1815" w:type="dxa"/>
                  <w:vAlign w:val="center"/>
                </w:tcPr>
                <w:p w14:paraId="60B3EBBB">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保利和寓</w:t>
                  </w:r>
                </w:p>
              </w:tc>
              <w:tc>
                <w:tcPr>
                  <w:tcW w:w="980" w:type="dxa"/>
                  <w:vAlign w:val="center"/>
                </w:tcPr>
                <w:p w14:paraId="7AB2A913">
                  <w:pPr>
                    <w:widowControl/>
                    <w:jc w:val="center"/>
                    <w:rPr>
                      <w:rFonts w:hint="default" w:ascii="Times New Roman" w:hAnsi="Times New Roman" w:eastAsia="宋体" w:cs="Times New Roman"/>
                      <w:color w:val="auto"/>
                      <w:spacing w:val="6"/>
                      <w:kern w:val="0"/>
                      <w:sz w:val="21"/>
                      <w:szCs w:val="21"/>
                      <w:highlight w:val="none"/>
                    </w:rPr>
                  </w:pPr>
                  <w:r>
                    <w:rPr>
                      <w:rFonts w:hint="eastAsia" w:cs="Times New Roman"/>
                      <w:color w:val="auto"/>
                      <w:sz w:val="21"/>
                      <w:szCs w:val="21"/>
                      <w:highlight w:val="none"/>
                      <w:lang w:val="en-US" w:eastAsia="zh-CN"/>
                    </w:rPr>
                    <w:t>北侧</w:t>
                  </w:r>
                </w:p>
              </w:tc>
              <w:tc>
                <w:tcPr>
                  <w:tcW w:w="1420" w:type="dxa"/>
                  <w:vAlign w:val="center"/>
                </w:tcPr>
                <w:p w14:paraId="1C0CF09C">
                  <w:pPr>
                    <w:widowControl/>
                    <w:jc w:val="center"/>
                    <w:rPr>
                      <w:rFonts w:hint="default" w:ascii="Times New Roman" w:hAnsi="Times New Roman" w:eastAsia="宋体" w:cs="Times New Roman"/>
                      <w:color w:val="auto"/>
                      <w:spacing w:val="6"/>
                      <w:kern w:val="0"/>
                      <w:sz w:val="21"/>
                      <w:szCs w:val="21"/>
                      <w:highlight w:val="none"/>
                      <w:lang w:val="en-US" w:eastAsia="zh-CN"/>
                    </w:rPr>
                  </w:pPr>
                  <w:r>
                    <w:rPr>
                      <w:rFonts w:hint="eastAsia" w:cs="Times New Roman"/>
                      <w:color w:val="auto"/>
                      <w:sz w:val="21"/>
                      <w:szCs w:val="21"/>
                      <w:highlight w:val="none"/>
                      <w:lang w:val="en-US" w:eastAsia="zh-CN"/>
                    </w:rPr>
                    <w:t>166m</w:t>
                  </w:r>
                </w:p>
              </w:tc>
              <w:tc>
                <w:tcPr>
                  <w:tcW w:w="949" w:type="dxa"/>
                  <w:vMerge w:val="restart"/>
                  <w:vAlign w:val="center"/>
                </w:tcPr>
                <w:p w14:paraId="752608E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居民区</w:t>
                  </w:r>
                </w:p>
              </w:tc>
              <w:tc>
                <w:tcPr>
                  <w:tcW w:w="1593" w:type="dxa"/>
                  <w:vMerge w:val="continue"/>
                  <w:vAlign w:val="center"/>
                </w:tcPr>
                <w:p w14:paraId="33570CAE">
                  <w:pPr>
                    <w:widowControl/>
                    <w:jc w:val="center"/>
                    <w:rPr>
                      <w:rFonts w:hint="default" w:ascii="Times New Roman" w:hAnsi="Times New Roman" w:eastAsia="宋体" w:cs="Times New Roman"/>
                      <w:color w:val="auto"/>
                      <w:spacing w:val="6"/>
                      <w:kern w:val="0"/>
                      <w:sz w:val="21"/>
                      <w:szCs w:val="21"/>
                      <w:highlight w:val="none"/>
                    </w:rPr>
                  </w:pPr>
                </w:p>
              </w:tc>
            </w:tr>
            <w:tr w14:paraId="10043C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14:paraId="12CE786C">
                  <w:pPr>
                    <w:widowControl/>
                    <w:jc w:val="center"/>
                    <w:rPr>
                      <w:rFonts w:hint="default" w:ascii="Times New Roman" w:hAnsi="Times New Roman" w:eastAsia="宋体" w:cs="Times New Roman"/>
                      <w:color w:val="auto"/>
                      <w:kern w:val="0"/>
                      <w:sz w:val="21"/>
                      <w:szCs w:val="21"/>
                      <w:highlight w:val="none"/>
                    </w:rPr>
                  </w:pPr>
                </w:p>
              </w:tc>
              <w:tc>
                <w:tcPr>
                  <w:tcW w:w="1038" w:type="dxa"/>
                  <w:vMerge w:val="continue"/>
                  <w:vAlign w:val="center"/>
                </w:tcPr>
                <w:p w14:paraId="2E6A13F6">
                  <w:pPr>
                    <w:widowControl/>
                    <w:jc w:val="center"/>
                    <w:rPr>
                      <w:rFonts w:hint="default" w:ascii="Times New Roman" w:hAnsi="Times New Roman" w:eastAsia="宋体" w:cs="Times New Roman"/>
                      <w:color w:val="auto"/>
                      <w:kern w:val="0"/>
                      <w:sz w:val="21"/>
                      <w:szCs w:val="21"/>
                      <w:highlight w:val="none"/>
                    </w:rPr>
                  </w:pPr>
                </w:p>
              </w:tc>
              <w:tc>
                <w:tcPr>
                  <w:tcW w:w="1815" w:type="dxa"/>
                  <w:vAlign w:val="center"/>
                </w:tcPr>
                <w:p w14:paraId="309C0380">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联发君樾府</w:t>
                  </w:r>
                </w:p>
              </w:tc>
              <w:tc>
                <w:tcPr>
                  <w:tcW w:w="980" w:type="dxa"/>
                  <w:vAlign w:val="center"/>
                </w:tcPr>
                <w:p w14:paraId="34A06E92">
                  <w:pPr>
                    <w:widowControl/>
                    <w:jc w:val="center"/>
                    <w:rPr>
                      <w:rFonts w:hint="eastAsia" w:cs="Times New Roman"/>
                      <w:snapToGrid w:val="0"/>
                      <w:color w:val="auto"/>
                      <w:kern w:val="44"/>
                      <w:sz w:val="21"/>
                      <w:szCs w:val="21"/>
                      <w:highlight w:val="none"/>
                      <w:lang w:val="en-US" w:eastAsia="zh-CN"/>
                    </w:rPr>
                  </w:pPr>
                  <w:r>
                    <w:rPr>
                      <w:rFonts w:hint="eastAsia" w:cs="Times New Roman"/>
                      <w:snapToGrid w:val="0"/>
                      <w:color w:val="auto"/>
                      <w:kern w:val="44"/>
                      <w:sz w:val="21"/>
                      <w:szCs w:val="21"/>
                      <w:highlight w:val="none"/>
                      <w:lang w:val="en-US" w:eastAsia="zh-CN"/>
                    </w:rPr>
                    <w:t>东北侧</w:t>
                  </w:r>
                </w:p>
              </w:tc>
              <w:tc>
                <w:tcPr>
                  <w:tcW w:w="1420" w:type="dxa"/>
                  <w:vAlign w:val="center"/>
                </w:tcPr>
                <w:p w14:paraId="3BCA4621">
                  <w:pPr>
                    <w:widowControl/>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181m</w:t>
                  </w:r>
                </w:p>
              </w:tc>
              <w:tc>
                <w:tcPr>
                  <w:tcW w:w="949" w:type="dxa"/>
                  <w:vMerge w:val="continue"/>
                  <w:vAlign w:val="center"/>
                </w:tcPr>
                <w:p w14:paraId="29BD27F0">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14:paraId="7BD9DAE7">
                  <w:pPr>
                    <w:widowControl/>
                    <w:jc w:val="center"/>
                    <w:rPr>
                      <w:rFonts w:hint="default" w:ascii="Times New Roman" w:hAnsi="Times New Roman" w:eastAsia="宋体" w:cs="Times New Roman"/>
                      <w:color w:val="auto"/>
                      <w:spacing w:val="6"/>
                      <w:kern w:val="0"/>
                      <w:sz w:val="21"/>
                      <w:szCs w:val="21"/>
                      <w:highlight w:val="none"/>
                    </w:rPr>
                  </w:pPr>
                </w:p>
              </w:tc>
            </w:tr>
            <w:tr w14:paraId="141627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14:paraId="7864FFBA">
                  <w:pPr>
                    <w:widowControl/>
                    <w:jc w:val="center"/>
                    <w:rPr>
                      <w:rFonts w:hint="default" w:ascii="Times New Roman" w:hAnsi="Times New Roman" w:eastAsia="宋体" w:cs="Times New Roman"/>
                      <w:color w:val="auto"/>
                      <w:kern w:val="0"/>
                      <w:sz w:val="21"/>
                      <w:szCs w:val="21"/>
                      <w:highlight w:val="none"/>
                    </w:rPr>
                  </w:pPr>
                </w:p>
              </w:tc>
              <w:tc>
                <w:tcPr>
                  <w:tcW w:w="1038" w:type="dxa"/>
                  <w:vMerge w:val="continue"/>
                  <w:vAlign w:val="center"/>
                </w:tcPr>
                <w:p w14:paraId="299AFC5B">
                  <w:pPr>
                    <w:widowControl/>
                    <w:jc w:val="center"/>
                    <w:rPr>
                      <w:rFonts w:hint="default" w:ascii="Times New Roman" w:hAnsi="Times New Roman" w:eastAsia="宋体" w:cs="Times New Roman"/>
                      <w:color w:val="auto"/>
                      <w:kern w:val="0"/>
                      <w:sz w:val="21"/>
                      <w:szCs w:val="21"/>
                      <w:highlight w:val="none"/>
                    </w:rPr>
                  </w:pPr>
                </w:p>
              </w:tc>
              <w:tc>
                <w:tcPr>
                  <w:tcW w:w="1815" w:type="dxa"/>
                  <w:vAlign w:val="center"/>
                </w:tcPr>
                <w:p w14:paraId="55927D82">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蓝光星珀</w:t>
                  </w:r>
                </w:p>
              </w:tc>
              <w:tc>
                <w:tcPr>
                  <w:tcW w:w="980" w:type="dxa"/>
                  <w:vAlign w:val="center"/>
                </w:tcPr>
                <w:p w14:paraId="57990320">
                  <w:pPr>
                    <w:widowControl/>
                    <w:jc w:val="center"/>
                    <w:rPr>
                      <w:rFonts w:hint="eastAsia" w:cs="Times New Roman"/>
                      <w:snapToGrid w:val="0"/>
                      <w:color w:val="auto"/>
                      <w:kern w:val="44"/>
                      <w:sz w:val="21"/>
                      <w:szCs w:val="21"/>
                      <w:highlight w:val="none"/>
                      <w:lang w:val="en-US" w:eastAsia="zh-CN"/>
                    </w:rPr>
                  </w:pPr>
                  <w:r>
                    <w:rPr>
                      <w:rFonts w:hint="eastAsia" w:cs="Times New Roman"/>
                      <w:snapToGrid w:val="0"/>
                      <w:color w:val="auto"/>
                      <w:kern w:val="44"/>
                      <w:sz w:val="21"/>
                      <w:szCs w:val="21"/>
                      <w:highlight w:val="none"/>
                      <w:lang w:val="en-US" w:eastAsia="zh-CN"/>
                    </w:rPr>
                    <w:t>东侧</w:t>
                  </w:r>
                </w:p>
              </w:tc>
              <w:tc>
                <w:tcPr>
                  <w:tcW w:w="1420" w:type="dxa"/>
                  <w:vAlign w:val="center"/>
                </w:tcPr>
                <w:p w14:paraId="2EB28567">
                  <w:pPr>
                    <w:widowControl/>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23m</w:t>
                  </w:r>
                </w:p>
              </w:tc>
              <w:tc>
                <w:tcPr>
                  <w:tcW w:w="949" w:type="dxa"/>
                  <w:vMerge w:val="continue"/>
                  <w:vAlign w:val="center"/>
                </w:tcPr>
                <w:p w14:paraId="0BC331F9">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14:paraId="4E8B5F5F">
                  <w:pPr>
                    <w:widowControl/>
                    <w:jc w:val="center"/>
                    <w:rPr>
                      <w:rFonts w:hint="default" w:ascii="Times New Roman" w:hAnsi="Times New Roman" w:eastAsia="宋体" w:cs="Times New Roman"/>
                      <w:color w:val="auto"/>
                      <w:spacing w:val="6"/>
                      <w:kern w:val="0"/>
                      <w:sz w:val="21"/>
                      <w:szCs w:val="21"/>
                      <w:highlight w:val="none"/>
                    </w:rPr>
                  </w:pPr>
                </w:p>
              </w:tc>
            </w:tr>
            <w:tr w14:paraId="33322E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14:paraId="5E3E0499">
                  <w:pPr>
                    <w:widowControl/>
                    <w:jc w:val="center"/>
                    <w:rPr>
                      <w:rFonts w:hint="default" w:ascii="Times New Roman" w:hAnsi="Times New Roman" w:eastAsia="宋体" w:cs="Times New Roman"/>
                      <w:color w:val="auto"/>
                      <w:kern w:val="0"/>
                      <w:sz w:val="21"/>
                      <w:szCs w:val="21"/>
                      <w:highlight w:val="none"/>
                    </w:rPr>
                  </w:pPr>
                </w:p>
              </w:tc>
              <w:tc>
                <w:tcPr>
                  <w:tcW w:w="1038" w:type="dxa"/>
                  <w:vMerge w:val="continue"/>
                  <w:vAlign w:val="center"/>
                </w:tcPr>
                <w:p w14:paraId="7D639225">
                  <w:pPr>
                    <w:widowControl/>
                    <w:jc w:val="center"/>
                    <w:rPr>
                      <w:rFonts w:hint="default" w:ascii="Times New Roman" w:hAnsi="Times New Roman" w:eastAsia="宋体" w:cs="Times New Roman"/>
                      <w:color w:val="auto"/>
                      <w:kern w:val="0"/>
                      <w:sz w:val="21"/>
                      <w:szCs w:val="21"/>
                      <w:highlight w:val="none"/>
                    </w:rPr>
                  </w:pPr>
                </w:p>
              </w:tc>
              <w:tc>
                <w:tcPr>
                  <w:tcW w:w="1815" w:type="dxa"/>
                  <w:vAlign w:val="center"/>
                </w:tcPr>
                <w:p w14:paraId="78FE9D21">
                  <w:pPr>
                    <w:widowControl/>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首开中庚香开连天</w:t>
                  </w:r>
                </w:p>
              </w:tc>
              <w:tc>
                <w:tcPr>
                  <w:tcW w:w="980" w:type="dxa"/>
                  <w:vAlign w:val="center"/>
                </w:tcPr>
                <w:p w14:paraId="7D62F715">
                  <w:pPr>
                    <w:widowControl/>
                    <w:jc w:val="center"/>
                    <w:rPr>
                      <w:rFonts w:hint="default" w:ascii="Times New Roman" w:hAnsi="Times New Roman" w:eastAsia="宋体" w:cs="Times New Roman"/>
                      <w:color w:val="auto"/>
                      <w:spacing w:val="6"/>
                      <w:kern w:val="0"/>
                      <w:sz w:val="21"/>
                      <w:szCs w:val="21"/>
                      <w:highlight w:val="none"/>
                    </w:rPr>
                  </w:pPr>
                  <w:r>
                    <w:rPr>
                      <w:rFonts w:hint="eastAsia" w:cs="Times New Roman"/>
                      <w:snapToGrid w:val="0"/>
                      <w:color w:val="auto"/>
                      <w:kern w:val="44"/>
                      <w:sz w:val="21"/>
                      <w:szCs w:val="21"/>
                      <w:highlight w:val="none"/>
                      <w:lang w:val="en-US" w:eastAsia="zh-CN"/>
                    </w:rPr>
                    <w:t>东</w:t>
                  </w:r>
                  <w:r>
                    <w:rPr>
                      <w:rFonts w:hint="default" w:ascii="Times New Roman" w:hAnsi="Times New Roman" w:eastAsia="宋体" w:cs="Times New Roman"/>
                      <w:snapToGrid w:val="0"/>
                      <w:color w:val="auto"/>
                      <w:kern w:val="44"/>
                      <w:sz w:val="21"/>
                      <w:szCs w:val="21"/>
                      <w:highlight w:val="none"/>
                    </w:rPr>
                    <w:t>侧</w:t>
                  </w:r>
                </w:p>
              </w:tc>
              <w:tc>
                <w:tcPr>
                  <w:tcW w:w="1420" w:type="dxa"/>
                  <w:vAlign w:val="center"/>
                </w:tcPr>
                <w:p w14:paraId="61A44365">
                  <w:pPr>
                    <w:widowControl/>
                    <w:jc w:val="center"/>
                    <w:rPr>
                      <w:rFonts w:hint="default" w:ascii="Times New Roman" w:hAnsi="Times New Roman" w:eastAsia="宋体"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306m</w:t>
                  </w:r>
                </w:p>
              </w:tc>
              <w:tc>
                <w:tcPr>
                  <w:tcW w:w="949" w:type="dxa"/>
                  <w:vMerge w:val="continue"/>
                  <w:vAlign w:val="center"/>
                </w:tcPr>
                <w:p w14:paraId="1CE22CC0">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14:paraId="5BFE498D">
                  <w:pPr>
                    <w:widowControl/>
                    <w:jc w:val="center"/>
                    <w:rPr>
                      <w:rFonts w:hint="default" w:ascii="Times New Roman" w:hAnsi="Times New Roman" w:eastAsia="宋体" w:cs="Times New Roman"/>
                      <w:color w:val="auto"/>
                      <w:spacing w:val="6"/>
                      <w:kern w:val="0"/>
                      <w:sz w:val="21"/>
                      <w:szCs w:val="21"/>
                      <w:highlight w:val="none"/>
                    </w:rPr>
                  </w:pPr>
                </w:p>
              </w:tc>
            </w:tr>
            <w:tr w14:paraId="5E98B6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5" w:hRule="atLeast"/>
                <w:jc w:val="center"/>
              </w:trPr>
              <w:tc>
                <w:tcPr>
                  <w:tcW w:w="665" w:type="dxa"/>
                  <w:vMerge w:val="continue"/>
                  <w:vAlign w:val="center"/>
                </w:tcPr>
                <w:p w14:paraId="121AFF73">
                  <w:pPr>
                    <w:widowControl/>
                    <w:jc w:val="center"/>
                    <w:rPr>
                      <w:rFonts w:hint="default" w:ascii="Times New Roman" w:hAnsi="Times New Roman" w:eastAsia="宋体" w:cs="Times New Roman"/>
                      <w:color w:val="auto"/>
                      <w:kern w:val="0"/>
                      <w:sz w:val="21"/>
                      <w:szCs w:val="21"/>
                      <w:highlight w:val="none"/>
                    </w:rPr>
                  </w:pPr>
                </w:p>
              </w:tc>
              <w:tc>
                <w:tcPr>
                  <w:tcW w:w="1038" w:type="dxa"/>
                  <w:vMerge w:val="continue"/>
                  <w:vAlign w:val="center"/>
                </w:tcPr>
                <w:p w14:paraId="4B61634D">
                  <w:pPr>
                    <w:widowControl/>
                    <w:jc w:val="center"/>
                    <w:rPr>
                      <w:rFonts w:hint="default" w:ascii="Times New Roman" w:hAnsi="Times New Roman" w:eastAsia="宋体" w:cs="Times New Roman"/>
                      <w:color w:val="auto"/>
                      <w:kern w:val="0"/>
                      <w:sz w:val="21"/>
                      <w:szCs w:val="21"/>
                      <w:highlight w:val="none"/>
                    </w:rPr>
                  </w:pPr>
                </w:p>
              </w:tc>
              <w:tc>
                <w:tcPr>
                  <w:tcW w:w="1815" w:type="dxa"/>
                  <w:vAlign w:val="center"/>
                </w:tcPr>
                <w:p w14:paraId="4EA2173D">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榕发誉湖郡</w:t>
                  </w:r>
                </w:p>
              </w:tc>
              <w:tc>
                <w:tcPr>
                  <w:tcW w:w="980" w:type="dxa"/>
                  <w:vAlign w:val="center"/>
                </w:tcPr>
                <w:p w14:paraId="69714D9A">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pacing w:val="6"/>
                      <w:kern w:val="0"/>
                      <w:sz w:val="21"/>
                      <w:szCs w:val="21"/>
                      <w:highlight w:val="none"/>
                    </w:rPr>
                  </w:pPr>
                  <w:r>
                    <w:rPr>
                      <w:rFonts w:hint="eastAsia" w:cs="Times New Roman"/>
                      <w:snapToGrid w:val="0"/>
                      <w:color w:val="auto"/>
                      <w:kern w:val="44"/>
                      <w:sz w:val="21"/>
                      <w:szCs w:val="21"/>
                      <w:highlight w:val="none"/>
                      <w:lang w:val="en-US" w:eastAsia="zh-CN"/>
                    </w:rPr>
                    <w:t>西侧</w:t>
                  </w:r>
                </w:p>
              </w:tc>
              <w:tc>
                <w:tcPr>
                  <w:tcW w:w="1420" w:type="dxa"/>
                  <w:vAlign w:val="center"/>
                </w:tcPr>
                <w:p w14:paraId="20AB01A7">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117m</w:t>
                  </w:r>
                </w:p>
              </w:tc>
              <w:tc>
                <w:tcPr>
                  <w:tcW w:w="949" w:type="dxa"/>
                  <w:vMerge w:val="continue"/>
                  <w:vAlign w:val="center"/>
                </w:tcPr>
                <w:p w14:paraId="4A6ECE2E">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14:paraId="1B45CEBF">
                  <w:pPr>
                    <w:widowControl/>
                    <w:jc w:val="center"/>
                    <w:rPr>
                      <w:rFonts w:hint="default" w:ascii="Times New Roman" w:hAnsi="Times New Roman" w:eastAsia="宋体" w:cs="Times New Roman"/>
                      <w:color w:val="auto"/>
                      <w:spacing w:val="6"/>
                      <w:kern w:val="0"/>
                      <w:sz w:val="21"/>
                      <w:szCs w:val="21"/>
                      <w:highlight w:val="none"/>
                    </w:rPr>
                  </w:pPr>
                </w:p>
              </w:tc>
            </w:tr>
            <w:tr w14:paraId="74FE3B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14:paraId="001D7074">
                  <w:pPr>
                    <w:widowControl/>
                    <w:jc w:val="center"/>
                    <w:rPr>
                      <w:rFonts w:hint="default" w:ascii="Times New Roman" w:hAnsi="Times New Roman" w:eastAsia="宋体" w:cs="Times New Roman"/>
                      <w:color w:val="auto"/>
                      <w:kern w:val="0"/>
                      <w:sz w:val="21"/>
                      <w:szCs w:val="21"/>
                      <w:highlight w:val="none"/>
                    </w:rPr>
                  </w:pPr>
                </w:p>
              </w:tc>
              <w:tc>
                <w:tcPr>
                  <w:tcW w:w="1038" w:type="dxa"/>
                  <w:vMerge w:val="continue"/>
                  <w:vAlign w:val="center"/>
                </w:tcPr>
                <w:p w14:paraId="28E88FE7">
                  <w:pPr>
                    <w:widowControl/>
                    <w:jc w:val="center"/>
                    <w:rPr>
                      <w:rFonts w:hint="default" w:ascii="Times New Roman" w:hAnsi="Times New Roman" w:eastAsia="宋体" w:cs="Times New Roman"/>
                      <w:color w:val="auto"/>
                      <w:kern w:val="0"/>
                      <w:sz w:val="21"/>
                      <w:szCs w:val="21"/>
                      <w:highlight w:val="none"/>
                    </w:rPr>
                  </w:pPr>
                </w:p>
              </w:tc>
              <w:tc>
                <w:tcPr>
                  <w:tcW w:w="1815" w:type="dxa"/>
                  <w:vAlign w:val="center"/>
                </w:tcPr>
                <w:p w14:paraId="1C4F7DA7">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榕发观湖郡</w:t>
                  </w:r>
                </w:p>
              </w:tc>
              <w:tc>
                <w:tcPr>
                  <w:tcW w:w="980" w:type="dxa"/>
                  <w:vAlign w:val="center"/>
                </w:tcPr>
                <w:p w14:paraId="5DF8DE9F">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pacing w:val="6"/>
                      <w:kern w:val="0"/>
                      <w:sz w:val="21"/>
                      <w:szCs w:val="21"/>
                      <w:highlight w:val="none"/>
                    </w:rPr>
                  </w:pPr>
                  <w:r>
                    <w:rPr>
                      <w:rFonts w:hint="eastAsia" w:cs="Times New Roman"/>
                      <w:snapToGrid w:val="0"/>
                      <w:color w:val="auto"/>
                      <w:kern w:val="44"/>
                      <w:sz w:val="21"/>
                      <w:szCs w:val="21"/>
                      <w:highlight w:val="none"/>
                      <w:lang w:val="en-US" w:eastAsia="zh-CN"/>
                    </w:rPr>
                    <w:t>西侧</w:t>
                  </w:r>
                </w:p>
              </w:tc>
              <w:tc>
                <w:tcPr>
                  <w:tcW w:w="1420" w:type="dxa"/>
                  <w:vAlign w:val="center"/>
                </w:tcPr>
                <w:p w14:paraId="36E562BF">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353m</w:t>
                  </w:r>
                </w:p>
              </w:tc>
              <w:tc>
                <w:tcPr>
                  <w:tcW w:w="949" w:type="dxa"/>
                  <w:vMerge w:val="continue"/>
                  <w:vAlign w:val="center"/>
                </w:tcPr>
                <w:p w14:paraId="38B312E8">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14:paraId="57BDBA97">
                  <w:pPr>
                    <w:widowControl/>
                    <w:jc w:val="center"/>
                    <w:rPr>
                      <w:rFonts w:hint="default" w:ascii="Times New Roman" w:hAnsi="Times New Roman" w:eastAsia="宋体" w:cs="Times New Roman"/>
                      <w:color w:val="auto"/>
                      <w:spacing w:val="6"/>
                      <w:kern w:val="0"/>
                      <w:sz w:val="21"/>
                      <w:szCs w:val="21"/>
                      <w:highlight w:val="none"/>
                    </w:rPr>
                  </w:pPr>
                </w:p>
              </w:tc>
            </w:tr>
            <w:tr w14:paraId="1658EE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3" w:hRule="atLeast"/>
                <w:jc w:val="center"/>
              </w:trPr>
              <w:tc>
                <w:tcPr>
                  <w:tcW w:w="665" w:type="dxa"/>
                  <w:vMerge w:val="continue"/>
                  <w:vAlign w:val="center"/>
                </w:tcPr>
                <w:p w14:paraId="1D112A08">
                  <w:pPr>
                    <w:widowControl/>
                    <w:jc w:val="center"/>
                    <w:rPr>
                      <w:rFonts w:hint="default" w:ascii="Times New Roman" w:hAnsi="Times New Roman" w:eastAsia="宋体" w:cs="Times New Roman"/>
                      <w:color w:val="auto"/>
                      <w:kern w:val="0"/>
                      <w:sz w:val="21"/>
                      <w:szCs w:val="21"/>
                      <w:highlight w:val="none"/>
                    </w:rPr>
                  </w:pPr>
                </w:p>
              </w:tc>
              <w:tc>
                <w:tcPr>
                  <w:tcW w:w="1038" w:type="dxa"/>
                  <w:vMerge w:val="continue"/>
                  <w:vAlign w:val="center"/>
                </w:tcPr>
                <w:p w14:paraId="42FE980D">
                  <w:pPr>
                    <w:widowControl/>
                    <w:jc w:val="center"/>
                    <w:rPr>
                      <w:rFonts w:hint="default" w:ascii="Times New Roman" w:hAnsi="Times New Roman" w:eastAsia="宋体" w:cs="Times New Roman"/>
                      <w:color w:val="auto"/>
                      <w:kern w:val="0"/>
                      <w:sz w:val="21"/>
                      <w:szCs w:val="21"/>
                      <w:highlight w:val="none"/>
                    </w:rPr>
                  </w:pPr>
                </w:p>
              </w:tc>
              <w:tc>
                <w:tcPr>
                  <w:tcW w:w="1815" w:type="dxa"/>
                  <w:vAlign w:val="center"/>
                </w:tcPr>
                <w:p w14:paraId="65553FE3">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晋安景湖新宛</w:t>
                  </w:r>
                </w:p>
              </w:tc>
              <w:tc>
                <w:tcPr>
                  <w:tcW w:w="980" w:type="dxa"/>
                  <w:vAlign w:val="center"/>
                </w:tcPr>
                <w:p w14:paraId="1277ADBF">
                  <w:pPr>
                    <w:keepNext w:val="0"/>
                    <w:keepLines w:val="0"/>
                    <w:pageBreakBefore w:val="0"/>
                    <w:widowControl/>
                    <w:kinsoku/>
                    <w:wordWrap/>
                    <w:overflowPunct/>
                    <w:topLinePunct w:val="0"/>
                    <w:autoSpaceDE/>
                    <w:autoSpaceDN/>
                    <w:bidi w:val="0"/>
                    <w:jc w:val="center"/>
                    <w:textAlignment w:val="auto"/>
                    <w:rPr>
                      <w:rFonts w:hint="eastAsia" w:cs="Times New Roman"/>
                      <w:snapToGrid w:val="0"/>
                      <w:color w:val="auto"/>
                      <w:kern w:val="44"/>
                      <w:sz w:val="21"/>
                      <w:szCs w:val="21"/>
                      <w:highlight w:val="none"/>
                      <w:lang w:val="en-US" w:eastAsia="zh-CN"/>
                    </w:rPr>
                  </w:pPr>
                  <w:r>
                    <w:rPr>
                      <w:rFonts w:hint="eastAsia" w:cs="Times New Roman"/>
                      <w:snapToGrid w:val="0"/>
                      <w:color w:val="auto"/>
                      <w:kern w:val="44"/>
                      <w:sz w:val="21"/>
                      <w:szCs w:val="21"/>
                      <w:highlight w:val="none"/>
                      <w:lang w:val="en-US" w:eastAsia="zh-CN"/>
                    </w:rPr>
                    <w:t>西北侧</w:t>
                  </w:r>
                </w:p>
              </w:tc>
              <w:tc>
                <w:tcPr>
                  <w:tcW w:w="1420" w:type="dxa"/>
                  <w:vAlign w:val="center"/>
                </w:tcPr>
                <w:p w14:paraId="1504A637">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227m</w:t>
                  </w:r>
                </w:p>
              </w:tc>
              <w:tc>
                <w:tcPr>
                  <w:tcW w:w="949" w:type="dxa"/>
                  <w:vMerge w:val="continue"/>
                  <w:vAlign w:val="center"/>
                </w:tcPr>
                <w:p w14:paraId="0DE816D7">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14:paraId="45B6CC28">
                  <w:pPr>
                    <w:widowControl/>
                    <w:jc w:val="center"/>
                    <w:rPr>
                      <w:rFonts w:hint="default" w:ascii="Times New Roman" w:hAnsi="Times New Roman" w:eastAsia="宋体" w:cs="Times New Roman"/>
                      <w:color w:val="auto"/>
                      <w:spacing w:val="6"/>
                      <w:kern w:val="0"/>
                      <w:sz w:val="21"/>
                      <w:szCs w:val="21"/>
                      <w:highlight w:val="none"/>
                    </w:rPr>
                  </w:pPr>
                </w:p>
              </w:tc>
            </w:tr>
            <w:tr w14:paraId="103583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9" w:hRule="atLeast"/>
                <w:jc w:val="center"/>
              </w:trPr>
              <w:tc>
                <w:tcPr>
                  <w:tcW w:w="665" w:type="dxa"/>
                  <w:vMerge w:val="continue"/>
                  <w:vAlign w:val="center"/>
                </w:tcPr>
                <w:p w14:paraId="72A5C140">
                  <w:pPr>
                    <w:widowControl/>
                    <w:jc w:val="center"/>
                    <w:rPr>
                      <w:rFonts w:hint="default" w:ascii="Times New Roman" w:hAnsi="Times New Roman" w:eastAsia="宋体" w:cs="Times New Roman"/>
                      <w:color w:val="auto"/>
                      <w:kern w:val="0"/>
                      <w:sz w:val="21"/>
                      <w:szCs w:val="21"/>
                      <w:highlight w:val="none"/>
                    </w:rPr>
                  </w:pPr>
                </w:p>
              </w:tc>
              <w:tc>
                <w:tcPr>
                  <w:tcW w:w="1038" w:type="dxa"/>
                  <w:vMerge w:val="continue"/>
                  <w:vAlign w:val="center"/>
                </w:tcPr>
                <w:p w14:paraId="423D060D">
                  <w:pPr>
                    <w:widowControl/>
                    <w:jc w:val="center"/>
                    <w:rPr>
                      <w:rFonts w:hint="default" w:ascii="Times New Roman" w:hAnsi="Times New Roman" w:eastAsia="宋体" w:cs="Times New Roman"/>
                      <w:color w:val="auto"/>
                      <w:kern w:val="0"/>
                      <w:sz w:val="21"/>
                      <w:szCs w:val="21"/>
                      <w:highlight w:val="none"/>
                    </w:rPr>
                  </w:pPr>
                </w:p>
              </w:tc>
              <w:tc>
                <w:tcPr>
                  <w:tcW w:w="1815" w:type="dxa"/>
                  <w:vAlign w:val="center"/>
                </w:tcPr>
                <w:p w14:paraId="1DA79200">
                  <w:pPr>
                    <w:keepNext w:val="0"/>
                    <w:keepLines w:val="0"/>
                    <w:pageBreakBefore w:val="0"/>
                    <w:widowControl/>
                    <w:kinsoku/>
                    <w:wordWrap/>
                    <w:overflowPunct/>
                    <w:topLinePunct w:val="0"/>
                    <w:autoSpaceDE/>
                    <w:autoSpaceDN/>
                    <w:bidi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建发养云二期</w:t>
                  </w:r>
                </w:p>
              </w:tc>
              <w:tc>
                <w:tcPr>
                  <w:tcW w:w="980" w:type="dxa"/>
                  <w:vAlign w:val="center"/>
                </w:tcPr>
                <w:p w14:paraId="26C014E2">
                  <w:pPr>
                    <w:keepNext w:val="0"/>
                    <w:keepLines w:val="0"/>
                    <w:pageBreakBefore w:val="0"/>
                    <w:widowControl/>
                    <w:kinsoku/>
                    <w:wordWrap/>
                    <w:overflowPunct/>
                    <w:topLinePunct w:val="0"/>
                    <w:autoSpaceDE/>
                    <w:autoSpaceDN/>
                    <w:bidi w:val="0"/>
                    <w:jc w:val="center"/>
                    <w:textAlignment w:val="auto"/>
                    <w:rPr>
                      <w:rFonts w:hint="eastAsia" w:cs="Times New Roman"/>
                      <w:snapToGrid w:val="0"/>
                      <w:color w:val="auto"/>
                      <w:kern w:val="44"/>
                      <w:sz w:val="21"/>
                      <w:szCs w:val="21"/>
                      <w:highlight w:val="none"/>
                      <w:lang w:val="en-US" w:eastAsia="zh-CN"/>
                    </w:rPr>
                  </w:pPr>
                  <w:r>
                    <w:rPr>
                      <w:rFonts w:hint="eastAsia" w:cs="Times New Roman"/>
                      <w:snapToGrid w:val="0"/>
                      <w:color w:val="auto"/>
                      <w:kern w:val="44"/>
                      <w:sz w:val="21"/>
                      <w:szCs w:val="21"/>
                      <w:highlight w:val="none"/>
                      <w:lang w:val="en-US" w:eastAsia="zh-CN"/>
                    </w:rPr>
                    <w:t>东北</w:t>
                  </w:r>
                  <w:r>
                    <w:rPr>
                      <w:rFonts w:hint="default" w:ascii="Times New Roman" w:hAnsi="Times New Roman" w:eastAsia="宋体" w:cs="Times New Roman"/>
                      <w:snapToGrid w:val="0"/>
                      <w:color w:val="auto"/>
                      <w:kern w:val="44"/>
                      <w:sz w:val="21"/>
                      <w:szCs w:val="21"/>
                      <w:highlight w:val="none"/>
                    </w:rPr>
                    <w:t>侧</w:t>
                  </w:r>
                </w:p>
              </w:tc>
              <w:tc>
                <w:tcPr>
                  <w:tcW w:w="1420" w:type="dxa"/>
                  <w:vAlign w:val="center"/>
                </w:tcPr>
                <w:p w14:paraId="7EB5A463">
                  <w:pPr>
                    <w:keepNext w:val="0"/>
                    <w:keepLines w:val="0"/>
                    <w:pageBreakBefore w:val="0"/>
                    <w:widowControl/>
                    <w:kinsoku/>
                    <w:wordWrap/>
                    <w:overflowPunct/>
                    <w:topLinePunct w:val="0"/>
                    <w:autoSpaceDE/>
                    <w:autoSpaceDN/>
                    <w:bidi w:val="0"/>
                    <w:jc w:val="center"/>
                    <w:textAlignment w:val="auto"/>
                    <w:rPr>
                      <w:rFonts w:hint="default" w:cs="Times New Roman"/>
                      <w:color w:val="auto"/>
                      <w:spacing w:val="6"/>
                      <w:kern w:val="0"/>
                      <w:sz w:val="21"/>
                      <w:szCs w:val="21"/>
                      <w:highlight w:val="none"/>
                      <w:lang w:val="en-US" w:eastAsia="zh-CN"/>
                    </w:rPr>
                  </w:pPr>
                  <w:r>
                    <w:rPr>
                      <w:rFonts w:hint="eastAsia" w:cs="Times New Roman"/>
                      <w:color w:val="auto"/>
                      <w:spacing w:val="6"/>
                      <w:kern w:val="0"/>
                      <w:sz w:val="21"/>
                      <w:szCs w:val="21"/>
                      <w:highlight w:val="none"/>
                      <w:lang w:val="en-US" w:eastAsia="zh-CN"/>
                    </w:rPr>
                    <w:t>413m</w:t>
                  </w:r>
                </w:p>
              </w:tc>
              <w:tc>
                <w:tcPr>
                  <w:tcW w:w="949" w:type="dxa"/>
                  <w:vMerge w:val="continue"/>
                  <w:vAlign w:val="center"/>
                </w:tcPr>
                <w:p w14:paraId="6B5DA0A2">
                  <w:pPr>
                    <w:widowControl/>
                    <w:jc w:val="center"/>
                    <w:rPr>
                      <w:rFonts w:hint="default" w:ascii="Times New Roman" w:hAnsi="Times New Roman" w:eastAsia="宋体" w:cs="Times New Roman"/>
                      <w:color w:val="auto"/>
                      <w:spacing w:val="6"/>
                      <w:kern w:val="0"/>
                      <w:sz w:val="21"/>
                      <w:szCs w:val="21"/>
                      <w:highlight w:val="none"/>
                    </w:rPr>
                  </w:pPr>
                </w:p>
              </w:tc>
              <w:tc>
                <w:tcPr>
                  <w:tcW w:w="1593" w:type="dxa"/>
                  <w:vMerge w:val="continue"/>
                  <w:vAlign w:val="center"/>
                </w:tcPr>
                <w:p w14:paraId="70C73480">
                  <w:pPr>
                    <w:widowControl/>
                    <w:jc w:val="center"/>
                    <w:rPr>
                      <w:rFonts w:hint="default" w:ascii="Times New Roman" w:hAnsi="Times New Roman" w:eastAsia="宋体" w:cs="Times New Roman"/>
                      <w:color w:val="auto"/>
                      <w:spacing w:val="6"/>
                      <w:kern w:val="0"/>
                      <w:sz w:val="21"/>
                      <w:szCs w:val="21"/>
                      <w:highlight w:val="none"/>
                    </w:rPr>
                  </w:pPr>
                </w:p>
              </w:tc>
            </w:tr>
            <w:tr w14:paraId="00C6B7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6" w:hRule="atLeast"/>
                <w:jc w:val="center"/>
              </w:trPr>
              <w:tc>
                <w:tcPr>
                  <w:tcW w:w="665" w:type="dxa"/>
                  <w:vMerge w:val="continue"/>
                  <w:vAlign w:val="center"/>
                </w:tcPr>
                <w:p w14:paraId="041F3029">
                  <w:pPr>
                    <w:widowControl/>
                    <w:jc w:val="center"/>
                    <w:rPr>
                      <w:rFonts w:hint="default" w:ascii="Times New Roman" w:hAnsi="Times New Roman" w:eastAsia="宋体" w:cs="Times New Roman"/>
                      <w:bCs/>
                      <w:color w:val="auto"/>
                      <w:kern w:val="0"/>
                      <w:sz w:val="21"/>
                      <w:szCs w:val="21"/>
                      <w:highlight w:val="none"/>
                    </w:rPr>
                  </w:pPr>
                </w:p>
              </w:tc>
              <w:tc>
                <w:tcPr>
                  <w:tcW w:w="1038" w:type="dxa"/>
                  <w:vMerge w:val="continue"/>
                  <w:vAlign w:val="center"/>
                </w:tcPr>
                <w:p w14:paraId="1282C416">
                  <w:pPr>
                    <w:widowControl/>
                    <w:jc w:val="center"/>
                    <w:rPr>
                      <w:rFonts w:hint="default" w:ascii="Times New Roman" w:hAnsi="Times New Roman" w:eastAsia="宋体" w:cs="Times New Roman"/>
                      <w:bCs/>
                      <w:color w:val="auto"/>
                      <w:kern w:val="0"/>
                      <w:sz w:val="21"/>
                      <w:szCs w:val="21"/>
                      <w:highlight w:val="none"/>
                    </w:rPr>
                  </w:pPr>
                </w:p>
              </w:tc>
              <w:tc>
                <w:tcPr>
                  <w:tcW w:w="1815" w:type="dxa"/>
                  <w:vAlign w:val="center"/>
                </w:tcPr>
                <w:p w14:paraId="2731786E">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rPr>
                  </w:pPr>
                  <w:r>
                    <w:rPr>
                      <w:rFonts w:hint="eastAsia" w:cs="Times New Roman"/>
                      <w:bCs/>
                      <w:color w:val="auto"/>
                      <w:kern w:val="0"/>
                      <w:sz w:val="21"/>
                      <w:szCs w:val="21"/>
                      <w:highlight w:val="none"/>
                      <w:lang w:val="en-US" w:eastAsia="zh-CN"/>
                    </w:rPr>
                    <w:t>榕发揽湖郡</w:t>
                  </w:r>
                </w:p>
              </w:tc>
              <w:tc>
                <w:tcPr>
                  <w:tcW w:w="980" w:type="dxa"/>
                  <w:vAlign w:val="center"/>
                </w:tcPr>
                <w:p w14:paraId="2CF74B21">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r>
                    <w:rPr>
                      <w:rFonts w:hint="eastAsia" w:cs="Times New Roman"/>
                      <w:snapToGrid w:val="0"/>
                      <w:color w:val="auto"/>
                      <w:kern w:val="44"/>
                      <w:sz w:val="21"/>
                      <w:szCs w:val="21"/>
                      <w:highlight w:val="none"/>
                      <w:lang w:val="en-US" w:eastAsia="zh-CN"/>
                    </w:rPr>
                    <w:t>西南</w:t>
                  </w:r>
                  <w:r>
                    <w:rPr>
                      <w:rFonts w:hint="default" w:ascii="Times New Roman" w:hAnsi="Times New Roman" w:eastAsia="宋体" w:cs="Times New Roman"/>
                      <w:color w:val="auto"/>
                      <w:sz w:val="21"/>
                      <w:szCs w:val="21"/>
                      <w:highlight w:val="none"/>
                    </w:rPr>
                    <w:t>侧</w:t>
                  </w:r>
                </w:p>
              </w:tc>
              <w:tc>
                <w:tcPr>
                  <w:tcW w:w="1420" w:type="dxa"/>
                  <w:vAlign w:val="center"/>
                </w:tcPr>
                <w:p w14:paraId="0C21B99F">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359</w:t>
                  </w:r>
                  <w:r>
                    <w:rPr>
                      <w:rFonts w:hint="default" w:ascii="Times New Roman" w:hAnsi="Times New Roman" w:eastAsia="宋体" w:cs="Times New Roman"/>
                      <w:color w:val="auto"/>
                      <w:sz w:val="21"/>
                      <w:szCs w:val="21"/>
                      <w:highlight w:val="none"/>
                    </w:rPr>
                    <w:t>m</w:t>
                  </w:r>
                </w:p>
              </w:tc>
              <w:tc>
                <w:tcPr>
                  <w:tcW w:w="949" w:type="dxa"/>
                  <w:vMerge w:val="continue"/>
                  <w:vAlign w:val="center"/>
                </w:tcPr>
                <w:p w14:paraId="57A5020A">
                  <w:pPr>
                    <w:adjustRightInd w:val="0"/>
                    <w:snapToGrid w:val="0"/>
                    <w:jc w:val="center"/>
                    <w:rPr>
                      <w:rFonts w:hint="default" w:ascii="Times New Roman" w:hAnsi="Times New Roman" w:eastAsia="宋体" w:cs="Times New Roman"/>
                      <w:color w:val="auto"/>
                      <w:sz w:val="21"/>
                      <w:szCs w:val="21"/>
                      <w:highlight w:val="none"/>
                    </w:rPr>
                  </w:pPr>
                </w:p>
              </w:tc>
              <w:tc>
                <w:tcPr>
                  <w:tcW w:w="1593" w:type="dxa"/>
                  <w:vMerge w:val="continue"/>
                  <w:vAlign w:val="center"/>
                </w:tcPr>
                <w:p w14:paraId="6F3CFD23">
                  <w:pPr>
                    <w:widowControl/>
                    <w:jc w:val="center"/>
                    <w:rPr>
                      <w:rFonts w:hint="default" w:ascii="Times New Roman" w:hAnsi="Times New Roman" w:eastAsia="宋体" w:cs="Times New Roman"/>
                      <w:snapToGrid w:val="0"/>
                      <w:color w:val="auto"/>
                      <w:kern w:val="44"/>
                      <w:sz w:val="21"/>
                      <w:szCs w:val="21"/>
                      <w:highlight w:val="none"/>
                    </w:rPr>
                  </w:pPr>
                </w:p>
              </w:tc>
            </w:tr>
            <w:tr w14:paraId="701CD3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665" w:type="dxa"/>
                  <w:vAlign w:val="center"/>
                </w:tcPr>
                <w:p w14:paraId="0647943B">
                  <w:pPr>
                    <w:widowControl/>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2</w:t>
                  </w:r>
                </w:p>
              </w:tc>
              <w:tc>
                <w:tcPr>
                  <w:tcW w:w="1038" w:type="dxa"/>
                  <w:vAlign w:val="center"/>
                </w:tcPr>
                <w:p w14:paraId="49D361B9">
                  <w:pPr>
                    <w:widowControl/>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声环境</w:t>
                  </w:r>
                </w:p>
              </w:tc>
              <w:tc>
                <w:tcPr>
                  <w:tcW w:w="1815" w:type="dxa"/>
                  <w:vAlign w:val="center"/>
                </w:tcPr>
                <w:p w14:paraId="24777E5A">
                  <w:pPr>
                    <w:widowControl/>
                    <w:jc w:val="center"/>
                    <w:rPr>
                      <w:rFonts w:hint="default" w:ascii="Times New Roman" w:hAnsi="Times New Roman" w:eastAsia="宋体" w:cs="Times New Roman"/>
                      <w:bCs/>
                      <w:color w:val="auto"/>
                      <w:kern w:val="0"/>
                      <w:sz w:val="21"/>
                      <w:szCs w:val="21"/>
                      <w:highlight w:val="none"/>
                      <w:lang w:val="en-US" w:eastAsia="zh-CN"/>
                    </w:rPr>
                  </w:pPr>
                  <w:r>
                    <w:rPr>
                      <w:rFonts w:hint="eastAsia" w:cs="Times New Roman"/>
                      <w:color w:val="auto"/>
                      <w:kern w:val="0"/>
                      <w:sz w:val="21"/>
                      <w:szCs w:val="21"/>
                      <w:highlight w:val="none"/>
                      <w:lang w:val="en-US" w:eastAsia="zh-CN"/>
                    </w:rPr>
                    <w:t>蓝光星珀</w:t>
                  </w:r>
                </w:p>
              </w:tc>
              <w:tc>
                <w:tcPr>
                  <w:tcW w:w="980" w:type="dxa"/>
                  <w:vAlign w:val="center"/>
                </w:tcPr>
                <w:p w14:paraId="1478F94D">
                  <w:pPr>
                    <w:widowControl/>
                    <w:jc w:val="center"/>
                    <w:rPr>
                      <w:rFonts w:hint="eastAsia" w:ascii="Times New Roman" w:hAnsi="Times New Roman" w:eastAsia="宋体" w:cs="Times New Roman"/>
                      <w:snapToGrid w:val="0"/>
                      <w:color w:val="auto"/>
                      <w:kern w:val="44"/>
                      <w:sz w:val="21"/>
                      <w:szCs w:val="21"/>
                      <w:highlight w:val="none"/>
                      <w:lang w:val="en-US" w:eastAsia="zh-CN" w:bidi="ar-SA"/>
                    </w:rPr>
                  </w:pPr>
                  <w:r>
                    <w:rPr>
                      <w:rFonts w:hint="eastAsia" w:cs="Times New Roman"/>
                      <w:snapToGrid w:val="0"/>
                      <w:color w:val="auto"/>
                      <w:kern w:val="44"/>
                      <w:sz w:val="21"/>
                      <w:szCs w:val="21"/>
                      <w:highlight w:val="none"/>
                      <w:lang w:val="en-US" w:eastAsia="zh-CN"/>
                    </w:rPr>
                    <w:t>东侧</w:t>
                  </w:r>
                </w:p>
              </w:tc>
              <w:tc>
                <w:tcPr>
                  <w:tcW w:w="1420" w:type="dxa"/>
                  <w:vAlign w:val="center"/>
                </w:tcPr>
                <w:p w14:paraId="3D751D87">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23m</w:t>
                  </w:r>
                </w:p>
              </w:tc>
              <w:tc>
                <w:tcPr>
                  <w:tcW w:w="949" w:type="dxa"/>
                  <w:vAlign w:val="center"/>
                </w:tcPr>
                <w:p w14:paraId="3900CD07">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居民区</w:t>
                  </w:r>
                </w:p>
              </w:tc>
              <w:tc>
                <w:tcPr>
                  <w:tcW w:w="1593" w:type="dxa"/>
                  <w:vAlign w:val="center"/>
                </w:tcPr>
                <w:p w14:paraId="270AB037">
                  <w:pPr>
                    <w:keepNext w:val="0"/>
                    <w:keepLines w:val="0"/>
                    <w:pageBreakBefore w:val="0"/>
                    <w:widowControl/>
                    <w:kinsoku/>
                    <w:wordWrap w:val="0"/>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44"/>
                      <w:sz w:val="21"/>
                      <w:szCs w:val="21"/>
                      <w:highlight w:val="none"/>
                    </w:rPr>
                  </w:pPr>
                  <w:r>
                    <w:rPr>
                      <w:rFonts w:hint="default" w:ascii="Times New Roman" w:hAnsi="Times New Roman" w:eastAsia="宋体" w:cs="Times New Roman"/>
                      <w:snapToGrid w:val="0"/>
                      <w:color w:val="auto"/>
                      <w:kern w:val="44"/>
                      <w:sz w:val="21"/>
                      <w:szCs w:val="21"/>
                      <w:highlight w:val="none"/>
                    </w:rPr>
                    <w:t>《声环境质量标准》（GB3096-2008）2类标准</w:t>
                  </w:r>
                </w:p>
              </w:tc>
            </w:tr>
            <w:tr w14:paraId="52FD26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665" w:type="dxa"/>
                  <w:vAlign w:val="center"/>
                </w:tcPr>
                <w:p w14:paraId="4321F2DB">
                  <w:pPr>
                    <w:widowControl/>
                    <w:jc w:val="center"/>
                    <w:rPr>
                      <w:rFonts w:hint="eastAsia" w:ascii="Times New Roman" w:hAnsi="Times New Roman" w:eastAsia="宋体" w:cs="Times New Roman"/>
                      <w:bCs/>
                      <w:color w:val="auto"/>
                      <w:kern w:val="0"/>
                      <w:sz w:val="21"/>
                      <w:szCs w:val="21"/>
                      <w:highlight w:val="none"/>
                      <w:lang w:val="en-US" w:eastAsia="zh-CN" w:bidi="ar-SA"/>
                    </w:rPr>
                  </w:pPr>
                  <w:r>
                    <w:rPr>
                      <w:rFonts w:hint="eastAsia" w:cs="Times New Roman"/>
                      <w:bCs/>
                      <w:color w:val="auto"/>
                      <w:kern w:val="0"/>
                      <w:sz w:val="21"/>
                      <w:szCs w:val="21"/>
                      <w:highlight w:val="none"/>
                      <w:lang w:val="en-US" w:eastAsia="zh-CN"/>
                    </w:rPr>
                    <w:t>3</w:t>
                  </w:r>
                </w:p>
              </w:tc>
              <w:tc>
                <w:tcPr>
                  <w:tcW w:w="1038" w:type="dxa"/>
                  <w:vAlign w:val="center"/>
                </w:tcPr>
                <w:p w14:paraId="2E836AE6">
                  <w:pPr>
                    <w:widowControl/>
                    <w:jc w:val="center"/>
                    <w:rPr>
                      <w:rFonts w:hint="eastAsia"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kern w:val="0"/>
                      <w:sz w:val="21"/>
                      <w:szCs w:val="21"/>
                      <w:highlight w:val="none"/>
                      <w:lang w:val="en-US" w:eastAsia="zh-CN"/>
                    </w:rPr>
                    <w:t>地下</w:t>
                  </w:r>
                  <w:r>
                    <w:rPr>
                      <w:rFonts w:hint="default" w:ascii="Times New Roman" w:hAnsi="Times New Roman" w:eastAsia="宋体" w:cs="Times New Roman"/>
                      <w:bCs/>
                      <w:color w:val="auto"/>
                      <w:kern w:val="0"/>
                      <w:sz w:val="21"/>
                      <w:szCs w:val="21"/>
                      <w:highlight w:val="none"/>
                    </w:rPr>
                    <w:t>水环境</w:t>
                  </w:r>
                </w:p>
              </w:tc>
              <w:tc>
                <w:tcPr>
                  <w:tcW w:w="6757" w:type="dxa"/>
                  <w:gridSpan w:val="5"/>
                  <w:vAlign w:val="center"/>
                </w:tcPr>
                <w:p w14:paraId="00F10A7E">
                  <w:pPr>
                    <w:widowControl/>
                    <w:jc w:val="both"/>
                    <w:rPr>
                      <w:rFonts w:hint="default" w:ascii="Times New Roman" w:hAnsi="Times New Roman" w:eastAsia="宋体" w:cs="Times New Roman"/>
                      <w:snapToGrid w:val="0"/>
                      <w:color w:val="auto"/>
                      <w:kern w:val="44"/>
                      <w:sz w:val="21"/>
                      <w:szCs w:val="21"/>
                      <w:highlight w:val="none"/>
                      <w:lang w:val="en-US" w:eastAsia="zh-CN" w:bidi="ar-SA"/>
                    </w:rPr>
                  </w:pPr>
                  <w:r>
                    <w:rPr>
                      <w:rFonts w:hint="default" w:ascii="Times New Roman" w:hAnsi="Times New Roman" w:eastAsia="宋体" w:cs="Times New Roman"/>
                      <w:snapToGrid w:val="0"/>
                      <w:color w:val="auto"/>
                      <w:kern w:val="44"/>
                      <w:sz w:val="21"/>
                      <w:szCs w:val="21"/>
                      <w:highlight w:val="none"/>
                      <w:lang w:val="en-US" w:eastAsia="zh-CN"/>
                    </w:rPr>
                    <w:t>项目所在区域厂界外500米范围内无地下水集中式饮用水水源和热水、矿泉水、泉水等特殊地下水资源。</w:t>
                  </w:r>
                </w:p>
              </w:tc>
            </w:tr>
            <w:tr w14:paraId="2162DE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665" w:type="dxa"/>
                  <w:vAlign w:val="center"/>
                </w:tcPr>
                <w:p w14:paraId="50C15985">
                  <w:pPr>
                    <w:widowControl/>
                    <w:jc w:val="center"/>
                    <w:rPr>
                      <w:rFonts w:hint="eastAsia" w:ascii="Times New Roman" w:hAnsi="Times New Roman" w:eastAsia="宋体" w:cs="Times New Roman"/>
                      <w:bCs/>
                      <w:color w:val="auto"/>
                      <w:kern w:val="0"/>
                      <w:sz w:val="21"/>
                      <w:szCs w:val="21"/>
                      <w:highlight w:val="none"/>
                      <w:lang w:eastAsia="zh-CN"/>
                    </w:rPr>
                  </w:pPr>
                  <w:r>
                    <w:rPr>
                      <w:rFonts w:hint="eastAsia" w:cs="Times New Roman"/>
                      <w:bCs/>
                      <w:color w:val="auto"/>
                      <w:kern w:val="0"/>
                      <w:sz w:val="21"/>
                      <w:szCs w:val="21"/>
                      <w:highlight w:val="none"/>
                      <w:lang w:val="en-US" w:eastAsia="zh-CN"/>
                    </w:rPr>
                    <w:t>4</w:t>
                  </w:r>
                </w:p>
              </w:tc>
              <w:tc>
                <w:tcPr>
                  <w:tcW w:w="1038" w:type="dxa"/>
                  <w:vAlign w:val="center"/>
                </w:tcPr>
                <w:p w14:paraId="6B13115D">
                  <w:pPr>
                    <w:widowControl/>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生态环境</w:t>
                  </w:r>
                </w:p>
              </w:tc>
              <w:tc>
                <w:tcPr>
                  <w:tcW w:w="6757" w:type="dxa"/>
                  <w:gridSpan w:val="5"/>
                  <w:vAlign w:val="center"/>
                </w:tcPr>
                <w:p w14:paraId="58177E9C">
                  <w:pPr>
                    <w:widowControl/>
                    <w:jc w:val="both"/>
                    <w:rPr>
                      <w:rFonts w:hint="default" w:ascii="Times New Roman" w:hAnsi="Times New Roman" w:eastAsia="宋体" w:cs="Times New Roman"/>
                      <w:snapToGrid w:val="0"/>
                      <w:color w:val="auto"/>
                      <w:kern w:val="44"/>
                      <w:sz w:val="21"/>
                      <w:szCs w:val="21"/>
                      <w:highlight w:val="none"/>
                      <w:lang w:val="en-US" w:eastAsia="zh-CN"/>
                    </w:rPr>
                  </w:pPr>
                  <w:r>
                    <w:rPr>
                      <w:rFonts w:hint="eastAsia"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lang w:val="en-US" w:eastAsia="zh-CN"/>
                    </w:rPr>
                    <w:t>位于</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REF 项目地址 \h  \* MERGEFORMAT </w:instrText>
                  </w:r>
                  <w:r>
                    <w:rPr>
                      <w:rFonts w:hint="default" w:ascii="Times New Roman" w:hAnsi="Times New Roman" w:eastAsia="宋体" w:cs="Times New Roman"/>
                      <w:color w:val="auto"/>
                      <w:sz w:val="21"/>
                      <w:szCs w:val="21"/>
                      <w:highlight w:val="none"/>
                    </w:rPr>
                    <w:fldChar w:fldCharType="separate"/>
                  </w:r>
                  <w:r>
                    <w:rPr>
                      <w:rFonts w:hint="eastAsia" w:cs="Times New Roman"/>
                      <w:color w:val="auto"/>
                      <w:sz w:val="21"/>
                      <w:szCs w:val="18"/>
                      <w:highlight w:val="none"/>
                      <w:lang w:eastAsia="zh-CN"/>
                    </w:rPr>
                    <w:t>福建省福州市晋安区玉井路99号蓝光公馆8#楼1层20商业（餐饮）</w:t>
                  </w:r>
                  <w:r>
                    <w:rPr>
                      <w:rFonts w:hint="default" w:ascii="Times New Roman" w:hAnsi="Times New Roman" w:eastAsia="宋体" w:cs="Times New Roman"/>
                      <w:color w:val="auto"/>
                      <w:sz w:val="21"/>
                      <w:szCs w:val="18"/>
                      <w:highlight w:val="none"/>
                    </w:rPr>
                    <w:fldChar w:fldCharType="end"/>
                  </w:r>
                  <w:r>
                    <w:rPr>
                      <w:rFonts w:hint="default" w:ascii="Times New Roman" w:hAnsi="Times New Roman" w:eastAsia="宋体" w:cs="Times New Roman"/>
                      <w:color w:val="auto"/>
                      <w:sz w:val="21"/>
                      <w:szCs w:val="18"/>
                      <w:highlight w:val="none"/>
                      <w:lang w:eastAsia="zh-CN"/>
                    </w:rPr>
                    <w:t>，</w:t>
                  </w:r>
                  <w:r>
                    <w:rPr>
                      <w:rFonts w:hint="default" w:ascii="Times New Roman" w:hAnsi="Times New Roman" w:eastAsia="宋体" w:cs="Times New Roman"/>
                      <w:color w:val="auto"/>
                      <w:sz w:val="21"/>
                      <w:szCs w:val="18"/>
                      <w:highlight w:val="none"/>
                      <w:lang w:val="en-US" w:eastAsia="zh-CN"/>
                    </w:rPr>
                    <w:t>用地属性属于商业用地，项目场地为已平整并硬化后的场地，周边生态环境主要为城市绿化带，</w:t>
                  </w:r>
                  <w:r>
                    <w:rPr>
                      <w:rFonts w:hint="eastAsia" w:cs="Times New Roman"/>
                      <w:color w:val="auto"/>
                      <w:sz w:val="21"/>
                      <w:szCs w:val="18"/>
                      <w:highlight w:val="none"/>
                      <w:lang w:val="en-US" w:eastAsia="zh-CN"/>
                    </w:rPr>
                    <w:t>项目</w:t>
                  </w:r>
                  <w:r>
                    <w:rPr>
                      <w:rFonts w:hint="default" w:ascii="Times New Roman" w:hAnsi="Times New Roman" w:eastAsia="宋体" w:cs="Times New Roman"/>
                      <w:color w:val="auto"/>
                      <w:sz w:val="21"/>
                      <w:szCs w:val="18"/>
                      <w:highlight w:val="none"/>
                      <w:lang w:val="en-US" w:eastAsia="zh-CN"/>
                    </w:rPr>
                    <w:t>无生态环境保护目标。</w:t>
                  </w:r>
                </w:p>
              </w:tc>
            </w:tr>
          </w:tbl>
          <w:p w14:paraId="701D4022">
            <w:pPr>
              <w:adjustRightInd w:val="0"/>
              <w:snapToGrid w:val="0"/>
              <w:jc w:val="center"/>
              <w:rPr>
                <w:rFonts w:hint="default" w:ascii="Times New Roman" w:hAnsi="Times New Roman" w:eastAsia="宋体" w:cs="Times New Roman"/>
                <w:color w:val="auto"/>
                <w:kern w:val="0"/>
                <w:szCs w:val="21"/>
                <w:highlight w:val="none"/>
              </w:rPr>
            </w:pPr>
          </w:p>
        </w:tc>
      </w:tr>
      <w:tr w14:paraId="26BDAA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1178" w:type="dxa"/>
            <w:tcMar>
              <w:left w:w="28" w:type="dxa"/>
              <w:right w:w="28" w:type="dxa"/>
            </w:tcMar>
            <w:vAlign w:val="center"/>
          </w:tcPr>
          <w:p w14:paraId="4549D666">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污染物排放控制标准</w:t>
            </w:r>
          </w:p>
        </w:tc>
        <w:tc>
          <w:tcPr>
            <w:tcW w:w="8689" w:type="dxa"/>
            <w:vAlign w:val="center"/>
          </w:tcPr>
          <w:p w14:paraId="744CC66F">
            <w:pPr>
              <w:pStyle w:val="3"/>
              <w:numPr>
                <w:ilvl w:val="1"/>
                <w:numId w:val="0"/>
              </w:numPr>
              <w:ind w:leftChars="0"/>
              <w:rPr>
                <w:rFonts w:hint="default" w:ascii="Times New Roman" w:hAnsi="Times New Roman" w:eastAsia="宋体" w:cs="Times New Roman"/>
                <w:color w:val="auto"/>
                <w:highlight w:val="none"/>
              </w:rPr>
            </w:pPr>
            <w:bookmarkStart w:id="71" w:name="_Toc22714"/>
            <w:bookmarkStart w:id="72" w:name="_Toc133251545"/>
            <w:bookmarkStart w:id="73" w:name="_Toc28021"/>
            <w:r>
              <w:rPr>
                <w:rFonts w:hint="eastAsia" w:ascii="Times New Roman" w:hAnsi="Times New Roman" w:eastAsia="宋体" w:cs="Times New Roman"/>
                <w:color w:val="auto"/>
                <w:highlight w:val="none"/>
                <w:lang w:val="en-US" w:eastAsia="zh-CN"/>
              </w:rPr>
              <w:t>3.9</w:t>
            </w:r>
            <w:r>
              <w:rPr>
                <w:rFonts w:hint="default" w:ascii="Times New Roman" w:hAnsi="Times New Roman" w:eastAsia="宋体" w:cs="Times New Roman"/>
                <w:color w:val="auto"/>
                <w:highlight w:val="none"/>
              </w:rPr>
              <w:t>污染物排放标准</w:t>
            </w:r>
            <w:bookmarkEnd w:id="71"/>
            <w:bookmarkEnd w:id="72"/>
            <w:bookmarkEnd w:id="73"/>
          </w:p>
          <w:p w14:paraId="0716F483">
            <w:pPr>
              <w:pStyle w:val="4"/>
              <w:numPr>
                <w:ilvl w:val="2"/>
                <w:numId w:val="0"/>
              </w:numPr>
              <w:ind w:left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3.9.1</w:t>
            </w:r>
            <w:r>
              <w:rPr>
                <w:rFonts w:hint="default" w:ascii="Times New Roman" w:hAnsi="Times New Roman" w:eastAsia="宋体" w:cs="Times New Roman"/>
                <w:color w:val="auto"/>
                <w:highlight w:val="none"/>
              </w:rPr>
              <w:t xml:space="preserve">水污染物排放标准 </w:t>
            </w:r>
          </w:p>
          <w:p w14:paraId="724F33E7">
            <w:pPr>
              <w:pStyle w:val="157"/>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废水主要是</w:t>
            </w:r>
            <w:r>
              <w:rPr>
                <w:rFonts w:hint="eastAsia" w:ascii="Times New Roman" w:hAnsi="Times New Roman" w:eastAsia="宋体" w:cs="Times New Roman"/>
                <w:color w:val="auto"/>
                <w:highlight w:val="none"/>
                <w:lang w:val="en-US" w:eastAsia="zh-CN"/>
              </w:rPr>
              <w:t>宠物医疗废水</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宠物美容废水、生活污水和实验（化验）废水（检验设备头道清洗废水作危废处理，不外排）</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eastAsia="zh-CN"/>
              </w:rPr>
              <w:t>项目</w:t>
            </w:r>
            <w:r>
              <w:rPr>
                <w:rFonts w:hint="eastAsia" w:ascii="Times New Roman" w:hAnsi="Times New Roman" w:eastAsia="宋体" w:cs="Times New Roman"/>
                <w:color w:val="auto"/>
                <w:highlight w:val="none"/>
                <w:lang w:val="en-US" w:eastAsia="zh-CN"/>
              </w:rPr>
              <w:t>宠物医疗废水</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宠物美容废水和第二、三道检验设备清洗废水</w:t>
            </w:r>
            <w:r>
              <w:rPr>
                <w:rFonts w:hint="default" w:ascii="Times New Roman" w:hAnsi="Times New Roman" w:eastAsia="宋体" w:cs="Times New Roman"/>
                <w:color w:val="auto"/>
                <w:highlight w:val="none"/>
              </w:rPr>
              <w:t>经配套的</w:t>
            </w:r>
            <w:r>
              <w:rPr>
                <w:rFonts w:hint="eastAsia" w:ascii="Times New Roman" w:hAnsi="Times New Roman" w:eastAsia="宋体" w:cs="Times New Roman"/>
                <w:color w:val="auto"/>
                <w:highlight w:val="none"/>
                <w:lang w:val="en-US" w:eastAsia="zh-CN"/>
              </w:rPr>
              <w:t>消毒设备消毒</w:t>
            </w:r>
            <w:r>
              <w:rPr>
                <w:rFonts w:hint="default" w:ascii="Times New Roman" w:hAnsi="Times New Roman" w:eastAsia="宋体" w:cs="Times New Roman"/>
                <w:color w:val="auto"/>
                <w:highlight w:val="none"/>
              </w:rPr>
              <w:t>后与生活污水</w:t>
            </w:r>
            <w:r>
              <w:rPr>
                <w:rFonts w:hint="eastAsia" w:ascii="Times New Roman" w:hAnsi="Times New Roman" w:eastAsia="宋体" w:cs="Times New Roman"/>
                <w:color w:val="auto"/>
                <w:highlight w:val="none"/>
                <w:lang w:val="en-US" w:eastAsia="zh-CN"/>
              </w:rPr>
              <w:t>一并排放</w:t>
            </w:r>
            <w:r>
              <w:rPr>
                <w:rFonts w:hint="default" w:ascii="Times New Roman" w:hAnsi="Times New Roman" w:eastAsia="宋体" w:cs="Times New Roman"/>
                <w:color w:val="auto"/>
                <w:highlight w:val="none"/>
              </w:rPr>
              <w:t>化粪池</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处理达到《污水综合排放标准》</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GB8978-1996）表4中的</w:t>
            </w:r>
            <w:r>
              <w:rPr>
                <w:rFonts w:hint="default" w:ascii="Times New Roman" w:hAnsi="Times New Roman" w:eastAsia="宋体" w:cs="Times New Roman"/>
                <w:i w:val="0"/>
                <w:iCs w:val="0"/>
                <w:color w:val="auto"/>
                <w:highlight w:val="none"/>
              </w:rPr>
              <w:t>三级排放</w:t>
            </w:r>
            <w:r>
              <w:rPr>
                <w:rFonts w:hint="default" w:ascii="Times New Roman" w:hAnsi="Times New Roman" w:eastAsia="宋体" w:cs="Times New Roman"/>
                <w:color w:val="auto"/>
                <w:highlight w:val="none"/>
              </w:rPr>
              <w:t>标准</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其中</w:t>
            </w:r>
            <w:r>
              <w:rPr>
                <w:rFonts w:hint="default" w:ascii="Times New Roman" w:hAnsi="Times New Roman" w:eastAsia="宋体" w:cs="Times New Roman"/>
                <w:color w:val="auto"/>
                <w:highlight w:val="none"/>
              </w:rPr>
              <w:t>氨氮排放标准参考《污水排入城镇下水道水质标准》</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GB/T31962-2015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B等级标准限值）</w:t>
            </w:r>
            <w:r>
              <w:rPr>
                <w:rFonts w:hint="eastAsia" w:ascii="Times New Roman" w:hAnsi="Times New Roman" w:eastAsia="宋体" w:cs="Times New Roman"/>
                <w:color w:val="auto"/>
                <w:highlight w:val="none"/>
                <w:lang w:val="en-US" w:eastAsia="zh-CN"/>
              </w:rPr>
              <w:t>经</w:t>
            </w:r>
            <w:r>
              <w:rPr>
                <w:rFonts w:hint="default" w:ascii="Times New Roman" w:hAnsi="Times New Roman" w:eastAsia="宋体" w:cs="Times New Roman"/>
                <w:color w:val="auto"/>
                <w:highlight w:val="none"/>
              </w:rPr>
              <w:t>市政污水管网统一纳入</w:t>
            </w:r>
            <w:r>
              <w:rPr>
                <w:rFonts w:hint="eastAsia" w:ascii="Times New Roman" w:hAnsi="Times New Roman" w:eastAsia="宋体" w:cs="Times New Roman"/>
                <w:color w:val="auto"/>
                <w:highlight w:val="none"/>
                <w:lang w:val="en-US" w:eastAsia="zh-CN"/>
              </w:rPr>
              <w:t>洋里污水处理厂</w:t>
            </w:r>
            <w:r>
              <w:rPr>
                <w:rFonts w:hint="default" w:ascii="Times New Roman" w:hAnsi="Times New Roman" w:eastAsia="宋体" w:cs="Times New Roman"/>
                <w:color w:val="auto"/>
                <w:highlight w:val="none"/>
              </w:rPr>
              <w:t>。</w:t>
            </w:r>
          </w:p>
          <w:p w14:paraId="36472AF1">
            <w:pPr>
              <w:pStyle w:val="198"/>
              <w:keepNext w:val="0"/>
              <w:keepLines w:val="0"/>
              <w:pageBreakBefore w:val="0"/>
              <w:widowControl w:val="0"/>
              <w:kinsoku/>
              <w:wordWrap/>
              <w:overflowPunct/>
              <w:topLinePunct w:val="0"/>
              <w:autoSpaceDE/>
              <w:autoSpaceDN/>
              <w:bidi w:val="0"/>
              <w:adjustRightInd/>
              <w:snapToGrid/>
              <w:spacing w:line="240" w:lineRule="auto"/>
              <w:textAlignment w:val="auto"/>
              <w:rPr>
                <w:color w:val="auto"/>
                <w:sz w:val="24"/>
                <w:szCs w:val="24"/>
                <w:highlight w:val="none"/>
              </w:rPr>
            </w:pPr>
            <w:r>
              <w:rPr>
                <w:rFonts w:hint="default" w:ascii="Times New Roman" w:hAnsi="Times New Roman" w:eastAsia="宋体" w:cs="Times New Roman"/>
                <w:bCs/>
                <w:color w:val="auto"/>
                <w:sz w:val="24"/>
                <w:szCs w:val="24"/>
                <w:highlight w:val="none"/>
              </w:rPr>
              <w:t>表3-</w:t>
            </w:r>
            <w:r>
              <w:rPr>
                <w:rFonts w:hint="eastAsia" w:ascii="Times New Roman" w:hAnsi="Times New Roman" w:cs="Times New Roman"/>
                <w:bCs/>
                <w:color w:val="auto"/>
                <w:sz w:val="24"/>
                <w:szCs w:val="24"/>
                <w:highlight w:val="none"/>
                <w:lang w:val="en-US" w:eastAsia="zh-CN"/>
              </w:rPr>
              <w:t>9</w:t>
            </w:r>
            <w:r>
              <w:rPr>
                <w:rFonts w:hint="default" w:ascii="Times New Roman" w:hAnsi="Times New Roman" w:eastAsia="宋体" w:cs="Times New Roman"/>
                <w:bCs/>
                <w:color w:val="auto"/>
                <w:sz w:val="24"/>
                <w:szCs w:val="24"/>
                <w:highlight w:val="none"/>
              </w:rPr>
              <w:t xml:space="preserve">  </w:t>
            </w:r>
            <w:r>
              <w:rPr>
                <w:rFonts w:hint="eastAsia" w:ascii="Times New Roman" w:hAnsi="Times New Roman" w:cs="Times New Roman"/>
                <w:bCs/>
                <w:color w:val="auto"/>
                <w:sz w:val="24"/>
                <w:szCs w:val="24"/>
                <w:highlight w:val="none"/>
                <w:lang w:val="en-US" w:eastAsia="zh-CN"/>
              </w:rPr>
              <w:t>项目污水</w:t>
            </w:r>
            <w:r>
              <w:rPr>
                <w:rFonts w:hint="default" w:ascii="Times New Roman" w:hAnsi="Times New Roman" w:eastAsia="宋体" w:cs="Times New Roman"/>
                <w:bCs/>
                <w:color w:val="auto"/>
                <w:sz w:val="24"/>
                <w:szCs w:val="24"/>
                <w:highlight w:val="none"/>
                <w:lang w:val="en-US" w:eastAsia="zh-CN"/>
              </w:rPr>
              <w:t>排放标准</w:t>
            </w:r>
          </w:p>
          <w:tbl>
            <w:tblPr>
              <w:tblStyle w:val="51"/>
              <w:tblW w:w="8122" w:type="dxa"/>
              <w:tblInd w:w="15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39"/>
              <w:gridCol w:w="868"/>
              <w:gridCol w:w="2743"/>
              <w:gridCol w:w="1972"/>
            </w:tblGrid>
            <w:tr w14:paraId="2F1BA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tcBorders>
                    <w:top w:val="single" w:color="auto" w:sz="12" w:space="0"/>
                    <w:left w:val="nil"/>
                    <w:bottom w:val="single" w:color="auto" w:sz="6" w:space="0"/>
                  </w:tcBorders>
                </w:tcPr>
                <w:p w14:paraId="2D0AA2DA">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执行标准</w:t>
                  </w:r>
                </w:p>
              </w:tc>
              <w:tc>
                <w:tcPr>
                  <w:tcW w:w="868" w:type="dxa"/>
                  <w:tcBorders>
                    <w:top w:val="single" w:color="auto" w:sz="12" w:space="0"/>
                    <w:bottom w:val="single" w:color="auto" w:sz="6" w:space="0"/>
                  </w:tcBorders>
                  <w:vAlign w:val="top"/>
                </w:tcPr>
                <w:p w14:paraId="21D03A10">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序号</w:t>
                  </w:r>
                </w:p>
              </w:tc>
              <w:tc>
                <w:tcPr>
                  <w:tcW w:w="2743" w:type="dxa"/>
                  <w:tcBorders>
                    <w:top w:val="single" w:color="auto" w:sz="12" w:space="0"/>
                    <w:bottom w:val="single" w:color="auto" w:sz="6" w:space="0"/>
                  </w:tcBorders>
                  <w:vAlign w:val="top"/>
                </w:tcPr>
                <w:p w14:paraId="757E80B0">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控制项目</w:t>
                  </w:r>
                </w:p>
              </w:tc>
              <w:tc>
                <w:tcPr>
                  <w:tcW w:w="1972" w:type="dxa"/>
                  <w:tcBorders>
                    <w:top w:val="single" w:color="auto" w:sz="12" w:space="0"/>
                    <w:bottom w:val="single" w:color="auto" w:sz="6" w:space="0"/>
                    <w:right w:val="nil"/>
                  </w:tcBorders>
                </w:tcPr>
                <w:p w14:paraId="6EC601CB">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排放标准</w:t>
                  </w:r>
                </w:p>
              </w:tc>
            </w:tr>
            <w:tr w14:paraId="57B5F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restart"/>
                  <w:tcBorders>
                    <w:top w:val="single" w:color="auto" w:sz="6" w:space="0"/>
                    <w:left w:val="nil"/>
                  </w:tcBorders>
                </w:tcPr>
                <w:p w14:paraId="56AD59FA">
                  <w:pPr>
                    <w:pStyle w:val="198"/>
                    <w:keepNext w:val="0"/>
                    <w:keepLines w:val="0"/>
                    <w:pageBreakBefore w:val="0"/>
                    <w:widowControl w:val="0"/>
                    <w:kinsoku/>
                    <w:wordWrap/>
                    <w:overflowPunct/>
                    <w:topLinePunct w:val="0"/>
                    <w:autoSpaceDE/>
                    <w:autoSpaceDN/>
                    <w:bidi w:val="0"/>
                    <w:adjustRightInd/>
                    <w:snapToGrid/>
                    <w:spacing w:before="1102" w:beforeLines="300" w:line="340" w:lineRule="exact"/>
                    <w:textAlignment w:val="auto"/>
                    <w:rPr>
                      <w:rFonts w:hint="eastAsia" w:ascii="Times New Roman" w:hAnsi="Times New Roman"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《污水综合排放标准》（GB8978-1996）表4三级标准</w:t>
                  </w:r>
                </w:p>
              </w:tc>
              <w:tc>
                <w:tcPr>
                  <w:tcW w:w="868" w:type="dxa"/>
                  <w:tcBorders>
                    <w:top w:val="single" w:color="auto" w:sz="6" w:space="0"/>
                    <w:bottom w:val="single" w:color="auto" w:sz="6" w:space="0"/>
                  </w:tcBorders>
                  <w:vAlign w:val="top"/>
                </w:tcPr>
                <w:p w14:paraId="1AE43D49">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lang w:val="en-US" w:eastAsia="zh-CN"/>
                    </w:rPr>
                    <w:t>1</w:t>
                  </w:r>
                </w:p>
              </w:tc>
              <w:tc>
                <w:tcPr>
                  <w:tcW w:w="2743" w:type="dxa"/>
                  <w:tcBorders>
                    <w:top w:val="single" w:color="auto" w:sz="6" w:space="0"/>
                    <w:bottom w:val="single" w:color="auto" w:sz="6" w:space="0"/>
                  </w:tcBorders>
                  <w:vAlign w:val="top"/>
                </w:tcPr>
                <w:p w14:paraId="40CCBF4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pH（无量纲）</w:t>
                  </w:r>
                </w:p>
              </w:tc>
              <w:tc>
                <w:tcPr>
                  <w:tcW w:w="1972" w:type="dxa"/>
                  <w:tcBorders>
                    <w:top w:val="single" w:color="auto" w:sz="6" w:space="0"/>
                    <w:bottom w:val="single" w:color="auto" w:sz="6" w:space="0"/>
                    <w:right w:val="nil"/>
                  </w:tcBorders>
                  <w:vAlign w:val="top"/>
                </w:tcPr>
                <w:p w14:paraId="2F7CA44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6-9</w:t>
                  </w:r>
                </w:p>
              </w:tc>
            </w:tr>
            <w:tr w14:paraId="39345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left w:val="nil"/>
                  </w:tcBorders>
                </w:tcPr>
                <w:p w14:paraId="3E879E23">
                  <w:pPr>
                    <w:pStyle w:val="198"/>
                    <w:keepNext w:val="0"/>
                    <w:keepLines w:val="0"/>
                    <w:pageBreakBefore w:val="0"/>
                    <w:widowControl w:val="0"/>
                    <w:kinsoku/>
                    <w:wordWrap/>
                    <w:overflowPunct/>
                    <w:topLinePunct w:val="0"/>
                    <w:autoSpaceDE/>
                    <w:autoSpaceDN/>
                    <w:bidi w:val="0"/>
                    <w:adjustRightInd/>
                    <w:snapToGrid/>
                    <w:spacing w:before="1102" w:beforeLines="300" w:line="340" w:lineRule="exact"/>
                    <w:textAlignment w:val="auto"/>
                    <w:rPr>
                      <w:rFonts w:hint="eastAsia" w:ascii="Times New Roman" w:hAnsi="Times New Roman" w:cs="Times New Roman"/>
                      <w:b w:val="0"/>
                      <w:bCs w:val="0"/>
                      <w:color w:val="auto"/>
                      <w:sz w:val="21"/>
                      <w:szCs w:val="21"/>
                      <w:highlight w:val="none"/>
                      <w:vertAlign w:val="baseline"/>
                      <w:lang w:val="en-US" w:eastAsia="zh-CN"/>
                    </w:rPr>
                  </w:pPr>
                </w:p>
              </w:tc>
              <w:tc>
                <w:tcPr>
                  <w:tcW w:w="868" w:type="dxa"/>
                  <w:tcBorders>
                    <w:top w:val="single" w:color="auto" w:sz="6" w:space="0"/>
                    <w:left w:val="single" w:color="auto" w:sz="6" w:space="0"/>
                    <w:bottom w:val="single" w:color="auto" w:sz="6" w:space="0"/>
                    <w:right w:val="single" w:color="auto" w:sz="6" w:space="0"/>
                  </w:tcBorders>
                  <w:vAlign w:val="top"/>
                </w:tcPr>
                <w:p w14:paraId="66BFAD04">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lang w:val="en-US" w:eastAsia="zh-CN"/>
                    </w:rPr>
                    <w:t>2</w:t>
                  </w:r>
                </w:p>
              </w:tc>
              <w:tc>
                <w:tcPr>
                  <w:tcW w:w="2743" w:type="dxa"/>
                  <w:tcBorders>
                    <w:top w:val="single" w:color="auto" w:sz="6" w:space="0"/>
                    <w:left w:val="single" w:color="auto" w:sz="6" w:space="0"/>
                    <w:bottom w:val="single" w:color="auto" w:sz="6" w:space="0"/>
                    <w:right w:val="single" w:color="auto" w:sz="6" w:space="0"/>
                  </w:tcBorders>
                  <w:vAlign w:val="top"/>
                </w:tcPr>
                <w:p w14:paraId="7F35E40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COD</w:t>
                  </w:r>
                  <w:r>
                    <w:rPr>
                      <w:rFonts w:hint="eastAsia" w:cs="Times New Roman"/>
                      <w:color w:val="auto"/>
                      <w:szCs w:val="24"/>
                      <w:highlight w:val="none"/>
                      <w:u w:val="none"/>
                      <w:vertAlign w:val="subscript"/>
                      <w:lang w:val="en-US" w:eastAsia="zh-CN"/>
                    </w:rPr>
                    <w:t>Cr</w:t>
                  </w:r>
                  <w:r>
                    <w:rPr>
                      <w:rFonts w:hint="default" w:ascii="Times New Roman" w:hAnsi="Times New Roman" w:eastAsia="宋体" w:cs="Times New Roman"/>
                      <w:color w:val="auto"/>
                      <w:sz w:val="21"/>
                      <w:szCs w:val="21"/>
                      <w:highlight w:val="none"/>
                      <w:vertAlign w:val="baseline"/>
                      <w:lang w:val="en-US" w:eastAsia="zh-CN"/>
                    </w:rPr>
                    <w:t>/（mg/L）</w:t>
                  </w:r>
                </w:p>
              </w:tc>
              <w:tc>
                <w:tcPr>
                  <w:tcW w:w="1972" w:type="dxa"/>
                  <w:tcBorders>
                    <w:top w:val="single" w:color="auto" w:sz="6" w:space="0"/>
                    <w:left w:val="single" w:color="auto" w:sz="6" w:space="0"/>
                    <w:bottom w:val="single" w:color="auto" w:sz="6" w:space="0"/>
                    <w:right w:val="nil"/>
                  </w:tcBorders>
                  <w:vAlign w:val="top"/>
                </w:tcPr>
                <w:p w14:paraId="7BC2CA3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500</w:t>
                  </w:r>
                </w:p>
              </w:tc>
            </w:tr>
            <w:tr w14:paraId="26598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left w:val="nil"/>
                  </w:tcBorders>
                </w:tcPr>
                <w:p w14:paraId="481325D6">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cs="Times New Roman"/>
                      <w:b w:val="0"/>
                      <w:bCs w:val="0"/>
                      <w:color w:val="auto"/>
                      <w:sz w:val="21"/>
                      <w:szCs w:val="21"/>
                      <w:highlight w:val="none"/>
                      <w:vertAlign w:val="baseline"/>
                      <w:lang w:val="en-US" w:eastAsia="zh-CN"/>
                    </w:rPr>
                  </w:pPr>
                </w:p>
              </w:tc>
              <w:tc>
                <w:tcPr>
                  <w:tcW w:w="868" w:type="dxa"/>
                  <w:tcBorders>
                    <w:top w:val="single" w:color="auto" w:sz="6" w:space="0"/>
                    <w:left w:val="single" w:color="auto" w:sz="6" w:space="0"/>
                    <w:bottom w:val="single" w:color="auto" w:sz="6" w:space="0"/>
                    <w:right w:val="single" w:color="auto" w:sz="6" w:space="0"/>
                  </w:tcBorders>
                  <w:vAlign w:val="top"/>
                </w:tcPr>
                <w:p w14:paraId="6FCD8565">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lang w:val="en-US" w:eastAsia="zh-CN"/>
                    </w:rPr>
                    <w:t>3</w:t>
                  </w:r>
                </w:p>
              </w:tc>
              <w:tc>
                <w:tcPr>
                  <w:tcW w:w="2743" w:type="dxa"/>
                  <w:tcBorders>
                    <w:top w:val="single" w:color="auto" w:sz="6" w:space="0"/>
                    <w:left w:val="single" w:color="auto" w:sz="6" w:space="0"/>
                    <w:bottom w:val="single" w:color="auto" w:sz="6" w:space="0"/>
                    <w:right w:val="single" w:color="auto" w:sz="6" w:space="0"/>
                  </w:tcBorders>
                  <w:vAlign w:val="top"/>
                </w:tcPr>
                <w:p w14:paraId="3DADE27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BOD</w:t>
                  </w:r>
                  <w:r>
                    <w:rPr>
                      <w:rFonts w:hint="default" w:ascii="Times New Roman" w:hAnsi="Times New Roman" w:eastAsia="宋体" w:cs="Times New Roman"/>
                      <w:color w:val="auto"/>
                      <w:sz w:val="21"/>
                      <w:szCs w:val="21"/>
                      <w:highlight w:val="none"/>
                      <w:vertAlign w:val="subscript"/>
                      <w:lang w:val="en-US" w:eastAsia="zh-CN"/>
                    </w:rPr>
                    <w:t>5</w:t>
                  </w:r>
                  <w:r>
                    <w:rPr>
                      <w:rFonts w:hint="default" w:ascii="Times New Roman" w:hAnsi="Times New Roman" w:eastAsia="宋体" w:cs="Times New Roman"/>
                      <w:color w:val="auto"/>
                      <w:sz w:val="21"/>
                      <w:szCs w:val="21"/>
                      <w:highlight w:val="none"/>
                      <w:vertAlign w:val="baseline"/>
                      <w:lang w:val="en-US" w:eastAsia="zh-CN"/>
                    </w:rPr>
                    <w:t>/（mg/L）</w:t>
                  </w:r>
                </w:p>
              </w:tc>
              <w:tc>
                <w:tcPr>
                  <w:tcW w:w="1972" w:type="dxa"/>
                  <w:tcBorders>
                    <w:top w:val="single" w:color="auto" w:sz="6" w:space="0"/>
                    <w:left w:val="single" w:color="auto" w:sz="6" w:space="0"/>
                    <w:bottom w:val="single" w:color="auto" w:sz="6" w:space="0"/>
                    <w:right w:val="nil"/>
                  </w:tcBorders>
                  <w:vAlign w:val="top"/>
                </w:tcPr>
                <w:p w14:paraId="4727262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300</w:t>
                  </w:r>
                </w:p>
              </w:tc>
            </w:tr>
            <w:tr w14:paraId="456EC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left w:val="nil"/>
                  </w:tcBorders>
                </w:tcPr>
                <w:p w14:paraId="7383D0AD">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cs="Times New Roman"/>
                      <w:b w:val="0"/>
                      <w:bCs w:val="0"/>
                      <w:color w:val="auto"/>
                      <w:sz w:val="21"/>
                      <w:szCs w:val="21"/>
                      <w:highlight w:val="none"/>
                      <w:vertAlign w:val="baseline"/>
                      <w:lang w:val="en-US" w:eastAsia="zh-CN"/>
                    </w:rPr>
                  </w:pPr>
                </w:p>
              </w:tc>
              <w:tc>
                <w:tcPr>
                  <w:tcW w:w="868" w:type="dxa"/>
                  <w:tcBorders>
                    <w:top w:val="single" w:color="auto" w:sz="6" w:space="0"/>
                    <w:left w:val="single" w:color="auto" w:sz="6" w:space="0"/>
                    <w:bottom w:val="single" w:color="auto" w:sz="6" w:space="0"/>
                    <w:right w:val="single" w:color="auto" w:sz="6" w:space="0"/>
                  </w:tcBorders>
                  <w:vAlign w:val="top"/>
                </w:tcPr>
                <w:p w14:paraId="77D1B796">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4</w:t>
                  </w:r>
                </w:p>
              </w:tc>
              <w:tc>
                <w:tcPr>
                  <w:tcW w:w="2743" w:type="dxa"/>
                  <w:tcBorders>
                    <w:top w:val="single" w:color="auto" w:sz="6" w:space="0"/>
                    <w:left w:val="single" w:color="auto" w:sz="6" w:space="0"/>
                    <w:bottom w:val="single" w:color="auto" w:sz="6" w:space="0"/>
                    <w:right w:val="single" w:color="auto" w:sz="6" w:space="0"/>
                  </w:tcBorders>
                  <w:vAlign w:val="top"/>
                </w:tcPr>
                <w:p w14:paraId="3B96FB7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SS/（mg/L）</w:t>
                  </w:r>
                </w:p>
              </w:tc>
              <w:tc>
                <w:tcPr>
                  <w:tcW w:w="1972" w:type="dxa"/>
                  <w:tcBorders>
                    <w:top w:val="single" w:color="auto" w:sz="6" w:space="0"/>
                    <w:left w:val="single" w:color="auto" w:sz="6" w:space="0"/>
                    <w:bottom w:val="single" w:color="auto" w:sz="6" w:space="0"/>
                    <w:right w:val="nil"/>
                  </w:tcBorders>
                  <w:vAlign w:val="top"/>
                </w:tcPr>
                <w:p w14:paraId="4A34FD7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400</w:t>
                  </w:r>
                </w:p>
              </w:tc>
            </w:tr>
            <w:tr w14:paraId="7BA4E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left w:val="nil"/>
                  </w:tcBorders>
                </w:tcPr>
                <w:p w14:paraId="25DC87A5">
                  <w:pPr>
                    <w:pStyle w:val="198"/>
                    <w:keepNext w:val="0"/>
                    <w:keepLines w:val="0"/>
                    <w:pageBreakBefore w:val="0"/>
                    <w:widowControl w:val="0"/>
                    <w:kinsoku/>
                    <w:wordWrap/>
                    <w:overflowPunct/>
                    <w:topLinePunct w:val="0"/>
                    <w:autoSpaceDE/>
                    <w:autoSpaceDN/>
                    <w:bidi w:val="0"/>
                    <w:adjustRightInd/>
                    <w:snapToGrid/>
                    <w:spacing w:before="368" w:beforeLines="100" w:line="340" w:lineRule="exact"/>
                    <w:textAlignment w:val="auto"/>
                    <w:rPr>
                      <w:rFonts w:hint="eastAsia" w:ascii="Times New Roman" w:hAnsi="Times New Roman" w:eastAsia="宋体" w:cs="Times New Roman"/>
                      <w:b w:val="0"/>
                      <w:bCs w:val="0"/>
                      <w:color w:val="auto"/>
                      <w:sz w:val="21"/>
                      <w:szCs w:val="21"/>
                      <w:highlight w:val="none"/>
                      <w:lang w:eastAsia="zh-CN"/>
                    </w:rPr>
                  </w:pPr>
                </w:p>
              </w:tc>
              <w:tc>
                <w:tcPr>
                  <w:tcW w:w="868" w:type="dxa"/>
                  <w:tcBorders>
                    <w:top w:val="single" w:color="auto" w:sz="6" w:space="0"/>
                    <w:left w:val="single" w:color="auto" w:sz="6" w:space="0"/>
                    <w:bottom w:val="single" w:color="auto" w:sz="6" w:space="0"/>
                    <w:right w:val="single" w:color="auto" w:sz="6" w:space="0"/>
                  </w:tcBorders>
                  <w:vAlign w:val="top"/>
                </w:tcPr>
                <w:p w14:paraId="314A9D4F">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5</w:t>
                  </w:r>
                </w:p>
              </w:tc>
              <w:tc>
                <w:tcPr>
                  <w:tcW w:w="2743" w:type="dxa"/>
                  <w:tcBorders>
                    <w:top w:val="single" w:color="auto" w:sz="6" w:space="0"/>
                    <w:left w:val="single" w:color="auto" w:sz="6" w:space="0"/>
                    <w:bottom w:val="single" w:color="auto" w:sz="6" w:space="0"/>
                    <w:right w:val="single" w:color="auto" w:sz="6" w:space="0"/>
                  </w:tcBorders>
                  <w:vAlign w:val="top"/>
                </w:tcPr>
                <w:p w14:paraId="500EB01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氨氮*/（mg/L）</w:t>
                  </w:r>
                </w:p>
              </w:tc>
              <w:tc>
                <w:tcPr>
                  <w:tcW w:w="1972" w:type="dxa"/>
                  <w:tcBorders>
                    <w:top w:val="single" w:color="auto" w:sz="6" w:space="0"/>
                    <w:left w:val="single" w:color="auto" w:sz="6" w:space="0"/>
                    <w:bottom w:val="single" w:color="auto" w:sz="6" w:space="0"/>
                    <w:right w:val="nil"/>
                  </w:tcBorders>
                  <w:vAlign w:val="top"/>
                </w:tcPr>
                <w:p w14:paraId="03F2227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45</w:t>
                  </w:r>
                </w:p>
              </w:tc>
            </w:tr>
            <w:tr w14:paraId="0C3CE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trPr>
              <w:tc>
                <w:tcPr>
                  <w:tcW w:w="2539" w:type="dxa"/>
                  <w:vMerge w:val="continue"/>
                  <w:tcBorders>
                    <w:left w:val="nil"/>
                  </w:tcBorders>
                </w:tcPr>
                <w:p w14:paraId="364F4D62">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sz w:val="21"/>
                      <w:szCs w:val="21"/>
                      <w:highlight w:val="none"/>
                      <w:vertAlign w:val="baseline"/>
                      <w:lang w:eastAsia="zh-CN"/>
                    </w:rPr>
                  </w:pPr>
                </w:p>
              </w:tc>
              <w:tc>
                <w:tcPr>
                  <w:tcW w:w="868" w:type="dxa"/>
                  <w:tcBorders>
                    <w:top w:val="single" w:color="auto" w:sz="6" w:space="0"/>
                    <w:left w:val="single" w:color="auto" w:sz="6" w:space="0"/>
                    <w:bottom w:val="single" w:color="auto" w:sz="6" w:space="0"/>
                    <w:right w:val="single" w:color="auto" w:sz="6" w:space="0"/>
                  </w:tcBorders>
                  <w:vAlign w:val="top"/>
                </w:tcPr>
                <w:p w14:paraId="46DC8D56">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6</w:t>
                  </w:r>
                </w:p>
              </w:tc>
              <w:tc>
                <w:tcPr>
                  <w:tcW w:w="2743" w:type="dxa"/>
                  <w:tcBorders>
                    <w:top w:val="single" w:color="auto" w:sz="6" w:space="0"/>
                    <w:left w:val="single" w:color="auto" w:sz="6" w:space="0"/>
                    <w:bottom w:val="single" w:color="auto" w:sz="6" w:space="0"/>
                    <w:right w:val="single" w:color="auto" w:sz="6" w:space="0"/>
                  </w:tcBorders>
                  <w:vAlign w:val="top"/>
                </w:tcPr>
                <w:p w14:paraId="36007EB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总氮/（mg/L）</w:t>
                  </w:r>
                </w:p>
              </w:tc>
              <w:tc>
                <w:tcPr>
                  <w:tcW w:w="1972" w:type="dxa"/>
                  <w:tcBorders>
                    <w:top w:val="single" w:color="auto" w:sz="6" w:space="0"/>
                    <w:left w:val="single" w:color="auto" w:sz="6" w:space="0"/>
                    <w:bottom w:val="single" w:color="auto" w:sz="6" w:space="0"/>
                    <w:right w:val="nil"/>
                  </w:tcBorders>
                  <w:vAlign w:val="top"/>
                </w:tcPr>
                <w:p w14:paraId="7E6A68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w:t>
                  </w:r>
                </w:p>
              </w:tc>
            </w:tr>
            <w:tr w14:paraId="474A4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left w:val="nil"/>
                  </w:tcBorders>
                </w:tcPr>
                <w:p w14:paraId="572FFA16">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sz w:val="21"/>
                      <w:szCs w:val="21"/>
                      <w:highlight w:val="none"/>
                      <w:vertAlign w:val="baseline"/>
                      <w:lang w:eastAsia="zh-CN"/>
                    </w:rPr>
                  </w:pPr>
                </w:p>
              </w:tc>
              <w:tc>
                <w:tcPr>
                  <w:tcW w:w="868" w:type="dxa"/>
                  <w:tcBorders>
                    <w:top w:val="single" w:color="auto" w:sz="6" w:space="0"/>
                    <w:left w:val="single" w:color="auto" w:sz="6" w:space="0"/>
                    <w:bottom w:val="single" w:color="auto" w:sz="6" w:space="0"/>
                    <w:right w:val="single" w:color="auto" w:sz="6" w:space="0"/>
                  </w:tcBorders>
                  <w:vAlign w:val="top"/>
                </w:tcPr>
                <w:p w14:paraId="30A98903">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7</w:t>
                  </w:r>
                </w:p>
              </w:tc>
              <w:tc>
                <w:tcPr>
                  <w:tcW w:w="2743" w:type="dxa"/>
                  <w:tcBorders>
                    <w:top w:val="single" w:color="auto" w:sz="6" w:space="0"/>
                    <w:left w:val="single" w:color="auto" w:sz="6" w:space="0"/>
                    <w:bottom w:val="single" w:color="auto" w:sz="6" w:space="0"/>
                    <w:right w:val="single" w:color="auto" w:sz="6" w:space="0"/>
                  </w:tcBorders>
                  <w:vAlign w:val="top"/>
                </w:tcPr>
                <w:p w14:paraId="48E520D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总磷/（mg/L）</w:t>
                  </w:r>
                </w:p>
              </w:tc>
              <w:tc>
                <w:tcPr>
                  <w:tcW w:w="1972" w:type="dxa"/>
                  <w:tcBorders>
                    <w:top w:val="single" w:color="auto" w:sz="6" w:space="0"/>
                    <w:left w:val="single" w:color="auto" w:sz="6" w:space="0"/>
                    <w:bottom w:val="single" w:color="auto" w:sz="6" w:space="0"/>
                    <w:right w:val="nil"/>
                  </w:tcBorders>
                  <w:vAlign w:val="top"/>
                </w:tcPr>
                <w:p w14:paraId="5B858B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w:t>
                  </w:r>
                </w:p>
              </w:tc>
            </w:tr>
            <w:tr w14:paraId="60922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left w:val="nil"/>
                  </w:tcBorders>
                </w:tcPr>
                <w:p w14:paraId="464AB335">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sz w:val="21"/>
                      <w:szCs w:val="21"/>
                      <w:highlight w:val="none"/>
                      <w:lang w:eastAsia="zh-CN"/>
                    </w:rPr>
                  </w:pPr>
                </w:p>
              </w:tc>
              <w:tc>
                <w:tcPr>
                  <w:tcW w:w="868" w:type="dxa"/>
                  <w:tcBorders>
                    <w:top w:val="single" w:color="auto" w:sz="6" w:space="0"/>
                    <w:left w:val="single" w:color="auto" w:sz="6" w:space="0"/>
                    <w:bottom w:val="single" w:color="auto" w:sz="6" w:space="0"/>
                    <w:right w:val="single" w:color="auto" w:sz="6" w:space="0"/>
                  </w:tcBorders>
                  <w:vAlign w:val="top"/>
                </w:tcPr>
                <w:p w14:paraId="166E1F8A">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8</w:t>
                  </w:r>
                </w:p>
              </w:tc>
              <w:tc>
                <w:tcPr>
                  <w:tcW w:w="2743" w:type="dxa"/>
                  <w:tcBorders>
                    <w:top w:val="single" w:color="auto" w:sz="6" w:space="0"/>
                    <w:left w:val="single" w:color="auto" w:sz="6" w:space="0"/>
                    <w:bottom w:val="single" w:color="auto" w:sz="6" w:space="0"/>
                    <w:right w:val="single" w:color="auto" w:sz="6" w:space="0"/>
                  </w:tcBorders>
                  <w:vAlign w:val="top"/>
                </w:tcPr>
                <w:p w14:paraId="25D8B9D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总</w:t>
                  </w:r>
                  <w:r>
                    <w:rPr>
                      <w:rFonts w:hint="eastAsia" w:cs="Times New Roman"/>
                      <w:color w:val="auto"/>
                      <w:sz w:val="21"/>
                      <w:szCs w:val="21"/>
                      <w:highlight w:val="none"/>
                      <w:vertAlign w:val="baseline"/>
                      <w:lang w:val="en-US" w:eastAsia="zh-CN"/>
                    </w:rPr>
                    <w:t>余氯/</w:t>
                  </w:r>
                  <w:r>
                    <w:rPr>
                      <w:rFonts w:hint="default" w:ascii="Times New Roman" w:hAnsi="Times New Roman" w:eastAsia="宋体" w:cs="Times New Roman"/>
                      <w:color w:val="auto"/>
                      <w:sz w:val="21"/>
                      <w:szCs w:val="21"/>
                      <w:highlight w:val="none"/>
                      <w:vertAlign w:val="baseline"/>
                      <w:lang w:val="en-US" w:eastAsia="zh-CN"/>
                    </w:rPr>
                    <w:t>（mg/L）</w:t>
                  </w:r>
                </w:p>
              </w:tc>
              <w:tc>
                <w:tcPr>
                  <w:tcW w:w="1972" w:type="dxa"/>
                  <w:tcBorders>
                    <w:top w:val="single" w:color="auto" w:sz="6" w:space="0"/>
                    <w:left w:val="single" w:color="auto" w:sz="6" w:space="0"/>
                    <w:bottom w:val="single" w:color="auto" w:sz="6" w:space="0"/>
                    <w:right w:val="nil"/>
                  </w:tcBorders>
                  <w:vAlign w:val="top"/>
                </w:tcPr>
                <w:p w14:paraId="13629CF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微软雅黑" w:hAnsi="微软雅黑" w:eastAsia="微软雅黑" w:cs="微软雅黑"/>
                      <w:color w:val="auto"/>
                      <w:kern w:val="2"/>
                      <w:sz w:val="21"/>
                      <w:szCs w:val="21"/>
                      <w:highlight w:val="none"/>
                      <w:vertAlign w:val="baseline"/>
                      <w:lang w:val="en-US" w:eastAsia="zh-CN" w:bidi="ar-SA"/>
                    </w:rPr>
                    <w:t>&gt;</w:t>
                  </w:r>
                  <w:r>
                    <w:rPr>
                      <w:rFonts w:hint="eastAsia" w:cs="Times New Roman"/>
                      <w:color w:val="auto"/>
                      <w:kern w:val="2"/>
                      <w:sz w:val="21"/>
                      <w:szCs w:val="21"/>
                      <w:highlight w:val="none"/>
                      <w:vertAlign w:val="baseline"/>
                      <w:lang w:val="en-US" w:eastAsia="zh-CN" w:bidi="ar-SA"/>
                    </w:rPr>
                    <w:t>2（接触时间</w:t>
                  </w:r>
                  <w:r>
                    <w:rPr>
                      <w:rFonts w:hint="default" w:ascii="Arial" w:hAnsi="Arial" w:cs="Arial"/>
                      <w:color w:val="auto"/>
                      <w:kern w:val="2"/>
                      <w:sz w:val="21"/>
                      <w:szCs w:val="21"/>
                      <w:highlight w:val="none"/>
                      <w:vertAlign w:val="baseline"/>
                      <w:lang w:val="en-US" w:eastAsia="zh-CN" w:bidi="ar-SA"/>
                    </w:rPr>
                    <w:t>≥</w:t>
                  </w:r>
                  <w:r>
                    <w:rPr>
                      <w:rFonts w:hint="eastAsia" w:cs="Times New Roman"/>
                      <w:color w:val="auto"/>
                      <w:kern w:val="2"/>
                      <w:sz w:val="21"/>
                      <w:szCs w:val="21"/>
                      <w:highlight w:val="none"/>
                      <w:vertAlign w:val="baseline"/>
                      <w:lang w:val="en-US" w:eastAsia="zh-CN" w:bidi="ar-SA"/>
                    </w:rPr>
                    <w:t>1h）</w:t>
                  </w:r>
                </w:p>
              </w:tc>
            </w:tr>
            <w:tr w14:paraId="3D48A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left w:val="nil"/>
                    <w:bottom w:val="single" w:color="auto" w:sz="6" w:space="0"/>
                  </w:tcBorders>
                </w:tcPr>
                <w:p w14:paraId="34EA5EE0">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sz w:val="21"/>
                      <w:szCs w:val="21"/>
                      <w:highlight w:val="none"/>
                      <w:lang w:eastAsia="zh-CN"/>
                    </w:rPr>
                  </w:pPr>
                </w:p>
              </w:tc>
              <w:tc>
                <w:tcPr>
                  <w:tcW w:w="868" w:type="dxa"/>
                  <w:tcBorders>
                    <w:top w:val="single" w:color="auto" w:sz="6" w:space="0"/>
                    <w:left w:val="single" w:color="auto" w:sz="6" w:space="0"/>
                    <w:bottom w:val="single" w:color="auto" w:sz="6" w:space="0"/>
                    <w:right w:val="single" w:color="auto" w:sz="6" w:space="0"/>
                  </w:tcBorders>
                  <w:vAlign w:val="top"/>
                </w:tcPr>
                <w:p w14:paraId="116A9D3A">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9</w:t>
                  </w:r>
                </w:p>
              </w:tc>
              <w:tc>
                <w:tcPr>
                  <w:tcW w:w="2743" w:type="dxa"/>
                  <w:tcBorders>
                    <w:top w:val="single" w:color="auto" w:sz="6" w:space="0"/>
                    <w:left w:val="single" w:color="auto" w:sz="6" w:space="0"/>
                    <w:bottom w:val="single" w:color="auto" w:sz="6" w:space="0"/>
                    <w:right w:val="single" w:color="auto" w:sz="6" w:space="0"/>
                  </w:tcBorders>
                  <w:vAlign w:val="top"/>
                </w:tcPr>
                <w:p w14:paraId="383838B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sz w:val="21"/>
                      <w:szCs w:val="21"/>
                      <w:highlight w:val="none"/>
                    </w:rPr>
                    <w:t>粪大肠菌群数</w:t>
                  </w:r>
                </w:p>
              </w:tc>
              <w:tc>
                <w:tcPr>
                  <w:tcW w:w="1972" w:type="dxa"/>
                  <w:tcBorders>
                    <w:top w:val="single" w:color="auto" w:sz="6" w:space="0"/>
                    <w:left w:val="single" w:color="auto" w:sz="6" w:space="0"/>
                    <w:bottom w:val="single" w:color="auto" w:sz="6" w:space="0"/>
                    <w:right w:val="nil"/>
                  </w:tcBorders>
                  <w:vAlign w:val="top"/>
                </w:tcPr>
                <w:p w14:paraId="14C0EEC1">
                  <w:pPr>
                    <w:jc w:val="center"/>
                    <w:rPr>
                      <w:rFonts w:hint="eastAsia" w:ascii="Times New Roman" w:hAnsi="Times New Roman" w:eastAsia="微软雅黑" w:cs="Times New Roman"/>
                      <w:kern w:val="2"/>
                      <w:sz w:val="21"/>
                      <w:szCs w:val="21"/>
                      <w:highlight w:val="none"/>
                      <w:lang w:val="en-US" w:eastAsia="zh-CN" w:bidi="ar-SA"/>
                    </w:rPr>
                  </w:pPr>
                  <w:r>
                    <w:rPr>
                      <w:rFonts w:eastAsia="微软雅黑"/>
                      <w:sz w:val="21"/>
                      <w:szCs w:val="21"/>
                      <w:highlight w:val="none"/>
                    </w:rPr>
                    <w:t>5000</w:t>
                  </w:r>
                  <w:r>
                    <w:rPr>
                      <w:rFonts w:hint="eastAsia" w:ascii="宋体" w:hAnsi="宋体" w:cs="宋体"/>
                      <w:sz w:val="21"/>
                      <w:szCs w:val="21"/>
                      <w:highlight w:val="none"/>
                      <w:lang w:val="en-US" w:eastAsia="zh-CN"/>
                    </w:rPr>
                    <w:t>MPN</w:t>
                  </w:r>
                  <w:r>
                    <w:rPr>
                      <w:rFonts w:eastAsia="微软雅黑"/>
                      <w:sz w:val="21"/>
                      <w:szCs w:val="21"/>
                      <w:highlight w:val="none"/>
                    </w:rPr>
                    <w:t>/L</w:t>
                  </w:r>
                </w:p>
              </w:tc>
            </w:tr>
            <w:tr w14:paraId="26C3D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22" w:type="dxa"/>
                  <w:gridSpan w:val="4"/>
                  <w:tcBorders>
                    <w:top w:val="single" w:color="auto" w:sz="6" w:space="0"/>
                    <w:left w:val="nil"/>
                    <w:bottom w:val="single" w:color="auto" w:sz="12" w:space="0"/>
                    <w:right w:val="nil"/>
                  </w:tcBorders>
                </w:tcPr>
                <w:p w14:paraId="7FFAD7C1">
                  <w:pPr>
                    <w:rPr>
                      <w:rFonts w:hint="default" w:ascii="Times New Roman" w:hAnsi="Times New Roman" w:eastAsia="宋体" w:cs="Times New Roman"/>
                      <w:b w:val="0"/>
                      <w:bCs w:val="0"/>
                      <w:color w:val="auto"/>
                      <w:sz w:val="21"/>
                      <w:szCs w:val="21"/>
                      <w:highlight w:val="none"/>
                      <w:vertAlign w:val="baseline"/>
                    </w:rPr>
                  </w:pPr>
                  <w:r>
                    <w:rPr>
                      <w:rFonts w:hint="eastAsia"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注：三级排放标准中氨氮排放标准参考《</w:t>
                  </w:r>
                  <w:r>
                    <w:rPr>
                      <w:rFonts w:hint="default" w:ascii="Times New Roman" w:hAnsi="Times New Roman" w:eastAsia="宋体" w:cs="Times New Roman"/>
                      <w:b w:val="0"/>
                      <w:bCs w:val="0"/>
                      <w:color w:val="auto"/>
                      <w:sz w:val="21"/>
                      <w:szCs w:val="21"/>
                      <w:highlight w:val="none"/>
                    </w:rPr>
                    <w:t>污水排入城镇下水道水质标准》</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GB/T31962-2015</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B等级标准限值</w:t>
                  </w:r>
                </w:p>
              </w:tc>
            </w:tr>
          </w:tbl>
          <w:p w14:paraId="2DCEA5A5">
            <w:pPr>
              <w:pStyle w:val="4"/>
              <w:numPr>
                <w:ilvl w:val="2"/>
                <w:numId w:val="0"/>
              </w:numPr>
              <w:ind w:left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3.9.2</w:t>
            </w:r>
            <w:r>
              <w:rPr>
                <w:rFonts w:hint="default" w:ascii="Times New Roman" w:hAnsi="Times New Roman" w:eastAsia="宋体" w:cs="Times New Roman"/>
                <w:color w:val="auto"/>
                <w:highlight w:val="none"/>
              </w:rPr>
              <w:t>大气污染物排放标准</w:t>
            </w:r>
          </w:p>
          <w:p w14:paraId="53209CCE">
            <w:pPr>
              <w:pStyle w:val="157"/>
              <w:keepNext w:val="0"/>
              <w:keepLines w:val="0"/>
              <w:pageBreakBefore w:val="0"/>
              <w:widowControl/>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运营过程中会有</w:t>
            </w:r>
            <w:r>
              <w:rPr>
                <w:rFonts w:hint="eastAsia" w:ascii="Times New Roman" w:hAnsi="Times New Roman" w:eastAsia="宋体" w:cs="Times New Roman"/>
                <w:color w:val="auto"/>
                <w:highlight w:val="none"/>
                <w:lang w:eastAsia="zh-CN"/>
              </w:rPr>
              <w:t>消毒设备</w:t>
            </w:r>
            <w:r>
              <w:rPr>
                <w:rFonts w:hint="default" w:ascii="Times New Roman" w:hAnsi="Times New Roman" w:eastAsia="宋体" w:cs="Times New Roman"/>
                <w:color w:val="auto"/>
                <w:highlight w:val="none"/>
              </w:rPr>
              <w:t>产生的恶臭以及宠物散发的</w:t>
            </w:r>
            <w:r>
              <w:rPr>
                <w:rFonts w:hint="eastAsia" w:ascii="Times New Roman" w:hAnsi="Times New Roman" w:eastAsia="宋体" w:cs="Times New Roman"/>
                <w:color w:val="auto"/>
                <w:highlight w:val="none"/>
                <w:lang w:eastAsia="zh-CN"/>
              </w:rPr>
              <w:t>异味</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Cs w:val="24"/>
                <w:highlight w:val="none"/>
              </w:rPr>
              <w:t>排放执行《恶臭污染物排放标准》（GB14554-93）表1</w:t>
            </w:r>
            <w:r>
              <w:rPr>
                <w:rFonts w:hint="eastAsia" w:ascii="Times New Roman" w:hAnsi="Times New Roman" w:eastAsia="宋体" w:cs="Times New Roman"/>
                <w:color w:val="auto"/>
                <w:szCs w:val="24"/>
                <w:highlight w:val="none"/>
                <w:lang w:val="en-US" w:eastAsia="zh-CN"/>
              </w:rPr>
              <w:t>中的</w:t>
            </w:r>
            <w:r>
              <w:rPr>
                <w:rFonts w:hint="eastAsia" w:ascii="Times New Roman" w:hAnsi="Times New Roman" w:eastAsia="宋体" w:cs="Times New Roman"/>
                <w:color w:val="auto"/>
                <w:szCs w:val="24"/>
                <w:highlight w:val="none"/>
                <w:lang w:eastAsia="zh-CN"/>
              </w:rPr>
              <w:t>二级标准</w:t>
            </w:r>
            <w:r>
              <w:rPr>
                <w:rFonts w:hint="default" w:ascii="Times New Roman" w:hAnsi="Times New Roman" w:eastAsia="宋体" w:cs="Times New Roman"/>
                <w:color w:val="auto"/>
                <w:szCs w:val="24"/>
                <w:highlight w:val="none"/>
              </w:rPr>
              <w:t>。</w:t>
            </w:r>
          </w:p>
          <w:p w14:paraId="697A31F4">
            <w:pPr>
              <w:pStyle w:val="19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highlight w:val="none"/>
                <w:lang w:val="en-US" w:eastAsia="zh-CN"/>
              </w:rPr>
            </w:pPr>
            <w:r>
              <w:rPr>
                <w:rFonts w:hint="default" w:ascii="Times New Roman" w:hAnsi="Times New Roman" w:eastAsia="宋体" w:cs="Times New Roman"/>
                <w:color w:val="auto"/>
                <w:sz w:val="24"/>
                <w:szCs w:val="24"/>
                <w:highlight w:val="none"/>
              </w:rPr>
              <w:t>表3-</w:t>
            </w:r>
            <w:r>
              <w:rPr>
                <w:rFonts w:hint="eastAsia" w:ascii="Times New Roman" w:hAnsi="Times New Roman"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 xml:space="preserve"> </w:t>
            </w:r>
            <w:r>
              <w:rPr>
                <w:rFonts w:hint="eastAsia" w:ascii="Times New Roman" w:hAnsi="Times New Roman" w:cs="Times New Roman"/>
                <w:color w:val="auto"/>
                <w:sz w:val="24"/>
                <w:szCs w:val="24"/>
                <w:highlight w:val="none"/>
                <w:lang w:val="en-US" w:eastAsia="zh-CN"/>
              </w:rPr>
              <w:t>项目大气污染物排放标准</w:t>
            </w:r>
          </w:p>
          <w:tbl>
            <w:tblPr>
              <w:tblStyle w:val="51"/>
              <w:tblW w:w="8122" w:type="dxa"/>
              <w:tblInd w:w="15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39"/>
              <w:gridCol w:w="868"/>
              <w:gridCol w:w="2743"/>
              <w:gridCol w:w="1972"/>
            </w:tblGrid>
            <w:tr w14:paraId="4B63B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tcBorders>
                    <w:top w:val="single" w:color="auto" w:sz="12" w:space="0"/>
                    <w:left w:val="nil"/>
                    <w:bottom w:val="single" w:color="auto" w:sz="6" w:space="0"/>
                  </w:tcBorders>
                </w:tcPr>
                <w:p w14:paraId="06944EF3">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执行标准</w:t>
                  </w:r>
                </w:p>
              </w:tc>
              <w:tc>
                <w:tcPr>
                  <w:tcW w:w="868" w:type="dxa"/>
                  <w:tcBorders>
                    <w:top w:val="single" w:color="auto" w:sz="12" w:space="0"/>
                    <w:bottom w:val="single" w:color="auto" w:sz="6" w:space="0"/>
                  </w:tcBorders>
                  <w:vAlign w:val="top"/>
                </w:tcPr>
                <w:p w14:paraId="0A77330C">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序号</w:t>
                  </w:r>
                </w:p>
              </w:tc>
              <w:tc>
                <w:tcPr>
                  <w:tcW w:w="2743" w:type="dxa"/>
                  <w:tcBorders>
                    <w:top w:val="single" w:color="auto" w:sz="12" w:space="0"/>
                    <w:bottom w:val="single" w:color="auto" w:sz="6" w:space="0"/>
                  </w:tcBorders>
                  <w:vAlign w:val="top"/>
                </w:tcPr>
                <w:p w14:paraId="1AD066D9">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控制项目</w:t>
                  </w:r>
                </w:p>
              </w:tc>
              <w:tc>
                <w:tcPr>
                  <w:tcW w:w="1972" w:type="dxa"/>
                  <w:tcBorders>
                    <w:top w:val="single" w:color="auto" w:sz="12" w:space="0"/>
                    <w:bottom w:val="single" w:color="auto" w:sz="6" w:space="0"/>
                    <w:right w:val="nil"/>
                  </w:tcBorders>
                </w:tcPr>
                <w:p w14:paraId="42FE812B">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厂界标准值</w:t>
                  </w:r>
                </w:p>
              </w:tc>
            </w:tr>
            <w:tr w14:paraId="3DC19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restart"/>
                  <w:tcBorders>
                    <w:top w:val="single" w:color="auto" w:sz="6" w:space="0"/>
                    <w:left w:val="nil"/>
                    <w:bottom w:val="nil"/>
                    <w:right w:val="single" w:color="auto" w:sz="6" w:space="0"/>
                  </w:tcBorders>
                </w:tcPr>
                <w:p w14:paraId="450A79D2">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color w:val="auto"/>
                      <w:sz w:val="21"/>
                      <w:szCs w:val="21"/>
                      <w:highlight w:val="none"/>
                    </w:rPr>
                    <w:t>《恶臭污染物排放标准》（GB14554-93）表1</w:t>
                  </w:r>
                  <w:r>
                    <w:rPr>
                      <w:rFonts w:hint="eastAsia" w:ascii="Times New Roman" w:hAnsi="Times New Roman" w:cs="Times New Roman"/>
                      <w:b w:val="0"/>
                      <w:bCs/>
                      <w:color w:val="auto"/>
                      <w:sz w:val="21"/>
                      <w:szCs w:val="21"/>
                      <w:highlight w:val="none"/>
                      <w:lang w:eastAsia="zh-CN"/>
                    </w:rPr>
                    <w:t>二级标准</w:t>
                  </w:r>
                </w:p>
              </w:tc>
              <w:tc>
                <w:tcPr>
                  <w:tcW w:w="868" w:type="dxa"/>
                  <w:tcBorders>
                    <w:top w:val="single" w:color="auto" w:sz="6" w:space="0"/>
                    <w:left w:val="single" w:color="auto" w:sz="6" w:space="0"/>
                    <w:bottom w:val="single" w:color="auto" w:sz="6" w:space="0"/>
                    <w:right w:val="single" w:color="auto" w:sz="6" w:space="0"/>
                  </w:tcBorders>
                  <w:vAlign w:val="top"/>
                </w:tcPr>
                <w:p w14:paraId="5747365F">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lang w:val="en-US" w:eastAsia="zh-CN"/>
                    </w:rPr>
                    <w:t>1</w:t>
                  </w:r>
                </w:p>
              </w:tc>
              <w:tc>
                <w:tcPr>
                  <w:tcW w:w="2743" w:type="dxa"/>
                  <w:tcBorders>
                    <w:top w:val="single" w:color="auto" w:sz="6" w:space="0"/>
                    <w:left w:val="single" w:color="auto" w:sz="6" w:space="0"/>
                    <w:bottom w:val="single" w:color="auto" w:sz="6" w:space="0"/>
                    <w:right w:val="single" w:color="auto" w:sz="6" w:space="0"/>
                  </w:tcBorders>
                  <w:vAlign w:val="top"/>
                </w:tcPr>
                <w:p w14:paraId="610872D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p>
              </w:tc>
              <w:tc>
                <w:tcPr>
                  <w:tcW w:w="1972" w:type="dxa"/>
                  <w:tcBorders>
                    <w:top w:val="single" w:color="auto" w:sz="6" w:space="0"/>
                    <w:left w:val="single" w:color="auto" w:sz="6" w:space="0"/>
                    <w:bottom w:val="single" w:color="auto" w:sz="6" w:space="0"/>
                    <w:right w:val="nil"/>
                  </w:tcBorders>
                  <w:vAlign w:val="top"/>
                </w:tcPr>
                <w:p w14:paraId="37A569E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rPr>
                    <w:t>1.5mg/m</w:t>
                  </w:r>
                  <w:r>
                    <w:rPr>
                      <w:rFonts w:hint="default" w:ascii="Times New Roman" w:hAnsi="Times New Roman" w:eastAsia="宋体" w:cs="Times New Roman"/>
                      <w:color w:val="auto"/>
                      <w:sz w:val="21"/>
                      <w:szCs w:val="21"/>
                      <w:highlight w:val="none"/>
                      <w:vertAlign w:val="superscript"/>
                    </w:rPr>
                    <w:t>3</w:t>
                  </w:r>
                </w:p>
              </w:tc>
            </w:tr>
            <w:tr w14:paraId="45622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top w:val="nil"/>
                    <w:left w:val="nil"/>
                    <w:bottom w:val="nil"/>
                    <w:right w:val="single" w:color="auto" w:sz="6" w:space="0"/>
                  </w:tcBorders>
                </w:tcPr>
                <w:p w14:paraId="7F2CF1DF">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cs="Times New Roman"/>
                      <w:b w:val="0"/>
                      <w:bCs w:val="0"/>
                      <w:color w:val="auto"/>
                      <w:sz w:val="21"/>
                      <w:szCs w:val="21"/>
                      <w:highlight w:val="none"/>
                      <w:vertAlign w:val="baseline"/>
                      <w:lang w:val="en-US" w:eastAsia="zh-CN"/>
                    </w:rPr>
                  </w:pPr>
                </w:p>
              </w:tc>
              <w:tc>
                <w:tcPr>
                  <w:tcW w:w="868" w:type="dxa"/>
                  <w:tcBorders>
                    <w:top w:val="single" w:color="auto" w:sz="6" w:space="0"/>
                    <w:left w:val="single" w:color="auto" w:sz="6" w:space="0"/>
                    <w:bottom w:val="single" w:color="auto" w:sz="6" w:space="0"/>
                    <w:right w:val="single" w:color="auto" w:sz="6" w:space="0"/>
                  </w:tcBorders>
                  <w:vAlign w:val="top"/>
                </w:tcPr>
                <w:p w14:paraId="73E117A4">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lang w:val="en-US" w:eastAsia="zh-CN"/>
                    </w:rPr>
                    <w:t>2</w:t>
                  </w:r>
                </w:p>
              </w:tc>
              <w:tc>
                <w:tcPr>
                  <w:tcW w:w="2743" w:type="dxa"/>
                  <w:tcBorders>
                    <w:top w:val="single" w:color="auto" w:sz="6" w:space="0"/>
                    <w:left w:val="single" w:color="auto" w:sz="6" w:space="0"/>
                    <w:bottom w:val="single" w:color="auto" w:sz="6" w:space="0"/>
                    <w:right w:val="single" w:color="auto" w:sz="6" w:space="0"/>
                  </w:tcBorders>
                  <w:vAlign w:val="center"/>
                </w:tcPr>
                <w:p w14:paraId="09B9A3B7">
                  <w:pPr>
                    <w:pStyle w:val="189"/>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1972" w:type="dxa"/>
                  <w:tcBorders>
                    <w:top w:val="single" w:color="auto" w:sz="6" w:space="0"/>
                    <w:left w:val="single" w:color="auto" w:sz="6" w:space="0"/>
                    <w:bottom w:val="single" w:color="auto" w:sz="6" w:space="0"/>
                    <w:right w:val="nil"/>
                  </w:tcBorders>
                  <w:vAlign w:val="center"/>
                </w:tcPr>
                <w:p w14:paraId="05A2BB32">
                  <w:pPr>
                    <w:pStyle w:val="189"/>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rPr>
                    <w:t>0.06mg/m</w:t>
                  </w:r>
                  <w:r>
                    <w:rPr>
                      <w:rFonts w:hint="default" w:ascii="Times New Roman" w:hAnsi="Times New Roman" w:eastAsia="宋体" w:cs="Times New Roman"/>
                      <w:color w:val="auto"/>
                      <w:sz w:val="21"/>
                      <w:szCs w:val="21"/>
                      <w:highlight w:val="none"/>
                      <w:vertAlign w:val="superscript"/>
                    </w:rPr>
                    <w:t>3</w:t>
                  </w:r>
                </w:p>
              </w:tc>
            </w:tr>
            <w:tr w14:paraId="2BA20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9" w:type="dxa"/>
                  <w:vMerge w:val="continue"/>
                  <w:tcBorders>
                    <w:top w:val="nil"/>
                    <w:left w:val="nil"/>
                    <w:bottom w:val="single" w:color="auto" w:sz="12" w:space="0"/>
                    <w:right w:val="single" w:color="auto" w:sz="6" w:space="0"/>
                  </w:tcBorders>
                </w:tcPr>
                <w:p w14:paraId="4B2F6EA5">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cs="Times New Roman"/>
                      <w:b w:val="0"/>
                      <w:bCs w:val="0"/>
                      <w:color w:val="auto"/>
                      <w:sz w:val="21"/>
                      <w:szCs w:val="21"/>
                      <w:highlight w:val="none"/>
                      <w:vertAlign w:val="baseline"/>
                      <w:lang w:val="en-US" w:eastAsia="zh-CN"/>
                    </w:rPr>
                  </w:pPr>
                </w:p>
              </w:tc>
              <w:tc>
                <w:tcPr>
                  <w:tcW w:w="868" w:type="dxa"/>
                  <w:tcBorders>
                    <w:top w:val="single" w:color="auto" w:sz="6" w:space="0"/>
                    <w:left w:val="single" w:color="auto" w:sz="6" w:space="0"/>
                    <w:bottom w:val="single" w:color="auto" w:sz="12" w:space="0"/>
                    <w:right w:val="single" w:color="auto" w:sz="6" w:space="0"/>
                  </w:tcBorders>
                  <w:vAlign w:val="top"/>
                </w:tcPr>
                <w:p w14:paraId="0855A011">
                  <w:pPr>
                    <w:pStyle w:val="198"/>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lang w:val="en-US" w:eastAsia="zh-CN"/>
                    </w:rPr>
                    <w:t>3</w:t>
                  </w:r>
                </w:p>
              </w:tc>
              <w:tc>
                <w:tcPr>
                  <w:tcW w:w="2743" w:type="dxa"/>
                  <w:tcBorders>
                    <w:top w:val="single" w:color="auto" w:sz="6" w:space="0"/>
                    <w:left w:val="single" w:color="auto" w:sz="6" w:space="0"/>
                    <w:bottom w:val="single" w:color="auto" w:sz="12" w:space="0"/>
                    <w:right w:val="single" w:color="auto" w:sz="6" w:space="0"/>
                  </w:tcBorders>
                  <w:vAlign w:val="center"/>
                </w:tcPr>
                <w:p w14:paraId="1765AC45">
                  <w:pPr>
                    <w:pStyle w:val="189"/>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highlight w:val="none"/>
                      <w:lang w:val="en-US" w:eastAsia="zh-CN"/>
                    </w:rPr>
                    <w:t>臭气</w:t>
                  </w:r>
                  <w:r>
                    <w:rPr>
                      <w:rFonts w:hint="default" w:ascii="Times New Roman" w:hAnsi="Times New Roman" w:eastAsia="宋体" w:cs="Times New Roman"/>
                      <w:color w:val="auto"/>
                      <w:highlight w:val="none"/>
                    </w:rPr>
                    <w:t>浓度</w:t>
                  </w:r>
                </w:p>
              </w:tc>
              <w:tc>
                <w:tcPr>
                  <w:tcW w:w="1972" w:type="dxa"/>
                  <w:tcBorders>
                    <w:top w:val="single" w:color="auto" w:sz="6" w:space="0"/>
                    <w:left w:val="single" w:color="auto" w:sz="6" w:space="0"/>
                    <w:bottom w:val="single" w:color="auto" w:sz="12" w:space="0"/>
                    <w:right w:val="nil"/>
                  </w:tcBorders>
                  <w:vAlign w:val="center"/>
                </w:tcPr>
                <w:p w14:paraId="16757960">
                  <w:pPr>
                    <w:pStyle w:val="189"/>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highlight w:val="none"/>
                    </w:rPr>
                    <w:t>20（无量纲）</w:t>
                  </w:r>
                </w:p>
              </w:tc>
            </w:tr>
          </w:tbl>
          <w:p w14:paraId="43659925">
            <w:pPr>
              <w:pStyle w:val="4"/>
              <w:numPr>
                <w:ilvl w:val="2"/>
                <w:numId w:val="0"/>
              </w:numPr>
              <w:ind w:leftChars="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3.9.3</w:t>
            </w:r>
            <w:r>
              <w:rPr>
                <w:rFonts w:hint="default" w:ascii="Times New Roman" w:hAnsi="Times New Roman" w:eastAsia="宋体" w:cs="Times New Roman"/>
                <w:color w:val="auto"/>
                <w:highlight w:val="none"/>
              </w:rPr>
              <w:t>噪声排放标准</w:t>
            </w:r>
          </w:p>
          <w:p w14:paraId="62221901">
            <w:pPr>
              <w:pStyle w:val="157"/>
              <w:ind w:firstLine="480"/>
              <w:rPr>
                <w:rFonts w:hint="default" w:ascii="Times New Roman" w:hAnsi="Times New Roman" w:eastAsia="宋体" w:cs="Times New Roman"/>
                <w:color w:val="auto"/>
                <w:szCs w:val="24"/>
                <w:highlight w:val="none"/>
                <w:lang w:eastAsia="zh-CN"/>
              </w:rPr>
            </w:pPr>
            <w:r>
              <w:rPr>
                <w:rFonts w:hint="eastAsia" w:ascii="Times New Roman" w:hAnsi="Times New Roman" w:eastAsia="宋体" w:cs="Times New Roman"/>
                <w:color w:val="auto"/>
                <w:szCs w:val="24"/>
                <w:highlight w:val="none"/>
                <w:lang w:val="en-US" w:eastAsia="zh-CN"/>
              </w:rPr>
              <w:t>项目西</w:t>
            </w:r>
            <w:r>
              <w:rPr>
                <w:rFonts w:hint="default" w:ascii="Times New Roman" w:hAnsi="Times New Roman" w:eastAsia="宋体" w:cs="Times New Roman"/>
                <w:color w:val="auto"/>
                <w:szCs w:val="24"/>
                <w:highlight w:val="none"/>
                <w:lang w:val="en-US" w:eastAsia="zh-CN"/>
              </w:rPr>
              <w:t>侧</w:t>
            </w:r>
            <w:r>
              <w:rPr>
                <w:rFonts w:hint="eastAsia" w:ascii="Times New Roman" w:hAnsi="Times New Roman" w:eastAsia="宋体" w:cs="Times New Roman"/>
                <w:color w:val="auto"/>
                <w:szCs w:val="24"/>
                <w:highlight w:val="none"/>
                <w:lang w:val="en-US" w:eastAsia="zh-CN"/>
              </w:rPr>
              <w:t>距离33m前横路</w:t>
            </w:r>
            <w:r>
              <w:rPr>
                <w:rFonts w:hint="default" w:ascii="Times New Roman" w:hAnsi="Times New Roman" w:eastAsia="宋体" w:cs="Times New Roman"/>
                <w:color w:val="auto"/>
                <w:szCs w:val="24"/>
                <w:highlight w:val="none"/>
                <w:lang w:val="en-US" w:eastAsia="zh-CN"/>
              </w:rPr>
              <w:t>为城市主干路，</w:t>
            </w:r>
            <w:r>
              <w:rPr>
                <w:rFonts w:hint="eastAsia" w:ascii="Times New Roman" w:hAnsi="Times New Roman" w:eastAsia="宋体" w:cs="Times New Roman"/>
                <w:color w:val="auto"/>
                <w:szCs w:val="24"/>
                <w:highlight w:val="none"/>
                <w:lang w:val="en-US" w:eastAsia="zh-CN"/>
              </w:rPr>
              <w:t>故项目西侧环境噪声</w:t>
            </w:r>
            <w:r>
              <w:rPr>
                <w:rFonts w:hint="default" w:ascii="Times New Roman" w:hAnsi="Times New Roman" w:eastAsia="宋体" w:cs="Times New Roman"/>
                <w:color w:val="auto"/>
                <w:szCs w:val="24"/>
                <w:highlight w:val="none"/>
                <w:lang w:val="en-US" w:eastAsia="zh-CN"/>
              </w:rPr>
              <w:t>执行《社会生活环境噪声排放标准》（GB22337-2008）中4</w:t>
            </w:r>
            <w:r>
              <w:rPr>
                <w:rFonts w:hint="eastAsia" w:ascii="Times New Roman" w:hAnsi="Times New Roman" w:eastAsia="宋体" w:cs="Times New Roman"/>
                <w:color w:val="auto"/>
                <w:szCs w:val="24"/>
                <w:highlight w:val="none"/>
                <w:lang w:val="en-US" w:eastAsia="zh-CN"/>
              </w:rPr>
              <w:t>a</w:t>
            </w:r>
            <w:r>
              <w:rPr>
                <w:rFonts w:hint="default" w:ascii="Times New Roman" w:hAnsi="Times New Roman" w:eastAsia="宋体" w:cs="Times New Roman"/>
                <w:color w:val="auto"/>
                <w:szCs w:val="24"/>
                <w:highlight w:val="none"/>
                <w:lang w:val="en-US" w:eastAsia="zh-CN"/>
              </w:rPr>
              <w:t>类标准</w:t>
            </w:r>
            <w:r>
              <w:rPr>
                <w:rFonts w:hint="eastAsia" w:ascii="Times New Roman" w:hAnsi="Times New Roman" w:eastAsia="宋体" w:cs="Times New Roman"/>
                <w:color w:val="auto"/>
                <w:szCs w:val="24"/>
                <w:highlight w:val="none"/>
                <w:lang w:val="en-US" w:eastAsia="zh-CN"/>
              </w:rPr>
              <w:t>，</w:t>
            </w:r>
            <w:r>
              <w:rPr>
                <w:rFonts w:hint="default" w:ascii="Times New Roman" w:hAnsi="Times New Roman" w:eastAsia="宋体" w:cs="Times New Roman"/>
                <w:b w:val="0"/>
                <w:bCs/>
                <w:color w:val="auto"/>
                <w:highlight w:val="none"/>
                <w:lang w:val="en-US" w:eastAsia="zh-CN"/>
              </w:rPr>
              <w:t>即昼间≤70dB(A)、 夜间≤55dB(A)</w:t>
            </w:r>
            <w:r>
              <w:rPr>
                <w:rFonts w:hint="default" w:ascii="Times New Roman" w:hAnsi="Times New Roman" w:eastAsia="宋体" w:cs="Times New Roman"/>
                <w:color w:val="auto"/>
                <w:szCs w:val="24"/>
                <w:highlight w:val="none"/>
                <w:lang w:val="en-US" w:eastAsia="zh-CN"/>
              </w:rPr>
              <w:t>。</w:t>
            </w:r>
            <w:r>
              <w:rPr>
                <w:rFonts w:hint="eastAsia" w:ascii="Times New Roman" w:hAnsi="Times New Roman" w:eastAsia="宋体" w:cs="Times New Roman"/>
                <w:color w:val="auto"/>
                <w:szCs w:val="24"/>
                <w:highlight w:val="none"/>
                <w:lang w:val="en-US" w:eastAsia="zh-CN"/>
              </w:rPr>
              <w:t>其余边界环境</w:t>
            </w:r>
            <w:r>
              <w:rPr>
                <w:rFonts w:hint="default" w:ascii="Times New Roman" w:hAnsi="Times New Roman" w:eastAsia="宋体" w:cs="Times New Roman"/>
                <w:color w:val="auto"/>
                <w:szCs w:val="24"/>
                <w:highlight w:val="none"/>
              </w:rPr>
              <w:t>噪声排放执行《社会生活环境噪声排放标准》（GB22337-2008）中表1的2类标准</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b w:val="0"/>
                <w:bCs/>
                <w:color w:val="auto"/>
                <w:highlight w:val="none"/>
                <w:lang w:val="en-US" w:eastAsia="zh-CN"/>
              </w:rPr>
              <w:t>即昼间≤60dB(A)、夜间≤50dB(A)</w:t>
            </w:r>
            <w:r>
              <w:rPr>
                <w:rFonts w:hint="default" w:ascii="Times New Roman" w:hAnsi="Times New Roman" w:eastAsia="宋体" w:cs="Times New Roman"/>
                <w:color w:val="auto"/>
                <w:szCs w:val="24"/>
                <w:highlight w:val="none"/>
                <w:lang w:val="en-US" w:eastAsia="zh-CN"/>
              </w:rPr>
              <w:t>。</w:t>
            </w:r>
          </w:p>
          <w:p w14:paraId="2441995C">
            <w:pPr>
              <w:pStyle w:val="198"/>
              <w:spacing w:line="240" w:lineRule="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表3-</w:t>
            </w:r>
            <w:r>
              <w:rPr>
                <w:rFonts w:hint="eastAsia" w:ascii="Times New Roman" w:hAnsi="Times New Roman" w:cs="Times New Roman"/>
                <w:color w:val="auto"/>
                <w:szCs w:val="24"/>
                <w:highlight w:val="none"/>
                <w:lang w:val="en-US" w:eastAsia="zh-CN"/>
              </w:rPr>
              <w:t>11</w:t>
            </w:r>
            <w:r>
              <w:rPr>
                <w:rFonts w:hint="default" w:ascii="Times New Roman" w:hAnsi="Times New Roman" w:eastAsia="宋体" w:cs="Times New Roman"/>
                <w:color w:val="auto"/>
                <w:szCs w:val="24"/>
                <w:highlight w:val="none"/>
              </w:rPr>
              <w:t xml:space="preserve">  《社会生活环境噪声排放标准》（GB22337-2008）单位：dB(A)</w:t>
            </w:r>
          </w:p>
          <w:tbl>
            <w:tblPr>
              <w:tblStyle w:val="50"/>
              <w:tblW w:w="811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73"/>
              <w:gridCol w:w="1687"/>
              <w:gridCol w:w="1819"/>
              <w:gridCol w:w="1731"/>
            </w:tblGrid>
            <w:tr w14:paraId="5CD00D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exact"/>
                <w:jc w:val="center"/>
              </w:trPr>
              <w:tc>
                <w:tcPr>
                  <w:tcW w:w="2873" w:type="dxa"/>
                  <w:tcBorders>
                    <w:tl2br w:val="single" w:color="auto" w:sz="4" w:space="0"/>
                  </w:tcBorders>
                  <w:vAlign w:val="center"/>
                </w:tcPr>
                <w:p w14:paraId="5411A800">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   时段</w:t>
                  </w:r>
                </w:p>
                <w:p w14:paraId="69E08794">
                  <w:pPr>
                    <w:pStyle w:val="189"/>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环境功能区类别</w:t>
                  </w:r>
                </w:p>
                <w:p w14:paraId="377A83C8">
                  <w:pPr>
                    <w:pStyle w:val="189"/>
                    <w:rPr>
                      <w:rFonts w:hint="default" w:ascii="Times New Roman" w:hAnsi="Times New Roman" w:eastAsia="宋体" w:cs="Times New Roman"/>
                      <w:color w:val="auto"/>
                      <w:highlight w:val="none"/>
                    </w:rPr>
                  </w:pPr>
                </w:p>
                <w:p w14:paraId="54058F18">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厂界外声环境功能区类别</w:t>
                  </w:r>
                </w:p>
              </w:tc>
              <w:tc>
                <w:tcPr>
                  <w:tcW w:w="1687" w:type="dxa"/>
                  <w:vAlign w:val="center"/>
                </w:tcPr>
                <w:p w14:paraId="0F166108">
                  <w:pPr>
                    <w:pStyle w:val="18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适用范围</w:t>
                  </w:r>
                </w:p>
              </w:tc>
              <w:tc>
                <w:tcPr>
                  <w:tcW w:w="1819" w:type="dxa"/>
                  <w:vAlign w:val="center"/>
                </w:tcPr>
                <w:p w14:paraId="47BED15D">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昼间</w:t>
                  </w:r>
                </w:p>
              </w:tc>
              <w:tc>
                <w:tcPr>
                  <w:tcW w:w="1731" w:type="dxa"/>
                  <w:vAlign w:val="center"/>
                </w:tcPr>
                <w:p w14:paraId="1CE91A5D">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夜间</w:t>
                  </w:r>
                </w:p>
              </w:tc>
            </w:tr>
            <w:tr w14:paraId="712E7F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exact"/>
                <w:jc w:val="center"/>
              </w:trPr>
              <w:tc>
                <w:tcPr>
                  <w:tcW w:w="2873" w:type="dxa"/>
                  <w:vAlign w:val="center"/>
                </w:tcPr>
                <w:p w14:paraId="7E215B84">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687" w:type="dxa"/>
                  <w:vAlign w:val="center"/>
                </w:tcPr>
                <w:p w14:paraId="747117C2">
                  <w:pPr>
                    <w:pStyle w:val="18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其他</w:t>
                  </w:r>
                  <w:r>
                    <w:rPr>
                      <w:rFonts w:hint="eastAsia" w:ascii="Times New Roman" w:hAnsi="Times New Roman" w:eastAsia="宋体" w:cs="Times New Roman"/>
                      <w:color w:val="auto"/>
                      <w:highlight w:val="none"/>
                      <w:lang w:val="en-US" w:eastAsia="zh-CN"/>
                    </w:rPr>
                    <w:t>边</w:t>
                  </w:r>
                  <w:r>
                    <w:rPr>
                      <w:rFonts w:hint="default" w:ascii="Times New Roman" w:hAnsi="Times New Roman" w:eastAsia="宋体" w:cs="Times New Roman"/>
                      <w:color w:val="auto"/>
                      <w:highlight w:val="none"/>
                      <w:lang w:val="en-US" w:eastAsia="zh-CN"/>
                    </w:rPr>
                    <w:t>界</w:t>
                  </w:r>
                </w:p>
              </w:tc>
              <w:tc>
                <w:tcPr>
                  <w:tcW w:w="1819" w:type="dxa"/>
                  <w:vAlign w:val="center"/>
                </w:tcPr>
                <w:p w14:paraId="2AB38C89">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w:t>
                  </w:r>
                </w:p>
              </w:tc>
              <w:tc>
                <w:tcPr>
                  <w:tcW w:w="1731" w:type="dxa"/>
                  <w:vAlign w:val="center"/>
                </w:tcPr>
                <w:p w14:paraId="13302D18">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w:t>
                  </w:r>
                </w:p>
              </w:tc>
            </w:tr>
            <w:tr w14:paraId="38DCD6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exact"/>
                <w:jc w:val="center"/>
              </w:trPr>
              <w:tc>
                <w:tcPr>
                  <w:tcW w:w="2873" w:type="dxa"/>
                  <w:vAlign w:val="center"/>
                </w:tcPr>
                <w:p w14:paraId="76ECF5E2">
                  <w:pPr>
                    <w:pStyle w:val="189"/>
                    <w:rPr>
                      <w:rFonts w:hint="default" w:ascii="Times New Roman" w:hAnsi="Times New Roman" w:eastAsia="宋体" w:cs="Times New Roman"/>
                      <w:color w:val="auto"/>
                      <w:highlight w:val="none"/>
                      <w:lang w:val="en-US" w:eastAsia="zh-CN"/>
                    </w:rPr>
                  </w:pPr>
                  <w:bookmarkStart w:id="74" w:name="_Toc3956"/>
                  <w:bookmarkStart w:id="75" w:name="_Toc28279"/>
                  <w:bookmarkStart w:id="76" w:name="_Toc6969"/>
                  <w:r>
                    <w:rPr>
                      <w:rFonts w:hint="default" w:ascii="Times New Roman" w:hAnsi="Times New Roman" w:eastAsia="宋体" w:cs="Times New Roman"/>
                      <w:color w:val="auto"/>
                      <w:highlight w:val="none"/>
                      <w:lang w:val="en-US" w:eastAsia="zh-CN"/>
                    </w:rPr>
                    <w:t>4</w:t>
                  </w:r>
                  <w:r>
                    <w:rPr>
                      <w:rFonts w:hint="eastAsia" w:ascii="Times New Roman" w:hAnsi="Times New Roman" w:eastAsia="宋体" w:cs="Times New Roman"/>
                      <w:color w:val="auto"/>
                      <w:highlight w:val="none"/>
                      <w:lang w:val="en-US" w:eastAsia="zh-CN"/>
                    </w:rPr>
                    <w:t>a</w:t>
                  </w:r>
                </w:p>
              </w:tc>
              <w:tc>
                <w:tcPr>
                  <w:tcW w:w="1687" w:type="dxa"/>
                  <w:vAlign w:val="center"/>
                </w:tcPr>
                <w:p w14:paraId="53DE3852">
                  <w:pPr>
                    <w:pStyle w:val="189"/>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项目西</w:t>
                  </w:r>
                  <w:r>
                    <w:rPr>
                      <w:rFonts w:hint="default" w:ascii="Times New Roman" w:hAnsi="Times New Roman" w:eastAsia="宋体" w:cs="Times New Roman"/>
                      <w:color w:val="auto"/>
                      <w:highlight w:val="none"/>
                      <w:lang w:val="en-US" w:eastAsia="zh-CN"/>
                    </w:rPr>
                    <w:t>侧</w:t>
                  </w:r>
                </w:p>
              </w:tc>
              <w:tc>
                <w:tcPr>
                  <w:tcW w:w="1819" w:type="dxa"/>
                  <w:vAlign w:val="center"/>
                </w:tcPr>
                <w:p w14:paraId="000D808A">
                  <w:pPr>
                    <w:pStyle w:val="18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70</w:t>
                  </w:r>
                </w:p>
              </w:tc>
              <w:tc>
                <w:tcPr>
                  <w:tcW w:w="1731" w:type="dxa"/>
                  <w:vAlign w:val="center"/>
                </w:tcPr>
                <w:p w14:paraId="3F1F4A64">
                  <w:pPr>
                    <w:pStyle w:val="18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w:t>
                  </w:r>
                </w:p>
              </w:tc>
            </w:tr>
          </w:tbl>
          <w:p w14:paraId="0F3C4E4F">
            <w:pPr>
              <w:pStyle w:val="4"/>
              <w:numPr>
                <w:ilvl w:val="2"/>
                <w:numId w:val="0"/>
              </w:numPr>
              <w:ind w:leftChars="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3.9.4</w:t>
            </w:r>
            <w:r>
              <w:rPr>
                <w:rFonts w:hint="default" w:ascii="Times New Roman" w:hAnsi="Times New Roman" w:eastAsia="宋体" w:cs="Times New Roman"/>
                <w:color w:val="auto"/>
                <w:sz w:val="24"/>
                <w:szCs w:val="24"/>
                <w:highlight w:val="none"/>
              </w:rPr>
              <w:t>固体废弃物</w:t>
            </w:r>
            <w:bookmarkEnd w:id="74"/>
            <w:bookmarkEnd w:id="75"/>
            <w:bookmarkEnd w:id="76"/>
          </w:p>
          <w:p w14:paraId="0C1E02DE">
            <w:pPr>
              <w:pStyle w:val="157"/>
              <w:ind w:firstLine="480"/>
              <w:rPr>
                <w:rFonts w:hint="default" w:ascii="Times New Roman" w:hAnsi="Times New Roman" w:eastAsia="宋体" w:cs="Times New Roman"/>
                <w:color w:val="auto"/>
                <w:kern w:val="0"/>
                <w:szCs w:val="21"/>
                <w:highlight w:val="none"/>
              </w:rPr>
            </w:pPr>
            <w:r>
              <w:rPr>
                <w:rFonts w:hint="eastAsia" w:ascii="Times New Roman" w:hAnsi="Times New Roman" w:eastAsia="宋体" w:cs="Times New Roman"/>
                <w:color w:val="auto"/>
                <w:szCs w:val="24"/>
                <w:highlight w:val="none"/>
              </w:rPr>
              <w:t>项目</w:t>
            </w:r>
            <w:r>
              <w:rPr>
                <w:rFonts w:ascii="Times New Roman" w:hAnsi="Times New Roman" w:eastAsia="宋体" w:cs="Times New Roman"/>
                <w:color w:val="auto"/>
                <w:szCs w:val="24"/>
                <w:highlight w:val="none"/>
              </w:rPr>
              <w:t>运营期产生的</w:t>
            </w:r>
            <w:r>
              <w:rPr>
                <w:rFonts w:hint="eastAsia" w:ascii="Times New Roman" w:hAnsi="Times New Roman" w:eastAsia="宋体" w:cs="Times New Roman"/>
                <w:color w:val="auto"/>
                <w:szCs w:val="24"/>
                <w:highlight w:val="none"/>
              </w:rPr>
              <w:t>生活垃圾集中收集袋装处理、定点堆放，并交由环卫部门统一处理；危险废物应集中收集、规范贮存及时交由</w:t>
            </w:r>
            <w:r>
              <w:rPr>
                <w:rFonts w:hint="eastAsia" w:ascii="Times New Roman" w:hAnsi="Times New Roman" w:eastAsia="宋体" w:cs="Times New Roman"/>
                <w:color w:val="auto"/>
                <w:szCs w:val="24"/>
                <w:highlight w:val="none"/>
                <w:lang w:val="en-US" w:eastAsia="zh-CN"/>
              </w:rPr>
              <w:t>有资质单位</w:t>
            </w:r>
            <w:r>
              <w:rPr>
                <w:rFonts w:hint="eastAsia" w:ascii="Times New Roman" w:hAnsi="Times New Roman" w:eastAsia="宋体" w:cs="Times New Roman"/>
                <w:color w:val="auto"/>
                <w:szCs w:val="24"/>
                <w:highlight w:val="none"/>
              </w:rPr>
              <w:t>回收处置。</w:t>
            </w:r>
          </w:p>
        </w:tc>
      </w:tr>
      <w:tr w14:paraId="09293A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1178" w:type="dxa"/>
            <w:vAlign w:val="center"/>
          </w:tcPr>
          <w:p w14:paraId="46EE4C11">
            <w:pPr>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总量控制指标</w:t>
            </w:r>
          </w:p>
        </w:tc>
        <w:tc>
          <w:tcPr>
            <w:tcW w:w="8689" w:type="dxa"/>
            <w:vAlign w:val="center"/>
          </w:tcPr>
          <w:p w14:paraId="4DF9A0F5">
            <w:pPr>
              <w:spacing w:line="360" w:lineRule="auto"/>
              <w:ind w:firstLine="480" w:firstLineChars="200"/>
              <w:rPr>
                <w:rFonts w:hint="default" w:ascii="Times New Roman" w:hAnsi="Times New Roman" w:cs="Times New Roman"/>
                <w:color w:val="auto"/>
                <w:sz w:val="24"/>
                <w:highlight w:val="none"/>
              </w:rPr>
            </w:pPr>
            <w:r>
              <w:rPr>
                <w:rFonts w:hint="eastAsia" w:cs="Times New Roman"/>
                <w:color w:val="auto"/>
                <w:sz w:val="24"/>
                <w:highlight w:val="none"/>
                <w:lang w:eastAsia="zh-CN"/>
              </w:rPr>
              <w:t>项目</w:t>
            </w:r>
            <w:r>
              <w:rPr>
                <w:rFonts w:hint="default" w:ascii="Times New Roman" w:hAnsi="Times New Roman" w:cs="Times New Roman"/>
                <w:color w:val="auto"/>
                <w:sz w:val="24"/>
                <w:highlight w:val="none"/>
              </w:rPr>
              <w:t>废水量为</w:t>
            </w:r>
            <w:r>
              <w:rPr>
                <w:rFonts w:hint="eastAsia" w:cs="Times New Roman"/>
                <w:color w:val="auto"/>
                <w:sz w:val="24"/>
                <w:highlight w:val="none"/>
                <w:lang w:val="en-US" w:eastAsia="zh-CN"/>
              </w:rPr>
              <w:t>330.4t</w:t>
            </w:r>
            <w:r>
              <w:rPr>
                <w:rFonts w:hint="default" w:ascii="Times New Roman" w:hAnsi="Times New Roman" w:cs="Times New Roman"/>
                <w:color w:val="auto"/>
                <w:sz w:val="24"/>
                <w:highlight w:val="none"/>
              </w:rPr>
              <w:t>/a，</w:t>
            </w:r>
            <w:r>
              <w:rPr>
                <w:rFonts w:hint="eastAsia" w:cs="Times New Roman"/>
                <w:color w:val="auto"/>
                <w:highlight w:val="none"/>
                <w:lang w:eastAsia="zh-CN"/>
              </w:rPr>
              <w:t>项目</w:t>
            </w:r>
            <w:r>
              <w:rPr>
                <w:rFonts w:hint="eastAsia" w:cs="Times New Roman"/>
                <w:color w:val="auto"/>
                <w:highlight w:val="none"/>
                <w:lang w:val="en-US" w:eastAsia="zh-CN"/>
              </w:rPr>
              <w:t>宠物医疗废水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宠物美容废水</w:t>
            </w:r>
            <w:r>
              <w:rPr>
                <w:rFonts w:hint="eastAsia" w:ascii="Times New Roman" w:hAnsi="Times New Roman" w:eastAsia="宋体" w:cs="Times New Roman"/>
                <w:color w:val="auto"/>
                <w:highlight w:val="none"/>
                <w:lang w:val="en-US" w:eastAsia="zh-CN"/>
              </w:rPr>
              <w:t>和第二</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三道检验设备清洗废水</w:t>
            </w:r>
            <w:r>
              <w:rPr>
                <w:rFonts w:hint="default" w:ascii="Times New Roman" w:hAnsi="Times New Roman" w:cs="Times New Roman"/>
                <w:color w:val="auto"/>
                <w:sz w:val="24"/>
                <w:highlight w:val="none"/>
              </w:rPr>
              <w:t>经</w:t>
            </w:r>
            <w:r>
              <w:rPr>
                <w:rFonts w:hint="eastAsia" w:cs="Times New Roman"/>
                <w:color w:val="auto"/>
                <w:sz w:val="24"/>
                <w:highlight w:val="none"/>
                <w:lang w:val="en-US" w:eastAsia="zh-CN"/>
              </w:rPr>
              <w:t>配套的</w:t>
            </w:r>
            <w:r>
              <w:rPr>
                <w:rFonts w:hint="eastAsia" w:cs="Times New Roman"/>
                <w:color w:val="auto"/>
                <w:highlight w:val="none"/>
                <w:lang w:val="en-US" w:eastAsia="zh-CN"/>
              </w:rPr>
              <w:t>消毒设备消毒</w:t>
            </w:r>
            <w:r>
              <w:rPr>
                <w:rFonts w:hint="default" w:ascii="Times New Roman" w:hAnsi="Times New Roman" w:cs="Times New Roman"/>
                <w:color w:val="auto"/>
                <w:sz w:val="24"/>
                <w:highlight w:val="none"/>
              </w:rPr>
              <w:t>达标后，与</w:t>
            </w:r>
            <w:r>
              <w:rPr>
                <w:rFonts w:hint="default" w:ascii="Times New Roman" w:hAnsi="Times New Roman" w:eastAsia="宋体" w:cs="Times New Roman"/>
                <w:color w:val="auto"/>
                <w:highlight w:val="none"/>
              </w:rPr>
              <w:t>生活污水</w:t>
            </w:r>
            <w:r>
              <w:rPr>
                <w:rFonts w:hint="eastAsia" w:cs="Times New Roman"/>
                <w:color w:val="auto"/>
                <w:highlight w:val="none"/>
                <w:lang w:val="en-US" w:eastAsia="zh-CN"/>
              </w:rPr>
              <w:t>一并排放</w:t>
            </w:r>
            <w:r>
              <w:rPr>
                <w:rFonts w:hint="default" w:ascii="Times New Roman" w:hAnsi="Times New Roman" w:eastAsia="宋体" w:cs="Times New Roman"/>
                <w:color w:val="auto"/>
                <w:highlight w:val="none"/>
              </w:rPr>
              <w:t>化粪池处理</w:t>
            </w:r>
            <w:r>
              <w:rPr>
                <w:rFonts w:hint="eastAsia" w:cs="Times New Roman"/>
                <w:color w:val="auto"/>
                <w:sz w:val="24"/>
                <w:highlight w:val="none"/>
                <w:lang w:val="en-US" w:eastAsia="zh-CN"/>
              </w:rPr>
              <w:t>经</w:t>
            </w:r>
            <w:r>
              <w:rPr>
                <w:rFonts w:hint="default" w:ascii="Times New Roman" w:hAnsi="Times New Roman" w:cs="Times New Roman"/>
                <w:color w:val="auto"/>
                <w:sz w:val="24"/>
                <w:highlight w:val="none"/>
              </w:rPr>
              <w:t>市政污水管网统一纳入</w:t>
            </w:r>
            <w:r>
              <w:rPr>
                <w:rFonts w:hint="eastAsia" w:cs="Times New Roman"/>
                <w:color w:val="auto"/>
                <w:sz w:val="24"/>
                <w:highlight w:val="none"/>
                <w:lang w:val="en-US" w:eastAsia="zh-CN"/>
              </w:rPr>
              <w:t>洋里污水处理厂</w:t>
            </w:r>
            <w:r>
              <w:rPr>
                <w:rFonts w:hint="default" w:ascii="Times New Roman" w:hAnsi="Times New Roman" w:cs="Times New Roman"/>
                <w:color w:val="auto"/>
                <w:sz w:val="24"/>
                <w:highlight w:val="none"/>
              </w:rPr>
              <w:t>。</w:t>
            </w:r>
          </w:p>
          <w:p w14:paraId="7A135A3B">
            <w:pPr>
              <w:pStyle w:val="157"/>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lang w:val="en-US" w:eastAsia="zh-CN"/>
              </w:rPr>
              <w:t>根据建设项目的排污特点和生态环境部门有关排污总量控制要求</w:t>
            </w:r>
            <w:r>
              <w:rPr>
                <w:rFonts w:hint="default" w:ascii="Times New Roman" w:hAnsi="Times New Roman" w:eastAsia="宋体" w:cs="Times New Roman"/>
                <w:color w:val="auto"/>
                <w:szCs w:val="24"/>
                <w:highlight w:val="none"/>
              </w:rPr>
              <w:t>，</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完成后，总量控制指标为COD</w:t>
            </w:r>
            <w:r>
              <w:rPr>
                <w:rFonts w:hint="eastAsia" w:ascii="Times New Roman" w:hAnsi="Times New Roman" w:eastAsia="宋体" w:cs="Times New Roman"/>
                <w:color w:val="auto"/>
                <w:szCs w:val="24"/>
                <w:highlight w:val="none"/>
                <w:vertAlign w:val="subscript"/>
                <w:lang w:val="en-US" w:eastAsia="zh-CN"/>
              </w:rPr>
              <w:t>Cr</w:t>
            </w:r>
            <w:r>
              <w:rPr>
                <w:rFonts w:hint="default" w:ascii="Times New Roman" w:hAnsi="Times New Roman" w:eastAsia="宋体" w:cs="Times New Roman"/>
                <w:color w:val="auto"/>
                <w:szCs w:val="24"/>
                <w:highlight w:val="none"/>
              </w:rPr>
              <w:t>、NH</w:t>
            </w:r>
            <w:r>
              <w:rPr>
                <w:rFonts w:hint="default" w:ascii="Times New Roman" w:hAnsi="Times New Roman" w:eastAsia="宋体" w:cs="Times New Roman"/>
                <w:color w:val="auto"/>
                <w:szCs w:val="24"/>
                <w:highlight w:val="none"/>
                <w:vertAlign w:val="subscript"/>
              </w:rPr>
              <w:t>3</w:t>
            </w:r>
            <w:r>
              <w:rPr>
                <w:rFonts w:hint="default" w:ascii="Times New Roman" w:hAnsi="Times New Roman" w:eastAsia="宋体" w:cs="Times New Roman"/>
                <w:color w:val="auto"/>
                <w:szCs w:val="24"/>
                <w:highlight w:val="none"/>
              </w:rPr>
              <w:t>-N。</w:t>
            </w:r>
            <w:r>
              <w:rPr>
                <w:rFonts w:hint="eastAsia" w:ascii="Times New Roman" w:hAnsi="Times New Roman" w:eastAsia="宋体" w:cs="Times New Roman"/>
                <w:color w:val="auto"/>
                <w:szCs w:val="24"/>
                <w:highlight w:val="none"/>
                <w:shd w:val="clear" w:fill="FFFFFF" w:themeFill="background1"/>
                <w:lang w:eastAsia="zh-CN"/>
              </w:rPr>
              <w:t>项目</w:t>
            </w:r>
            <w:r>
              <w:rPr>
                <w:rFonts w:hint="default" w:ascii="Times New Roman" w:hAnsi="Times New Roman" w:eastAsia="宋体" w:cs="Times New Roman"/>
                <w:color w:val="auto"/>
                <w:szCs w:val="24"/>
                <w:highlight w:val="none"/>
                <w:shd w:val="clear" w:fill="FFFFFF" w:themeFill="background1"/>
              </w:rPr>
              <w:t>相关污染物排放量为COD</w:t>
            </w:r>
            <w:r>
              <w:rPr>
                <w:rFonts w:hint="eastAsia" w:ascii="Times New Roman" w:hAnsi="Times New Roman" w:eastAsia="宋体" w:cs="Times New Roman"/>
                <w:color w:val="auto"/>
                <w:szCs w:val="24"/>
                <w:highlight w:val="none"/>
                <w:vertAlign w:val="subscript"/>
                <w:lang w:val="en-US" w:eastAsia="zh-CN"/>
              </w:rPr>
              <w:t>Cr</w:t>
            </w:r>
            <w:r>
              <w:rPr>
                <w:rFonts w:hint="eastAsia" w:ascii="Times New Roman" w:hAnsi="Times New Roman" w:eastAsia="宋体" w:cs="Times New Roman"/>
                <w:color w:val="auto"/>
                <w:szCs w:val="24"/>
                <w:highlight w:val="none"/>
                <w:shd w:val="clear" w:fill="FFFFFF" w:themeFill="background1"/>
                <w:lang w:eastAsia="zh-CN"/>
              </w:rPr>
              <w:t>：</w:t>
            </w:r>
            <w:r>
              <w:rPr>
                <w:rFonts w:hint="default" w:ascii="Times New Roman" w:hAnsi="Times New Roman" w:eastAsia="宋体" w:cs="Times New Roman"/>
                <w:color w:val="auto"/>
                <w:szCs w:val="24"/>
                <w:highlight w:val="none"/>
                <w:shd w:val="clear" w:fill="FFFFFF" w:themeFill="background1"/>
              </w:rPr>
              <w:t>0.0</w:t>
            </w:r>
            <w:r>
              <w:rPr>
                <w:rFonts w:hint="eastAsia" w:ascii="Times New Roman" w:hAnsi="Times New Roman" w:eastAsia="宋体" w:cs="Times New Roman"/>
                <w:color w:val="auto"/>
                <w:szCs w:val="24"/>
                <w:highlight w:val="none"/>
                <w:shd w:val="clear" w:fill="FFFFFF" w:themeFill="background1"/>
                <w:lang w:val="en-US" w:eastAsia="zh-CN"/>
              </w:rPr>
              <w:t>1419</w:t>
            </w:r>
            <w:r>
              <w:rPr>
                <w:rFonts w:hint="default" w:ascii="Times New Roman" w:hAnsi="Times New Roman" w:eastAsia="宋体" w:cs="Times New Roman"/>
                <w:color w:val="auto"/>
                <w:szCs w:val="24"/>
                <w:highlight w:val="none"/>
                <w:shd w:val="clear" w:fill="FFFFFF" w:themeFill="background1"/>
              </w:rPr>
              <w:t>t/a、NH</w:t>
            </w:r>
            <w:r>
              <w:rPr>
                <w:rFonts w:hint="default" w:ascii="Times New Roman" w:hAnsi="Times New Roman" w:eastAsia="宋体" w:cs="Times New Roman"/>
                <w:color w:val="auto"/>
                <w:szCs w:val="24"/>
                <w:highlight w:val="none"/>
                <w:shd w:val="clear" w:fill="FFFFFF" w:themeFill="background1"/>
                <w:vertAlign w:val="subscript"/>
              </w:rPr>
              <w:t>3</w:t>
            </w:r>
            <w:r>
              <w:rPr>
                <w:rFonts w:hint="default" w:ascii="Times New Roman" w:hAnsi="Times New Roman" w:eastAsia="宋体" w:cs="Times New Roman"/>
                <w:color w:val="auto"/>
                <w:szCs w:val="24"/>
                <w:highlight w:val="none"/>
                <w:shd w:val="clear" w:fill="FFFFFF" w:themeFill="background1"/>
              </w:rPr>
              <w:t>-N：</w:t>
            </w:r>
            <w:r>
              <w:rPr>
                <w:rFonts w:hint="default" w:ascii="Times New Roman" w:hAnsi="Times New Roman" w:eastAsia="宋体" w:cs="Times New Roman"/>
                <w:color w:val="auto"/>
                <w:szCs w:val="24"/>
                <w:highlight w:val="none"/>
                <w:shd w:val="clear" w:fill="FFFFFF" w:themeFill="background1"/>
                <w:lang w:val="en-US" w:eastAsia="zh-CN"/>
              </w:rPr>
              <w:t>0.0</w:t>
            </w:r>
            <w:r>
              <w:rPr>
                <w:rFonts w:hint="eastAsia" w:ascii="Times New Roman" w:hAnsi="Times New Roman" w:eastAsia="宋体" w:cs="Times New Roman"/>
                <w:color w:val="auto"/>
                <w:szCs w:val="24"/>
                <w:highlight w:val="none"/>
                <w:shd w:val="clear" w:fill="FFFFFF" w:themeFill="background1"/>
                <w:lang w:val="en-US" w:eastAsia="zh-CN"/>
              </w:rPr>
              <w:t>1277</w:t>
            </w:r>
            <w:r>
              <w:rPr>
                <w:rFonts w:hint="default" w:ascii="Times New Roman" w:hAnsi="Times New Roman" w:eastAsia="宋体" w:cs="Times New Roman"/>
                <w:color w:val="auto"/>
                <w:szCs w:val="24"/>
                <w:highlight w:val="none"/>
                <w:shd w:val="clear" w:fill="FFFFFF" w:themeFill="background1"/>
              </w:rPr>
              <w:t>t/a，</w:t>
            </w:r>
            <w:r>
              <w:rPr>
                <w:rFonts w:hint="default" w:ascii="Times New Roman" w:hAnsi="Times New Roman" w:eastAsia="宋体" w:cs="Times New Roman"/>
                <w:color w:val="auto"/>
                <w:szCs w:val="24"/>
                <w:highlight w:val="none"/>
              </w:rPr>
              <w:t>该</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总量由</w:t>
            </w:r>
            <w:r>
              <w:rPr>
                <w:rFonts w:hint="eastAsia" w:ascii="Times New Roman" w:hAnsi="Times New Roman" w:eastAsia="宋体" w:cs="Times New Roman"/>
                <w:color w:val="auto"/>
                <w:szCs w:val="24"/>
                <w:highlight w:val="none"/>
                <w:lang w:eastAsia="zh-CN"/>
              </w:rPr>
              <w:t>洋里污水处理厂</w:t>
            </w:r>
            <w:r>
              <w:rPr>
                <w:rFonts w:hint="default" w:ascii="Times New Roman" w:hAnsi="Times New Roman" w:eastAsia="宋体" w:cs="Times New Roman"/>
                <w:color w:val="auto"/>
                <w:szCs w:val="24"/>
                <w:highlight w:val="none"/>
              </w:rPr>
              <w:t>统一调剂，因此</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废水不需要申请总量控制项目。</w:t>
            </w:r>
          </w:p>
          <w:p w14:paraId="710812E5">
            <w:pPr>
              <w:pStyle w:val="157"/>
              <w:ind w:firstLine="480"/>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highlight w:val="none"/>
                <w:lang w:val="en-US" w:eastAsia="zh-CN"/>
              </w:rPr>
              <w:t>根据福建省环保厅关于印发《福建省主要污染物排污权指标核定管理办法（试行）》的通知（闽环发〔</w:t>
            </w:r>
            <w:r>
              <w:rPr>
                <w:rFonts w:hint="eastAsia" w:ascii="Times New Roman" w:hAnsi="Times New Roman" w:eastAsia="宋体" w:cs="Times New Roman"/>
                <w:color w:val="auto"/>
                <w:highlight w:val="none"/>
                <w:lang w:val="en-US" w:eastAsia="zh-CN"/>
              </w:rPr>
              <w:t>2014</w:t>
            </w:r>
            <w:r>
              <w:rPr>
                <w:rFonts w:hint="default" w:ascii="Times New Roman" w:hAnsi="Times New Roman" w:eastAsia="宋体" w:cs="Times New Roman"/>
                <w:color w:val="auto"/>
                <w:highlight w:val="none"/>
                <w:lang w:val="en-US" w:eastAsia="zh-CN"/>
              </w:rPr>
              <w:t>〕12号）、《福建省环保厅关于进一步加快推进排污权有偿使用和交易工作的意见》（闽环发〔2015〕6号），其适用范围为：福建省范围内现有工业排污单位、集中式水污染治理单位排污权的核定和管理。本项目属于</w:t>
            </w:r>
            <w:r>
              <w:rPr>
                <w:rFonts w:hint="eastAsia" w:ascii="Times New Roman" w:hAnsi="Times New Roman" w:eastAsia="宋体" w:cs="Times New Roman"/>
                <w:color w:val="auto"/>
                <w:highlight w:val="none"/>
                <w:lang w:val="en-US" w:eastAsia="zh-CN"/>
              </w:rPr>
              <w:t>宠物</w:t>
            </w:r>
            <w:r>
              <w:rPr>
                <w:rFonts w:hint="default" w:ascii="Times New Roman" w:hAnsi="Times New Roman" w:eastAsia="宋体" w:cs="Times New Roman"/>
                <w:color w:val="auto"/>
                <w:highlight w:val="none"/>
                <w:lang w:val="en-US" w:eastAsia="zh-CN"/>
              </w:rPr>
              <w:t>服务型项目，不在需要购买总量的工业排污单位、集中式水污染治理单位范畴，无需购买总量。</w:t>
            </w:r>
          </w:p>
        </w:tc>
      </w:tr>
    </w:tbl>
    <w:p w14:paraId="4B67E955">
      <w:pPr>
        <w:pStyle w:val="157"/>
        <w:ind w:firstLine="480"/>
        <w:rPr>
          <w:rFonts w:ascii="Times New Roman" w:hAnsi="Times New Roman" w:cs="Times New Roman"/>
          <w:color w:val="auto"/>
          <w:highlight w:val="none"/>
        </w:rPr>
        <w:sectPr>
          <w:footerReference r:id="rId7" w:type="default"/>
          <w:pgSz w:w="11906" w:h="16838"/>
          <w:pgMar w:top="1418" w:right="1134" w:bottom="1418" w:left="1134" w:header="851" w:footer="992" w:gutter="0"/>
          <w:pgBorders>
            <w:top w:val="none" w:sz="0" w:space="0"/>
            <w:left w:val="none" w:sz="0" w:space="0"/>
            <w:bottom w:val="none" w:sz="0" w:space="0"/>
            <w:right w:val="none" w:sz="0" w:space="0"/>
          </w:pgBorders>
          <w:pgNumType w:fmt="decimal"/>
          <w:cols w:space="720" w:num="1"/>
          <w:docGrid w:linePitch="367" w:charSpace="915"/>
        </w:sectPr>
      </w:pPr>
    </w:p>
    <w:p w14:paraId="1C4DEACC">
      <w:pPr>
        <w:pStyle w:val="2"/>
        <w:keepNext/>
        <w:keepLines/>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bookmarkStart w:id="77" w:name="_Toc7723"/>
      <w:bookmarkStart w:id="78" w:name="_Toc5727"/>
      <w:bookmarkStart w:id="79" w:name="_Toc133251546"/>
      <w:r>
        <w:rPr>
          <w:color w:val="auto"/>
          <w:highlight w:val="none"/>
        </w:rPr>
        <w:t>主要环境影响和保护措施</w:t>
      </w:r>
      <w:bookmarkEnd w:id="77"/>
      <w:bookmarkEnd w:id="78"/>
      <w:bookmarkEnd w:id="79"/>
    </w:p>
    <w:tbl>
      <w:tblPr>
        <w:tblStyle w:val="50"/>
        <w:tblW w:w="928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8564"/>
      </w:tblGrid>
      <w:tr w14:paraId="1FE943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956" w:type="dxa"/>
            <w:tcMar>
              <w:left w:w="28" w:type="dxa"/>
              <w:right w:w="28" w:type="dxa"/>
            </w:tcMar>
            <w:vAlign w:val="center"/>
          </w:tcPr>
          <w:p w14:paraId="4A4AFB6C">
            <w:pPr>
              <w:pStyle w:val="45"/>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highlight w:val="none"/>
              </w:rPr>
              <w:t>施工期环境保护措施</w:t>
            </w:r>
          </w:p>
        </w:tc>
        <w:tc>
          <w:tcPr>
            <w:tcW w:w="8324" w:type="dxa"/>
            <w:vAlign w:val="center"/>
          </w:tcPr>
          <w:p w14:paraId="6C8B6744">
            <w:pPr>
              <w:pStyle w:val="157"/>
              <w:ind w:left="0" w:leftChars="0" w:firstLine="0" w:firstLineChars="0"/>
              <w:rPr>
                <w:rFonts w:hint="default" w:ascii="Times New Roman" w:hAnsi="Times New Roman" w:eastAsia="宋体" w:cs="Times New Roman"/>
                <w:b/>
                <w:bCs w:val="0"/>
                <w:color w:val="auto"/>
                <w:sz w:val="28"/>
                <w:szCs w:val="28"/>
                <w:highlight w:val="none"/>
                <w:lang w:val="en-US" w:eastAsia="zh-CN"/>
              </w:rPr>
            </w:pPr>
            <w:r>
              <w:rPr>
                <w:rFonts w:hint="default" w:ascii="Times New Roman" w:hAnsi="Times New Roman" w:eastAsia="宋体" w:cs="Times New Roman"/>
                <w:b/>
                <w:bCs w:val="0"/>
                <w:color w:val="auto"/>
                <w:sz w:val="28"/>
                <w:szCs w:val="28"/>
                <w:highlight w:val="none"/>
                <w:lang w:val="en-US" w:eastAsia="zh-CN"/>
              </w:rPr>
              <w:t>4.1 施工期环境保护措施</w:t>
            </w:r>
          </w:p>
          <w:p w14:paraId="68498AC5">
            <w:pPr>
              <w:pStyle w:val="157"/>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根据现场勘查，项目租赁现有店面作为经营场所，施工期不涉及土建工程，建设单位主要根据其自身需要对该建筑进行</w:t>
            </w:r>
            <w:r>
              <w:rPr>
                <w:rFonts w:hint="default" w:ascii="Times New Roman" w:hAnsi="Times New Roman" w:eastAsia="宋体" w:cs="Times New Roman"/>
                <w:color w:val="auto"/>
                <w:highlight w:val="none"/>
                <w:lang w:val="en-US" w:eastAsia="zh-CN"/>
              </w:rPr>
              <w:t>简单</w:t>
            </w:r>
            <w:r>
              <w:rPr>
                <w:rFonts w:hint="default" w:ascii="Times New Roman" w:hAnsi="Times New Roman" w:eastAsia="宋体" w:cs="Times New Roman"/>
                <w:color w:val="auto"/>
                <w:highlight w:val="none"/>
              </w:rPr>
              <w:t>装修和安放设备。施工量小、施工时间短、施工期环境影响微小。因此，</w:t>
            </w:r>
            <w:r>
              <w:rPr>
                <w:rFonts w:hint="eastAsia" w:ascii="Arial" w:hAnsi="Arial" w:eastAsia="Arial" w:cs="Arial"/>
                <w:i w:val="0"/>
                <w:iCs w:val="0"/>
                <w:caps w:val="0"/>
                <w:color w:val="191919"/>
                <w:spacing w:val="0"/>
                <w:sz w:val="24"/>
                <w:szCs w:val="24"/>
                <w:highlight w:val="none"/>
                <w:shd w:val="clear" w:fill="FFFFFF"/>
              </w:rPr>
              <w:t>故本次环评对施工期作简单介绍，工程分析主要针对</w:t>
            </w:r>
            <w:r>
              <w:rPr>
                <w:rFonts w:hint="eastAsia" w:ascii="Arial" w:hAnsi="Arial" w:eastAsia="宋体" w:cs="Arial"/>
                <w:i w:val="0"/>
                <w:iCs w:val="0"/>
                <w:caps w:val="0"/>
                <w:color w:val="191919"/>
                <w:spacing w:val="0"/>
                <w:sz w:val="24"/>
                <w:szCs w:val="24"/>
                <w:highlight w:val="none"/>
                <w:shd w:val="clear" w:fill="FFFFFF"/>
                <w:lang w:val="en-US" w:eastAsia="zh-CN"/>
              </w:rPr>
              <w:t>运营期</w:t>
            </w:r>
            <w:r>
              <w:rPr>
                <w:rFonts w:hint="eastAsia" w:ascii="Arial" w:hAnsi="Arial" w:eastAsia="Arial" w:cs="Arial"/>
                <w:i w:val="0"/>
                <w:iCs w:val="0"/>
                <w:caps w:val="0"/>
                <w:color w:val="191919"/>
                <w:spacing w:val="0"/>
                <w:sz w:val="24"/>
                <w:szCs w:val="24"/>
                <w:highlight w:val="none"/>
                <w:shd w:val="clear" w:fill="FFFFFF"/>
              </w:rPr>
              <w:t>产排污进行分析。</w:t>
            </w:r>
          </w:p>
        </w:tc>
      </w:tr>
      <w:tr w14:paraId="50B58E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956" w:type="dxa"/>
            <w:tcMar>
              <w:left w:w="28" w:type="dxa"/>
              <w:right w:w="28" w:type="dxa"/>
            </w:tcMar>
            <w:vAlign w:val="center"/>
          </w:tcPr>
          <w:p w14:paraId="04CA2DF5">
            <w:pPr>
              <w:pStyle w:val="45"/>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bCs/>
                <w:color w:val="auto"/>
                <w:szCs w:val="21"/>
                <w:highlight w:val="none"/>
              </w:rPr>
              <w:t>运营期环境影响和保护措施</w:t>
            </w:r>
          </w:p>
        </w:tc>
        <w:tc>
          <w:tcPr>
            <w:tcW w:w="8324" w:type="dxa"/>
            <w:vAlign w:val="center"/>
          </w:tcPr>
          <w:p w14:paraId="6C283C28">
            <w:pPr>
              <w:pStyle w:val="3"/>
              <w:pageBreakBefore w:val="0"/>
              <w:numPr>
                <w:ilvl w:val="1"/>
                <w:numId w:val="0"/>
              </w:numPr>
              <w:kinsoku/>
              <w:overflowPunct/>
              <w:autoSpaceDE/>
              <w:autoSpaceDN/>
              <w:bidi w:val="0"/>
              <w:ind w:leftChars="0"/>
              <w:jc w:val="both"/>
              <w:rPr>
                <w:rFonts w:hint="default" w:ascii="Times New Roman" w:hAnsi="Times New Roman" w:cs="Times New Roman"/>
                <w:color w:val="auto"/>
                <w:highlight w:val="none"/>
              </w:rPr>
            </w:pPr>
            <w:bookmarkStart w:id="80" w:name="_Toc133251550"/>
            <w:bookmarkStart w:id="81" w:name="_Toc9730"/>
            <w:bookmarkStart w:id="82" w:name="_Toc783"/>
            <w:r>
              <w:rPr>
                <w:rFonts w:hint="eastAsia" w:cs="Times New Roman"/>
                <w:color w:val="auto"/>
                <w:highlight w:val="none"/>
                <w:lang w:val="en-US" w:eastAsia="zh-CN"/>
              </w:rPr>
              <w:t xml:space="preserve">4.2 </w:t>
            </w:r>
            <w:r>
              <w:rPr>
                <w:rFonts w:hint="default" w:ascii="Times New Roman" w:hAnsi="Times New Roman" w:cs="Times New Roman"/>
                <w:color w:val="auto"/>
                <w:highlight w:val="none"/>
              </w:rPr>
              <w:t>运营期污染源分析</w:t>
            </w:r>
            <w:bookmarkEnd w:id="80"/>
            <w:bookmarkEnd w:id="81"/>
            <w:bookmarkEnd w:id="82"/>
          </w:p>
          <w:p w14:paraId="6DD2C6B7">
            <w:pPr>
              <w:pStyle w:val="4"/>
              <w:pageBreakBefore w:val="0"/>
              <w:numPr>
                <w:ilvl w:val="2"/>
                <w:numId w:val="0"/>
              </w:numPr>
              <w:kinsoku/>
              <w:overflowPunct/>
              <w:autoSpaceDE/>
              <w:autoSpaceDN/>
              <w:bidi w:val="0"/>
              <w:ind w:leftChars="0"/>
              <w:jc w:val="both"/>
              <w:rPr>
                <w:rFonts w:hint="default" w:ascii="Times New Roman" w:hAnsi="Times New Roman" w:cs="Times New Roman"/>
                <w:color w:val="auto"/>
                <w:highlight w:val="none"/>
              </w:rPr>
            </w:pPr>
            <w:bookmarkStart w:id="83" w:name="_Toc9828_WPSOffice_Level3"/>
            <w:bookmarkStart w:id="84" w:name="_Toc10690"/>
            <w:bookmarkStart w:id="85" w:name="_Toc5260"/>
            <w:r>
              <w:rPr>
                <w:rFonts w:hint="eastAsia" w:cs="Times New Roman"/>
                <w:color w:val="auto"/>
                <w:highlight w:val="none"/>
                <w:lang w:val="en-US" w:eastAsia="zh-CN"/>
              </w:rPr>
              <w:t xml:space="preserve">4.2.1 </w:t>
            </w:r>
            <w:r>
              <w:rPr>
                <w:rFonts w:hint="default" w:ascii="Times New Roman" w:hAnsi="Times New Roman" w:cs="Times New Roman"/>
                <w:color w:val="auto"/>
                <w:highlight w:val="none"/>
              </w:rPr>
              <w:t>水污染源分析</w:t>
            </w:r>
            <w:bookmarkEnd w:id="83"/>
            <w:bookmarkEnd w:id="84"/>
            <w:bookmarkEnd w:id="85"/>
          </w:p>
          <w:p w14:paraId="230AAD05">
            <w:pPr>
              <w:pStyle w:val="157"/>
              <w:pageBreakBefore w:val="0"/>
              <w:kinsoku/>
              <w:overflowPunct/>
              <w:autoSpaceDE/>
              <w:autoSpaceDN/>
              <w:bidi w:val="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生活污水</w:t>
            </w:r>
          </w:p>
          <w:p w14:paraId="5A923E3A">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根据水平衡分析可知，项目生活污水排放量</w:t>
            </w:r>
            <w:r>
              <w:rPr>
                <w:rFonts w:hint="eastAsia" w:ascii="Times New Roman" w:hAnsi="Times New Roman" w:eastAsia="宋体" w:cs="Times New Roman"/>
                <w:color w:val="auto"/>
                <w:szCs w:val="24"/>
                <w:highlight w:val="none"/>
                <w:lang w:val="en-US" w:eastAsia="zh-CN"/>
              </w:rPr>
              <w:t>为81</w:t>
            </w:r>
            <w:r>
              <w:rPr>
                <w:rFonts w:hint="default" w:ascii="Times New Roman" w:hAnsi="Times New Roman" w:eastAsia="宋体" w:cs="Times New Roman"/>
                <w:color w:val="auto"/>
                <w:szCs w:val="24"/>
                <w:highlight w:val="none"/>
              </w:rPr>
              <w:t>t/a</w:t>
            </w:r>
            <w:r>
              <w:rPr>
                <w:rFonts w:hint="default" w:ascii="Times New Roman" w:hAnsi="Times New Roman" w:eastAsia="宋体" w:cs="Times New Roman"/>
                <w:color w:val="auto"/>
                <w:szCs w:val="24"/>
                <w:highlight w:val="none"/>
                <w:lang w:eastAsia="zh-CN"/>
              </w:rPr>
              <w:t>，</w:t>
            </w:r>
            <w:r>
              <w:rPr>
                <w:rFonts w:hint="eastAsia"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《给排水设计手册》（第五册城镇排水，中国建筑工业出版社）典型生活污水水质示例</w:t>
            </w:r>
            <w:r>
              <w:rPr>
                <w:rFonts w:hint="eastAsia" w:ascii="Times New Roman" w:hAnsi="Times New Roman" w:eastAsia="宋体" w:cs="Times New Roman"/>
                <w:color w:val="auto"/>
                <w:szCs w:val="24"/>
                <w:highlight w:val="none"/>
                <w:lang w:eastAsia="zh-CN"/>
              </w:rPr>
              <w:t>（</w:t>
            </w:r>
            <w:r>
              <w:rPr>
                <w:rFonts w:hint="eastAsia" w:ascii="Times New Roman" w:hAnsi="Times New Roman" w:eastAsia="宋体" w:cs="Times New Roman"/>
                <w:color w:val="auto"/>
                <w:szCs w:val="24"/>
                <w:highlight w:val="none"/>
                <w:lang w:val="en-US" w:eastAsia="zh-CN"/>
              </w:rPr>
              <w:t>见表4-1）</w:t>
            </w:r>
            <w:r>
              <w:rPr>
                <w:rFonts w:hint="default" w:ascii="Times New Roman" w:hAnsi="Times New Roman" w:eastAsia="宋体" w:cs="Times New Roman"/>
                <w:color w:val="auto"/>
                <w:szCs w:val="24"/>
                <w:highlight w:val="none"/>
              </w:rPr>
              <w:t>，项目取COD</w:t>
            </w:r>
            <w:r>
              <w:rPr>
                <w:rFonts w:hint="eastAsia" w:ascii="Times New Roman" w:hAnsi="Times New Roman" w:eastAsia="宋体" w:cs="Times New Roman"/>
                <w:color w:val="auto"/>
                <w:highlight w:val="none"/>
                <w:vertAlign w:val="subscript"/>
                <w:lang w:val="en-US" w:eastAsia="zh-CN"/>
              </w:rPr>
              <w:t>Cr</w:t>
            </w:r>
            <w:r>
              <w:rPr>
                <w:rFonts w:hint="default" w:ascii="Times New Roman" w:hAnsi="Times New Roman" w:eastAsia="宋体" w:cs="Times New Roman"/>
                <w:color w:val="auto"/>
                <w:szCs w:val="24"/>
                <w:highlight w:val="none"/>
              </w:rPr>
              <w:t>400mg/L，BOD</w:t>
            </w:r>
            <w:r>
              <w:rPr>
                <w:rFonts w:hint="default" w:ascii="Times New Roman" w:hAnsi="Times New Roman" w:eastAsia="宋体" w:cs="Times New Roman"/>
                <w:color w:val="auto"/>
                <w:szCs w:val="24"/>
                <w:highlight w:val="none"/>
                <w:vertAlign w:val="subscript"/>
              </w:rPr>
              <w:t>5</w:t>
            </w:r>
            <w:r>
              <w:rPr>
                <w:rFonts w:hint="default" w:ascii="Times New Roman" w:hAnsi="Times New Roman" w:eastAsia="宋体" w:cs="Times New Roman"/>
                <w:color w:val="auto"/>
                <w:szCs w:val="24"/>
                <w:highlight w:val="none"/>
              </w:rPr>
              <w:t>200mg/L，SS200mg/L，氨氮45mg/L。经化粪池预处理后，COD</w:t>
            </w:r>
            <w:r>
              <w:rPr>
                <w:rFonts w:hint="eastAsia" w:ascii="Times New Roman" w:hAnsi="Times New Roman" w:eastAsia="宋体" w:cs="Times New Roman"/>
                <w:color w:val="auto"/>
                <w:szCs w:val="24"/>
                <w:highlight w:val="none"/>
                <w:u w:val="none"/>
                <w:vertAlign w:val="subscript"/>
                <w:lang w:val="en-US" w:eastAsia="zh-CN"/>
              </w:rPr>
              <w:t>Cr</w:t>
            </w:r>
            <w:r>
              <w:rPr>
                <w:rFonts w:hint="default" w:ascii="Times New Roman" w:hAnsi="Times New Roman" w:eastAsia="宋体" w:cs="Times New Roman"/>
                <w:color w:val="auto"/>
                <w:szCs w:val="24"/>
                <w:highlight w:val="none"/>
              </w:rPr>
              <w:t>、氨氮的去除率参照《建设项目环境影响审批登记表》填表说明中推荐的参数，分别为15%、3%；BOD</w:t>
            </w:r>
            <w:r>
              <w:rPr>
                <w:rFonts w:hint="default" w:ascii="Times New Roman" w:hAnsi="Times New Roman" w:eastAsia="宋体" w:cs="Times New Roman"/>
                <w:color w:val="auto"/>
                <w:szCs w:val="24"/>
                <w:highlight w:val="none"/>
                <w:vertAlign w:val="subscript"/>
              </w:rPr>
              <w:t>5</w:t>
            </w:r>
            <w:r>
              <w:rPr>
                <w:rFonts w:hint="default" w:ascii="Times New Roman" w:hAnsi="Times New Roman" w:eastAsia="宋体" w:cs="Times New Roman"/>
                <w:color w:val="auto"/>
                <w:szCs w:val="24"/>
                <w:highlight w:val="none"/>
              </w:rPr>
              <w:t>、SS的去除率参照刘毅梁发表的《武汉市住宅小区化粪池污染物去除效果调查与分析》中得出的结论，去除率分别为11%、47%。</w:t>
            </w:r>
          </w:p>
          <w:p w14:paraId="17696B5D">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表</w:t>
            </w:r>
            <w:r>
              <w:rPr>
                <w:rFonts w:hint="eastAsia" w:cs="Times New Roman"/>
                <w:b/>
                <w:bCs/>
                <w:color w:val="auto"/>
                <w:highlight w:val="none"/>
                <w:lang w:val="en-US" w:eastAsia="zh-CN"/>
              </w:rPr>
              <w:t>4</w:t>
            </w:r>
            <w:r>
              <w:rPr>
                <w:rFonts w:hint="default" w:ascii="Times New Roman" w:hAnsi="Times New Roman" w:eastAsia="宋体" w:cs="Times New Roman"/>
                <w:b/>
                <w:bCs/>
                <w:color w:val="auto"/>
                <w:highlight w:val="none"/>
              </w:rPr>
              <w:t>-</w:t>
            </w:r>
            <w:r>
              <w:rPr>
                <w:rFonts w:hint="eastAsia" w:cs="Times New Roman"/>
                <w:b/>
                <w:bCs/>
                <w:color w:val="auto"/>
                <w:highlight w:val="none"/>
                <w:lang w:val="en-US" w:eastAsia="zh-CN"/>
              </w:rPr>
              <w:t>1</w:t>
            </w:r>
            <w:r>
              <w:rPr>
                <w:rFonts w:hint="default" w:ascii="Times New Roman" w:hAnsi="Times New Roman" w:eastAsia="宋体" w:cs="Times New Roman"/>
                <w:b/>
                <w:bCs/>
                <w:color w:val="auto"/>
                <w:highlight w:val="none"/>
              </w:rPr>
              <w:t xml:space="preserve">  </w:t>
            </w:r>
            <w:r>
              <w:rPr>
                <w:rFonts w:hint="eastAsia" w:cs="Times New Roman"/>
                <w:b/>
                <w:bCs/>
                <w:color w:val="auto"/>
                <w:szCs w:val="24"/>
                <w:highlight w:val="none"/>
                <w:lang w:val="en-US" w:eastAsia="zh-CN"/>
              </w:rPr>
              <w:t>典型生活污水水质示例</w:t>
            </w:r>
          </w:p>
          <w:tbl>
            <w:tblPr>
              <w:tblStyle w:val="50"/>
              <w:tblpPr w:leftFromText="180" w:rightFromText="180" w:vertAnchor="text" w:tblpXSpec="center" w:tblpY="1"/>
              <w:tblW w:w="81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4"/>
              <w:gridCol w:w="1325"/>
              <w:gridCol w:w="1040"/>
              <w:gridCol w:w="1040"/>
              <w:gridCol w:w="1220"/>
              <w:gridCol w:w="2538"/>
            </w:tblGrid>
            <w:tr w14:paraId="72BE83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4" w:type="dxa"/>
                  <w:vMerge w:val="restart"/>
                  <w:vAlign w:val="center"/>
                </w:tcPr>
                <w:p w14:paraId="000EC4D0">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325" w:type="dxa"/>
                  <w:vMerge w:val="restart"/>
                  <w:vAlign w:val="center"/>
                </w:tcPr>
                <w:p w14:paraId="12895CC2">
                  <w:pPr>
                    <w:pStyle w:val="189"/>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指标</w:t>
                  </w:r>
                </w:p>
              </w:tc>
              <w:tc>
                <w:tcPr>
                  <w:tcW w:w="3300" w:type="dxa"/>
                  <w:gridSpan w:val="3"/>
                  <w:vAlign w:val="center"/>
                </w:tcPr>
                <w:p w14:paraId="1032B17B">
                  <w:pPr>
                    <w:pStyle w:val="189"/>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浓度（</w:t>
                  </w:r>
                  <w:r>
                    <w:rPr>
                      <w:rFonts w:hint="default" w:ascii="Times New Roman" w:hAnsi="Times New Roman" w:eastAsia="宋体" w:cs="Times New Roman"/>
                      <w:color w:val="auto"/>
                      <w:highlight w:val="none"/>
                    </w:rPr>
                    <w:t>mg/L</w:t>
                  </w:r>
                  <w:r>
                    <w:rPr>
                      <w:rFonts w:hint="eastAsia" w:ascii="Times New Roman" w:hAnsi="Times New Roman" w:eastAsia="宋体" w:cs="Times New Roman"/>
                      <w:color w:val="auto"/>
                      <w:highlight w:val="none"/>
                      <w:lang w:val="en-US" w:eastAsia="zh-CN"/>
                    </w:rPr>
                    <w:t>）</w:t>
                  </w:r>
                </w:p>
              </w:tc>
              <w:tc>
                <w:tcPr>
                  <w:tcW w:w="2538" w:type="dxa"/>
                  <w:vMerge w:val="restart"/>
                  <w:vAlign w:val="center"/>
                </w:tcPr>
                <w:p w14:paraId="3C78D9A6">
                  <w:pPr>
                    <w:pStyle w:val="189"/>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数据</w:t>
                  </w:r>
                  <w:r>
                    <w:rPr>
                      <w:rFonts w:hint="default" w:ascii="Times New Roman" w:hAnsi="Times New Roman" w:eastAsia="宋体" w:cs="Times New Roman"/>
                      <w:color w:val="auto"/>
                      <w:highlight w:val="none"/>
                    </w:rPr>
                    <w:t>来源</w:t>
                  </w:r>
                </w:p>
              </w:tc>
            </w:tr>
            <w:tr w14:paraId="157D6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4" w:type="dxa"/>
                  <w:vMerge w:val="continue"/>
                  <w:vAlign w:val="center"/>
                </w:tcPr>
                <w:p w14:paraId="0C74A91D">
                  <w:pPr>
                    <w:pStyle w:val="189"/>
                    <w:rPr>
                      <w:rFonts w:hint="default" w:ascii="Times New Roman" w:hAnsi="Times New Roman" w:eastAsia="宋体" w:cs="Times New Roman"/>
                      <w:color w:val="auto"/>
                      <w:highlight w:val="none"/>
                    </w:rPr>
                  </w:pPr>
                </w:p>
              </w:tc>
              <w:tc>
                <w:tcPr>
                  <w:tcW w:w="1325" w:type="dxa"/>
                  <w:vMerge w:val="continue"/>
                  <w:vAlign w:val="center"/>
                </w:tcPr>
                <w:p w14:paraId="1733CBE0">
                  <w:pPr>
                    <w:pStyle w:val="189"/>
                    <w:rPr>
                      <w:rFonts w:hint="eastAsia" w:ascii="Times New Roman" w:hAnsi="Times New Roman" w:eastAsia="宋体" w:cs="Times New Roman"/>
                      <w:color w:val="auto"/>
                      <w:highlight w:val="none"/>
                      <w:lang w:val="en-US" w:eastAsia="zh-CN"/>
                    </w:rPr>
                  </w:pPr>
                </w:p>
              </w:tc>
              <w:tc>
                <w:tcPr>
                  <w:tcW w:w="1040" w:type="dxa"/>
                  <w:vAlign w:val="center"/>
                </w:tcPr>
                <w:p w14:paraId="7007B674">
                  <w:pPr>
                    <w:pStyle w:val="189"/>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高</w:t>
                  </w:r>
                </w:p>
              </w:tc>
              <w:tc>
                <w:tcPr>
                  <w:tcW w:w="1040" w:type="dxa"/>
                  <w:vAlign w:val="center"/>
                </w:tcPr>
                <w:p w14:paraId="1FC5015E">
                  <w:pPr>
                    <w:pStyle w:val="189"/>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中</w:t>
                  </w:r>
                </w:p>
              </w:tc>
              <w:tc>
                <w:tcPr>
                  <w:tcW w:w="1220" w:type="dxa"/>
                  <w:vAlign w:val="center"/>
                </w:tcPr>
                <w:p w14:paraId="17D13F30">
                  <w:pPr>
                    <w:pStyle w:val="189"/>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低</w:t>
                  </w:r>
                </w:p>
              </w:tc>
              <w:tc>
                <w:tcPr>
                  <w:tcW w:w="2538" w:type="dxa"/>
                  <w:vMerge w:val="continue"/>
                  <w:vAlign w:val="center"/>
                </w:tcPr>
                <w:p w14:paraId="4F41CD79">
                  <w:pPr>
                    <w:pStyle w:val="189"/>
                    <w:rPr>
                      <w:rFonts w:hint="eastAsia" w:ascii="Times New Roman" w:hAnsi="Times New Roman" w:eastAsia="宋体" w:cs="Times New Roman"/>
                      <w:color w:val="auto"/>
                      <w:highlight w:val="none"/>
                      <w:lang w:val="en-US" w:eastAsia="zh-CN"/>
                    </w:rPr>
                  </w:pPr>
                </w:p>
              </w:tc>
            </w:tr>
            <w:tr w14:paraId="16FA69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4" w:type="dxa"/>
                  <w:vAlign w:val="center"/>
                </w:tcPr>
                <w:p w14:paraId="0CB43028">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325" w:type="dxa"/>
                  <w:vAlign w:val="center"/>
                </w:tcPr>
                <w:p w14:paraId="7C850AE7">
                  <w:pPr>
                    <w:pStyle w:val="189"/>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COD</w:t>
                  </w:r>
                  <w:r>
                    <w:rPr>
                      <w:rFonts w:hint="eastAsia" w:ascii="Times New Roman" w:hAnsi="Times New Roman" w:eastAsia="宋体" w:cs="Times New Roman"/>
                      <w:color w:val="auto"/>
                      <w:highlight w:val="none"/>
                      <w:vertAlign w:val="subscript"/>
                      <w:lang w:val="en-US" w:eastAsia="zh-CN"/>
                    </w:rPr>
                    <w:t>Cr</w:t>
                  </w:r>
                </w:p>
              </w:tc>
              <w:tc>
                <w:tcPr>
                  <w:tcW w:w="1040" w:type="dxa"/>
                  <w:vAlign w:val="center"/>
                </w:tcPr>
                <w:p w14:paraId="7E06B6B4">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1000</w:t>
                  </w:r>
                </w:p>
              </w:tc>
              <w:tc>
                <w:tcPr>
                  <w:tcW w:w="1040" w:type="dxa"/>
                  <w:vAlign w:val="center"/>
                </w:tcPr>
                <w:p w14:paraId="4A10F50C">
                  <w:pPr>
                    <w:pStyle w:val="189"/>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400</w:t>
                  </w:r>
                </w:p>
              </w:tc>
              <w:tc>
                <w:tcPr>
                  <w:tcW w:w="1220" w:type="dxa"/>
                  <w:vAlign w:val="center"/>
                </w:tcPr>
                <w:p w14:paraId="2B778FE3">
                  <w:pPr>
                    <w:pStyle w:val="189"/>
                    <w:rPr>
                      <w:rFonts w:hint="default"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250</w:t>
                  </w:r>
                </w:p>
              </w:tc>
              <w:tc>
                <w:tcPr>
                  <w:tcW w:w="2538" w:type="dxa"/>
                  <w:vMerge w:val="restart"/>
                  <w:vAlign w:val="center"/>
                </w:tcPr>
                <w:p w14:paraId="74BED6C8">
                  <w:pPr>
                    <w:pStyle w:val="189"/>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Cs w:val="24"/>
                      <w:highlight w:val="none"/>
                    </w:rPr>
                    <w:t>《给排水设计手册》（第五册城镇排水，中国建筑工业出版社）</w:t>
                  </w:r>
                </w:p>
              </w:tc>
            </w:tr>
            <w:tr w14:paraId="347BC8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4" w:type="dxa"/>
                  <w:vAlign w:val="center"/>
                </w:tcPr>
                <w:p w14:paraId="42433893">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325" w:type="dxa"/>
                  <w:vAlign w:val="center"/>
                </w:tcPr>
                <w:p w14:paraId="54C013AC">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BOD</w:t>
                  </w:r>
                  <w:r>
                    <w:rPr>
                      <w:rFonts w:hint="default" w:ascii="Times New Roman" w:hAnsi="Times New Roman" w:eastAsia="宋体" w:cs="Times New Roman"/>
                      <w:color w:val="auto"/>
                      <w:highlight w:val="none"/>
                      <w:vertAlign w:val="subscript"/>
                    </w:rPr>
                    <w:t>5</w:t>
                  </w:r>
                </w:p>
              </w:tc>
              <w:tc>
                <w:tcPr>
                  <w:tcW w:w="1040" w:type="dxa"/>
                  <w:vAlign w:val="center"/>
                </w:tcPr>
                <w:p w14:paraId="657340EB">
                  <w:pPr>
                    <w:pStyle w:val="189"/>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400</w:t>
                  </w:r>
                </w:p>
              </w:tc>
              <w:tc>
                <w:tcPr>
                  <w:tcW w:w="1040" w:type="dxa"/>
                  <w:vAlign w:val="center"/>
                </w:tcPr>
                <w:p w14:paraId="65952839">
                  <w:pPr>
                    <w:pStyle w:val="189"/>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220</w:t>
                  </w:r>
                </w:p>
              </w:tc>
              <w:tc>
                <w:tcPr>
                  <w:tcW w:w="1220" w:type="dxa"/>
                  <w:vAlign w:val="center"/>
                </w:tcPr>
                <w:p w14:paraId="6410B062">
                  <w:pPr>
                    <w:pStyle w:val="189"/>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110</w:t>
                  </w:r>
                </w:p>
              </w:tc>
              <w:tc>
                <w:tcPr>
                  <w:tcW w:w="2538" w:type="dxa"/>
                  <w:vMerge w:val="continue"/>
                  <w:vAlign w:val="center"/>
                </w:tcPr>
                <w:p w14:paraId="7AD3F1C3">
                  <w:pPr>
                    <w:pStyle w:val="189"/>
                    <w:rPr>
                      <w:rFonts w:hint="default" w:ascii="Times New Roman" w:hAnsi="Times New Roman" w:eastAsia="宋体" w:cs="Times New Roman"/>
                      <w:color w:val="auto"/>
                      <w:highlight w:val="none"/>
                    </w:rPr>
                  </w:pPr>
                </w:p>
              </w:tc>
            </w:tr>
            <w:tr w14:paraId="03800F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4" w:type="dxa"/>
                  <w:vAlign w:val="center"/>
                </w:tcPr>
                <w:p w14:paraId="6F5D157C">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325" w:type="dxa"/>
                  <w:vAlign w:val="center"/>
                </w:tcPr>
                <w:p w14:paraId="38960228">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4"/>
                      <w:highlight w:val="none"/>
                    </w:rPr>
                    <w:t>SS</w:t>
                  </w:r>
                </w:p>
              </w:tc>
              <w:tc>
                <w:tcPr>
                  <w:tcW w:w="1040" w:type="dxa"/>
                  <w:vAlign w:val="center"/>
                </w:tcPr>
                <w:p w14:paraId="6EEEBE6C">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4"/>
                      <w:highlight w:val="none"/>
                    </w:rPr>
                    <w:t>350</w:t>
                  </w:r>
                </w:p>
              </w:tc>
              <w:tc>
                <w:tcPr>
                  <w:tcW w:w="1040" w:type="dxa"/>
                  <w:vAlign w:val="center"/>
                </w:tcPr>
                <w:p w14:paraId="5C701C5E">
                  <w:pPr>
                    <w:pStyle w:val="189"/>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200</w:t>
                  </w:r>
                </w:p>
              </w:tc>
              <w:tc>
                <w:tcPr>
                  <w:tcW w:w="1220" w:type="dxa"/>
                  <w:vAlign w:val="center"/>
                </w:tcPr>
                <w:p w14:paraId="5961883F">
                  <w:pPr>
                    <w:pStyle w:val="189"/>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w:t>
                  </w:r>
                </w:p>
              </w:tc>
              <w:tc>
                <w:tcPr>
                  <w:tcW w:w="2538" w:type="dxa"/>
                  <w:vMerge w:val="continue"/>
                  <w:vAlign w:val="center"/>
                </w:tcPr>
                <w:p w14:paraId="38973A0D">
                  <w:pPr>
                    <w:pStyle w:val="189"/>
                    <w:rPr>
                      <w:rFonts w:hint="default" w:ascii="Times New Roman" w:hAnsi="Times New Roman" w:eastAsia="宋体" w:cs="Times New Roman"/>
                      <w:color w:val="auto"/>
                      <w:highlight w:val="none"/>
                    </w:rPr>
                  </w:pPr>
                </w:p>
              </w:tc>
            </w:tr>
            <w:tr w14:paraId="16F25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4" w:type="dxa"/>
                  <w:vAlign w:val="center"/>
                </w:tcPr>
                <w:p w14:paraId="43BBD826">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325" w:type="dxa"/>
                  <w:vAlign w:val="center"/>
                </w:tcPr>
                <w:p w14:paraId="6238824E">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4"/>
                      <w:highlight w:val="none"/>
                    </w:rPr>
                    <w:t>氨氮</w:t>
                  </w:r>
                </w:p>
              </w:tc>
              <w:tc>
                <w:tcPr>
                  <w:tcW w:w="1040" w:type="dxa"/>
                  <w:vAlign w:val="center"/>
                </w:tcPr>
                <w:p w14:paraId="7B15460E">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4"/>
                      <w:highlight w:val="none"/>
                    </w:rPr>
                    <w:t>85</w:t>
                  </w:r>
                </w:p>
              </w:tc>
              <w:tc>
                <w:tcPr>
                  <w:tcW w:w="1040" w:type="dxa"/>
                  <w:vAlign w:val="center"/>
                </w:tcPr>
                <w:p w14:paraId="2970ACD8">
                  <w:pPr>
                    <w:pStyle w:val="189"/>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w:t>
                  </w:r>
                </w:p>
              </w:tc>
              <w:tc>
                <w:tcPr>
                  <w:tcW w:w="1220" w:type="dxa"/>
                  <w:vAlign w:val="center"/>
                </w:tcPr>
                <w:p w14:paraId="058EDDC6">
                  <w:pPr>
                    <w:pStyle w:val="189"/>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w:t>
                  </w:r>
                </w:p>
              </w:tc>
              <w:tc>
                <w:tcPr>
                  <w:tcW w:w="2538" w:type="dxa"/>
                  <w:vMerge w:val="continue"/>
                  <w:vAlign w:val="center"/>
                </w:tcPr>
                <w:p w14:paraId="613F198C">
                  <w:pPr>
                    <w:pStyle w:val="189"/>
                    <w:rPr>
                      <w:rFonts w:hint="default" w:ascii="Times New Roman" w:hAnsi="Times New Roman" w:eastAsia="宋体" w:cs="Times New Roman"/>
                      <w:color w:val="auto"/>
                      <w:highlight w:val="none"/>
                    </w:rPr>
                  </w:pPr>
                </w:p>
              </w:tc>
            </w:tr>
          </w:tbl>
          <w:p w14:paraId="5F317AB4">
            <w:pPr>
              <w:pStyle w:val="157"/>
              <w:keepNext w:val="0"/>
              <w:keepLines w:val="0"/>
              <w:pageBreakBefore w:val="0"/>
              <w:widowControl/>
              <w:kinsoku/>
              <w:wordWrap w:val="0"/>
              <w:overflowPunct/>
              <w:topLinePunct w:val="0"/>
              <w:autoSpaceDE/>
              <w:autoSpaceDN/>
              <w:bidi w:val="0"/>
              <w:adjustRightInd/>
              <w:snapToGrid/>
              <w:ind w:left="0" w:leftChars="0" w:firstLine="480" w:firstLineChars="200"/>
              <w:jc w:val="both"/>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2）宠物医疗废水、宠物美容废水</w:t>
            </w:r>
          </w:p>
          <w:p w14:paraId="2DC2819B">
            <w:pPr>
              <w:pStyle w:val="157"/>
              <w:keepNext w:val="0"/>
              <w:keepLines w:val="0"/>
              <w:pageBreakBefore w:val="0"/>
              <w:widowControl/>
              <w:kinsoku/>
              <w:wordWrap w:val="0"/>
              <w:overflowPunct/>
              <w:topLinePunct w:val="0"/>
              <w:autoSpaceDE/>
              <w:autoSpaceDN/>
              <w:bidi w:val="0"/>
              <w:adjustRightInd/>
              <w:snapToGrid/>
              <w:ind w:firstLine="480"/>
              <w:jc w:val="both"/>
              <w:textAlignment w:val="auto"/>
              <w:rPr>
                <w:rFonts w:hint="eastAsia" w:ascii="Times New Roman" w:hAnsi="Times New Roman" w:eastAsia="宋体" w:cs="Times New Roman"/>
                <w:color w:val="auto"/>
                <w:szCs w:val="24"/>
                <w:highlight w:val="none"/>
                <w:lang w:eastAsia="zh-CN"/>
              </w:rPr>
            </w:pPr>
            <w:r>
              <w:rPr>
                <w:rFonts w:hint="default" w:ascii="Times New Roman" w:hAnsi="Times New Roman" w:eastAsia="宋体" w:cs="Times New Roman"/>
                <w:color w:val="auto"/>
                <w:szCs w:val="24"/>
                <w:highlight w:val="none"/>
              </w:rPr>
              <w:t>本项目宠物</w:t>
            </w:r>
            <w:r>
              <w:rPr>
                <w:rFonts w:hint="eastAsia" w:ascii="Times New Roman" w:hAnsi="Times New Roman" w:eastAsia="宋体" w:cs="Times New Roman"/>
                <w:color w:val="auto"/>
                <w:szCs w:val="24"/>
                <w:highlight w:val="none"/>
                <w:lang w:eastAsia="zh-CN"/>
              </w:rPr>
              <w:t>宠物医疗</w:t>
            </w:r>
            <w:r>
              <w:rPr>
                <w:rFonts w:hint="default" w:ascii="Times New Roman" w:hAnsi="Times New Roman" w:eastAsia="宋体" w:cs="Times New Roman"/>
                <w:color w:val="auto"/>
                <w:szCs w:val="24"/>
                <w:highlight w:val="none"/>
              </w:rPr>
              <w:t>清洗</w:t>
            </w:r>
            <w:r>
              <w:rPr>
                <w:rFonts w:hint="eastAsia" w:ascii="Times New Roman" w:hAnsi="Times New Roman" w:eastAsia="宋体" w:cs="Times New Roman"/>
                <w:color w:val="auto"/>
                <w:szCs w:val="24"/>
                <w:highlight w:val="none"/>
                <w:lang w:val="en-US" w:eastAsia="zh-CN"/>
              </w:rPr>
              <w:t>废</w:t>
            </w:r>
            <w:r>
              <w:rPr>
                <w:rFonts w:hint="default" w:ascii="Times New Roman" w:hAnsi="Times New Roman" w:eastAsia="宋体" w:cs="Times New Roman"/>
                <w:color w:val="auto"/>
                <w:szCs w:val="24"/>
                <w:highlight w:val="none"/>
              </w:rPr>
              <w:t>水</w:t>
            </w:r>
            <w:r>
              <w:rPr>
                <w:rFonts w:hint="eastAsia" w:ascii="Times New Roman" w:hAnsi="Times New Roman" w:eastAsia="宋体" w:cs="Times New Roman"/>
                <w:color w:val="auto"/>
                <w:szCs w:val="24"/>
                <w:highlight w:val="none"/>
                <w:lang w:val="en-US" w:eastAsia="zh-CN"/>
              </w:rPr>
              <w:t>主要是术后器械清洗废水</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eastAsia="zh-CN"/>
              </w:rPr>
              <w:t>宠物美容废水主要是宠物洗浴产生的废水，</w:t>
            </w:r>
            <w:r>
              <w:rPr>
                <w:rFonts w:hint="default" w:ascii="Times New Roman" w:hAnsi="Times New Roman" w:eastAsia="宋体" w:cs="Times New Roman"/>
                <w:color w:val="auto"/>
                <w:szCs w:val="24"/>
                <w:highlight w:val="none"/>
              </w:rPr>
              <w:t>根据水平衡分析可知，</w:t>
            </w:r>
            <w:r>
              <w:rPr>
                <w:rFonts w:hint="eastAsia" w:ascii="Times New Roman" w:hAnsi="Times New Roman" w:eastAsia="宋体" w:cs="Times New Roman"/>
                <w:color w:val="auto"/>
                <w:szCs w:val="24"/>
                <w:highlight w:val="none"/>
                <w:lang w:val="en-US" w:eastAsia="zh-CN"/>
              </w:rPr>
              <w:t>宠物医疗废水</w:t>
            </w:r>
            <w:r>
              <w:rPr>
                <w:rFonts w:hint="default" w:ascii="Times New Roman" w:hAnsi="Times New Roman" w:eastAsia="宋体" w:cs="Times New Roman"/>
                <w:color w:val="auto"/>
                <w:szCs w:val="24"/>
                <w:highlight w:val="none"/>
              </w:rPr>
              <w:t>年排放量为</w:t>
            </w:r>
            <w:r>
              <w:rPr>
                <w:rFonts w:hint="eastAsia" w:ascii="Times New Roman" w:hAnsi="Times New Roman" w:eastAsia="宋体" w:cs="Times New Roman"/>
                <w:color w:val="auto"/>
                <w:szCs w:val="24"/>
                <w:highlight w:val="none"/>
                <w:lang w:val="en-US" w:eastAsia="zh-CN"/>
              </w:rPr>
              <w:t>21.6</w:t>
            </w:r>
            <w:r>
              <w:rPr>
                <w:rFonts w:hint="default" w:ascii="Times New Roman" w:hAnsi="Times New Roman" w:eastAsia="宋体" w:cs="Times New Roman"/>
                <w:color w:val="auto"/>
                <w:szCs w:val="24"/>
                <w:highlight w:val="none"/>
              </w:rPr>
              <w:t>t/a</w:t>
            </w:r>
            <w:r>
              <w:rPr>
                <w:rFonts w:hint="eastAsia" w:ascii="Times New Roman" w:hAnsi="Times New Roman" w:eastAsia="宋体" w:cs="Times New Roman"/>
                <w:color w:val="auto"/>
                <w:szCs w:val="24"/>
                <w:highlight w:val="none"/>
                <w:lang w:eastAsia="zh-CN"/>
              </w:rPr>
              <w:t>，</w:t>
            </w:r>
            <w:r>
              <w:rPr>
                <w:rFonts w:hint="eastAsia" w:ascii="Times New Roman" w:hAnsi="Times New Roman" w:eastAsia="宋体" w:cs="Times New Roman"/>
                <w:color w:val="auto"/>
                <w:szCs w:val="24"/>
                <w:highlight w:val="none"/>
                <w:lang w:val="en-US" w:eastAsia="zh-CN"/>
              </w:rPr>
              <w:t>宠物美容废水</w:t>
            </w:r>
            <w:r>
              <w:rPr>
                <w:rFonts w:hint="default" w:ascii="Times New Roman" w:hAnsi="Times New Roman" w:eastAsia="宋体" w:cs="Times New Roman"/>
                <w:color w:val="auto"/>
                <w:szCs w:val="24"/>
                <w:highlight w:val="none"/>
                <w:lang w:eastAsia="zh-CN"/>
              </w:rPr>
              <w:t>年排放量为</w:t>
            </w:r>
            <w:r>
              <w:rPr>
                <w:rFonts w:hint="eastAsia" w:ascii="Times New Roman" w:hAnsi="Times New Roman" w:eastAsia="宋体" w:cs="Times New Roman"/>
                <w:color w:val="auto"/>
                <w:szCs w:val="24"/>
                <w:highlight w:val="none"/>
                <w:lang w:val="en-US" w:eastAsia="zh-CN"/>
              </w:rPr>
              <w:t>194.40</w:t>
            </w:r>
            <w:r>
              <w:rPr>
                <w:rFonts w:hint="default" w:ascii="Times New Roman" w:hAnsi="Times New Roman" w:eastAsia="宋体" w:cs="Times New Roman"/>
                <w:color w:val="auto"/>
                <w:szCs w:val="24"/>
                <w:highlight w:val="none"/>
              </w:rPr>
              <w:t>t/a</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参照《医院污水处理技术指南》</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环发</w:t>
            </w:r>
            <w:r>
              <w:rPr>
                <w:rFonts w:hint="eastAsia" w:ascii="Times New Roman" w:hAnsi="Times New Roman" w:eastAsia="宋体" w:cs="Times New Roman"/>
                <w:color w:val="auto"/>
                <w:szCs w:val="24"/>
                <w:highlight w:val="none"/>
              </w:rPr>
              <w:t>〔</w:t>
            </w:r>
            <w:r>
              <w:rPr>
                <w:rFonts w:ascii="Times New Roman" w:hAnsi="Times New Roman" w:eastAsia="宋体" w:cs="Times New Roman"/>
                <w:color w:val="auto"/>
                <w:szCs w:val="24"/>
                <w:highlight w:val="none"/>
              </w:rPr>
              <w:t>2003</w:t>
            </w:r>
            <w:r>
              <w:rPr>
                <w:rFonts w:hint="eastAsia"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rPr>
              <w:t>197号</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污水水质章节，</w:t>
            </w:r>
            <w:r>
              <w:rPr>
                <w:rFonts w:hint="eastAsia" w:ascii="Times New Roman" w:hAnsi="Times New Roman" w:eastAsia="宋体" w:cs="Times New Roman"/>
                <w:color w:val="auto"/>
                <w:szCs w:val="24"/>
                <w:highlight w:val="none"/>
                <w:lang w:eastAsia="zh-CN"/>
              </w:rPr>
              <w:t>项目</w:t>
            </w:r>
            <w:r>
              <w:rPr>
                <w:rFonts w:hint="eastAsia" w:ascii="Times New Roman" w:hAnsi="Times New Roman" w:eastAsia="宋体" w:cs="Times New Roman"/>
                <w:color w:val="auto"/>
                <w:highlight w:val="none"/>
                <w:lang w:val="en-US" w:eastAsia="zh-CN"/>
              </w:rPr>
              <w:t>医疗废水、宠物美容废水</w:t>
            </w:r>
            <w:r>
              <w:rPr>
                <w:rFonts w:hint="default" w:ascii="Times New Roman" w:hAnsi="Times New Roman" w:eastAsia="宋体" w:cs="Times New Roman"/>
                <w:color w:val="auto"/>
                <w:szCs w:val="24"/>
                <w:highlight w:val="none"/>
              </w:rPr>
              <w:t>中各污染物产生浓度为：COD</w:t>
            </w:r>
            <w:r>
              <w:rPr>
                <w:rFonts w:hint="eastAsia" w:ascii="Times New Roman" w:hAnsi="Times New Roman" w:eastAsia="宋体" w:cs="Times New Roman"/>
                <w:color w:val="auto"/>
                <w:szCs w:val="24"/>
                <w:highlight w:val="none"/>
                <w:u w:val="none"/>
                <w:vertAlign w:val="subscript"/>
                <w:lang w:val="en-US" w:eastAsia="zh-CN"/>
              </w:rPr>
              <w:t>Cr</w:t>
            </w:r>
            <w:r>
              <w:rPr>
                <w:rFonts w:hint="default" w:ascii="Times New Roman" w:hAnsi="Times New Roman" w:eastAsia="宋体" w:cs="Times New Roman"/>
                <w:color w:val="auto"/>
                <w:szCs w:val="24"/>
                <w:highlight w:val="none"/>
              </w:rPr>
              <w:t>250mg/L，BOD</w:t>
            </w:r>
            <w:r>
              <w:rPr>
                <w:rFonts w:hint="default" w:ascii="Times New Roman" w:hAnsi="Times New Roman" w:eastAsia="宋体" w:cs="Times New Roman"/>
                <w:color w:val="auto"/>
                <w:szCs w:val="24"/>
                <w:highlight w:val="none"/>
                <w:vertAlign w:val="subscript"/>
              </w:rPr>
              <w:t>5</w:t>
            </w:r>
            <w:r>
              <w:rPr>
                <w:rFonts w:hint="default" w:ascii="Times New Roman" w:hAnsi="Times New Roman" w:eastAsia="宋体" w:cs="Times New Roman"/>
                <w:color w:val="auto"/>
                <w:szCs w:val="24"/>
                <w:highlight w:val="none"/>
              </w:rPr>
              <w:t>100mg/L，SS80mg/L，氨氮30mg/L，粪大肠杆菌数1.6×10</w:t>
            </w:r>
            <w:r>
              <w:rPr>
                <w:rFonts w:hint="default" w:ascii="Times New Roman" w:hAnsi="Times New Roman" w:eastAsia="宋体" w:cs="Times New Roman"/>
                <w:color w:val="auto"/>
                <w:szCs w:val="24"/>
                <w:highlight w:val="none"/>
                <w:vertAlign w:val="superscript"/>
              </w:rPr>
              <w:t>5</w:t>
            </w:r>
            <w:r>
              <w:rPr>
                <w:rFonts w:hint="eastAsia" w:ascii="Times New Roman" w:hAnsi="Times New Roman" w:eastAsia="宋体" w:cs="Times New Roman"/>
                <w:color w:val="auto"/>
                <w:szCs w:val="24"/>
                <w:highlight w:val="none"/>
                <w:vertAlign w:val="baseline"/>
                <w:lang w:val="en-US" w:eastAsia="zh-CN"/>
              </w:rPr>
              <w:t>MPN</w:t>
            </w:r>
            <w:r>
              <w:rPr>
                <w:rFonts w:hint="default" w:ascii="Times New Roman" w:hAnsi="Times New Roman" w:eastAsia="宋体" w:cs="Times New Roman"/>
                <w:color w:val="auto"/>
                <w:szCs w:val="24"/>
                <w:highlight w:val="none"/>
              </w:rPr>
              <w:t>/L</w:t>
            </w:r>
            <w:r>
              <w:rPr>
                <w:rFonts w:hint="eastAsia" w:ascii="Times New Roman" w:hAnsi="Times New Roman" w:eastAsia="宋体" w:cs="Times New Roman"/>
                <w:color w:val="auto"/>
                <w:szCs w:val="24"/>
                <w:highlight w:val="none"/>
                <w:lang w:eastAsia="zh-CN"/>
              </w:rPr>
              <w:t>。</w:t>
            </w:r>
          </w:p>
          <w:p w14:paraId="722701F2">
            <w:pPr>
              <w:pStyle w:val="157"/>
              <w:keepNext w:val="0"/>
              <w:keepLines w:val="0"/>
              <w:pageBreakBefore w:val="0"/>
              <w:widowControl/>
              <w:kinsoku/>
              <w:wordWrap w:val="0"/>
              <w:overflowPunct/>
              <w:topLinePunct w:val="0"/>
              <w:autoSpaceDE/>
              <w:autoSpaceDN/>
              <w:bidi w:val="0"/>
              <w:adjustRightInd/>
              <w:snapToGrid/>
              <w:ind w:firstLine="480"/>
              <w:jc w:val="both"/>
              <w:textAlignment w:val="auto"/>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根据消毒设备厂家提供的检验报告，青岛环湾检测评价股份有限公司对潍坊润洁环保水处理设备有限公司污水消毒设备消毒进行现场试验（青环检字 （CP190591）号），加入二氧化氯片1片（200克），开启设备，从进水口（水流量：0.5L/min）通入医疗污水1L进行消毒，作用45min，消毒后医疗污水中粪大肠菌群未检出，</w:t>
            </w:r>
            <w:r>
              <w:rPr>
                <w:rFonts w:hint="default" w:ascii="Times New Roman" w:hAnsi="Times New Roman" w:eastAsia="宋体" w:cs="Times New Roman"/>
                <w:color w:val="auto"/>
                <w:szCs w:val="24"/>
                <w:highlight w:val="none"/>
                <w:lang w:val="en-US" w:eastAsia="zh-CN"/>
              </w:rPr>
              <w:t>符合《医疗机构水污染物排放标准》（</w:t>
            </w:r>
            <w:r>
              <w:rPr>
                <w:rFonts w:hint="eastAsia" w:ascii="Times New Roman" w:hAnsi="Times New Roman" w:eastAsia="宋体" w:cs="Times New Roman"/>
                <w:color w:val="auto"/>
                <w:szCs w:val="24"/>
                <w:highlight w:val="none"/>
                <w:lang w:val="en-US" w:eastAsia="zh-CN"/>
              </w:rPr>
              <w:t>GB 18466-2005</w:t>
            </w:r>
            <w:r>
              <w:rPr>
                <w:rFonts w:hint="default" w:ascii="Times New Roman" w:hAnsi="Times New Roman" w:eastAsia="宋体" w:cs="Times New Roman"/>
                <w:color w:val="auto"/>
                <w:szCs w:val="24"/>
                <w:highlight w:val="none"/>
                <w:lang w:val="en-US" w:eastAsia="zh-CN"/>
              </w:rPr>
              <w:t>）</w:t>
            </w:r>
            <w:r>
              <w:rPr>
                <w:rFonts w:hint="eastAsia" w:ascii="Times New Roman" w:hAnsi="Times New Roman" w:eastAsia="宋体" w:cs="Times New Roman"/>
                <w:color w:val="auto"/>
                <w:szCs w:val="24"/>
                <w:highlight w:val="none"/>
                <w:lang w:val="en-US" w:eastAsia="zh-CN"/>
              </w:rPr>
              <w:t>，因此本项目取灭杀效率99.99%。</w:t>
            </w:r>
          </w:p>
          <w:p w14:paraId="78BAE312">
            <w:pPr>
              <w:pStyle w:val="157"/>
              <w:keepNext w:val="0"/>
              <w:keepLines w:val="0"/>
              <w:pageBreakBefore w:val="0"/>
              <w:widowControl/>
              <w:kinsoku/>
              <w:wordWrap w:val="0"/>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bCs w:val="0"/>
                <w:color w:val="auto"/>
                <w:szCs w:val="24"/>
                <w:highlight w:val="none"/>
                <w:lang w:val="en-US" w:eastAsia="zh-CN"/>
              </w:rPr>
            </w:pPr>
            <w:r>
              <w:rPr>
                <w:rFonts w:hint="eastAsia" w:ascii="Times New Roman" w:hAnsi="Times New Roman" w:eastAsia="宋体" w:cs="Times New Roman"/>
                <w:b/>
                <w:bCs w:val="0"/>
                <w:color w:val="auto"/>
                <w:szCs w:val="24"/>
                <w:highlight w:val="none"/>
                <w:lang w:val="en-US" w:eastAsia="zh-CN"/>
              </w:rPr>
              <w:t>表4-2  对医疗污水消毒现场试验结果</w:t>
            </w:r>
          </w:p>
          <w:tbl>
            <w:tblPr>
              <w:tblStyle w:val="51"/>
              <w:tblW w:w="778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2354"/>
              <w:gridCol w:w="2146"/>
              <w:gridCol w:w="2458"/>
            </w:tblGrid>
            <w:tr w14:paraId="22451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Borders>
                    <w:top w:val="single" w:color="auto" w:sz="12" w:space="0"/>
                  </w:tcBorders>
                </w:tcPr>
                <w:p w14:paraId="06D254F9">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实验序号</w:t>
                  </w:r>
                </w:p>
              </w:tc>
              <w:tc>
                <w:tcPr>
                  <w:tcW w:w="2354" w:type="dxa"/>
                  <w:tcBorders>
                    <w:top w:val="single" w:color="auto" w:sz="12" w:space="0"/>
                  </w:tcBorders>
                </w:tcPr>
                <w:p w14:paraId="2B6CACED">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消毒前污水中粪大肠菌群（MPN/L）</w:t>
                  </w:r>
                </w:p>
              </w:tc>
              <w:tc>
                <w:tcPr>
                  <w:tcW w:w="2146" w:type="dxa"/>
                  <w:tcBorders>
                    <w:top w:val="single" w:color="auto" w:sz="12" w:space="0"/>
                  </w:tcBorders>
                </w:tcPr>
                <w:p w14:paraId="143209A2">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消毒后污水中粪大肠菌群（MPN/L）</w:t>
                  </w:r>
                </w:p>
              </w:tc>
              <w:tc>
                <w:tcPr>
                  <w:tcW w:w="2458" w:type="dxa"/>
                  <w:tcBorders>
                    <w:top w:val="single" w:color="auto" w:sz="12" w:space="0"/>
                    <w:right w:val="nil"/>
                  </w:tcBorders>
                </w:tcPr>
                <w:p w14:paraId="4800669E">
                  <w:pPr>
                    <w:pStyle w:val="157"/>
                    <w:keepNext w:val="0"/>
                    <w:keepLines w:val="0"/>
                    <w:pageBreakBefore w:val="0"/>
                    <w:widowControl/>
                    <w:kinsoku/>
                    <w:wordWrap w:val="0"/>
                    <w:overflowPunct/>
                    <w:topLinePunct w:val="0"/>
                    <w:autoSpaceDE/>
                    <w:autoSpaceDN/>
                    <w:bidi w:val="0"/>
                    <w:adjustRightInd/>
                    <w:snapToGrid/>
                    <w:spacing w:line="288" w:lineRule="auto"/>
                    <w:ind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消毒后污水中粪大肠菌群日均值（MPN/L）</w:t>
                  </w:r>
                </w:p>
              </w:tc>
            </w:tr>
            <w:tr w14:paraId="7176B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Borders>
                    <w:left w:val="nil"/>
                  </w:tcBorders>
                </w:tcPr>
                <w:p w14:paraId="672AFEF6">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w:t>
                  </w:r>
                </w:p>
              </w:tc>
              <w:tc>
                <w:tcPr>
                  <w:tcW w:w="2354" w:type="dxa"/>
                </w:tcPr>
                <w:p w14:paraId="4E26179F">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微软雅黑" w:hAnsi="微软雅黑" w:eastAsia="微软雅黑" w:cs="微软雅黑"/>
                      <w:color w:val="auto"/>
                      <w:sz w:val="21"/>
                      <w:szCs w:val="21"/>
                      <w:highlight w:val="none"/>
                      <w:vertAlign w:val="baseline"/>
                      <w:lang w:val="en-US" w:eastAsia="zh-CN"/>
                    </w:rPr>
                    <w:t>&gt;</w:t>
                  </w:r>
                  <w:r>
                    <w:rPr>
                      <w:rFonts w:hint="eastAsia" w:ascii="Times New Roman" w:hAnsi="Times New Roman" w:eastAsia="宋体" w:cs="Times New Roman"/>
                      <w:color w:val="auto"/>
                      <w:sz w:val="21"/>
                      <w:szCs w:val="21"/>
                      <w:highlight w:val="none"/>
                      <w:vertAlign w:val="baseline"/>
                      <w:lang w:val="en-US" w:eastAsia="zh-CN"/>
                    </w:rPr>
                    <w:t>16000</w:t>
                  </w:r>
                </w:p>
              </w:tc>
              <w:tc>
                <w:tcPr>
                  <w:tcW w:w="2146" w:type="dxa"/>
                </w:tcPr>
                <w:p w14:paraId="7B723037">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未检出</w:t>
                  </w:r>
                </w:p>
              </w:tc>
              <w:tc>
                <w:tcPr>
                  <w:tcW w:w="2458" w:type="dxa"/>
                  <w:tcBorders>
                    <w:right w:val="nil"/>
                  </w:tcBorders>
                </w:tcPr>
                <w:p w14:paraId="14C9E3C2">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未检出</w:t>
                  </w:r>
                </w:p>
              </w:tc>
            </w:tr>
            <w:tr w14:paraId="0C23D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Borders>
                    <w:left w:val="nil"/>
                  </w:tcBorders>
                </w:tcPr>
                <w:p w14:paraId="35B9A49E">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2</w:t>
                  </w:r>
                </w:p>
              </w:tc>
              <w:tc>
                <w:tcPr>
                  <w:tcW w:w="2354" w:type="dxa"/>
                </w:tcPr>
                <w:p w14:paraId="21FE6BA6">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微软雅黑" w:hAnsi="微软雅黑" w:eastAsia="微软雅黑" w:cs="微软雅黑"/>
                      <w:color w:val="auto"/>
                      <w:sz w:val="21"/>
                      <w:szCs w:val="21"/>
                      <w:highlight w:val="none"/>
                      <w:vertAlign w:val="baseline"/>
                      <w:lang w:val="en-US" w:eastAsia="zh-CN"/>
                    </w:rPr>
                    <w:t>&gt;</w:t>
                  </w:r>
                  <w:r>
                    <w:rPr>
                      <w:rFonts w:hint="eastAsia" w:ascii="Times New Roman" w:hAnsi="Times New Roman" w:eastAsia="宋体" w:cs="Times New Roman"/>
                      <w:color w:val="auto"/>
                      <w:sz w:val="21"/>
                      <w:szCs w:val="21"/>
                      <w:highlight w:val="none"/>
                      <w:vertAlign w:val="baseline"/>
                      <w:lang w:val="en-US" w:eastAsia="zh-CN"/>
                    </w:rPr>
                    <w:t>16000</w:t>
                  </w:r>
                </w:p>
              </w:tc>
              <w:tc>
                <w:tcPr>
                  <w:tcW w:w="2146" w:type="dxa"/>
                </w:tcPr>
                <w:p w14:paraId="5EC71481">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未检出</w:t>
                  </w:r>
                </w:p>
              </w:tc>
              <w:tc>
                <w:tcPr>
                  <w:tcW w:w="2458" w:type="dxa"/>
                  <w:tcBorders>
                    <w:right w:val="nil"/>
                  </w:tcBorders>
                </w:tcPr>
                <w:p w14:paraId="6EBC05A7">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未检出</w:t>
                  </w:r>
                </w:p>
              </w:tc>
            </w:tr>
            <w:tr w14:paraId="42B87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 w:type="dxa"/>
                  <w:tcBorders>
                    <w:left w:val="nil"/>
                  </w:tcBorders>
                </w:tcPr>
                <w:p w14:paraId="7BEB107E">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w:t>
                  </w:r>
                </w:p>
              </w:tc>
              <w:tc>
                <w:tcPr>
                  <w:tcW w:w="2354" w:type="dxa"/>
                </w:tcPr>
                <w:p w14:paraId="510B15A2">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微软雅黑" w:hAnsi="微软雅黑" w:eastAsia="微软雅黑" w:cs="微软雅黑"/>
                      <w:color w:val="auto"/>
                      <w:sz w:val="21"/>
                      <w:szCs w:val="21"/>
                      <w:highlight w:val="none"/>
                      <w:vertAlign w:val="baseline"/>
                      <w:lang w:val="en-US" w:eastAsia="zh-CN"/>
                    </w:rPr>
                    <w:t>&gt;</w:t>
                  </w:r>
                  <w:r>
                    <w:rPr>
                      <w:rFonts w:hint="eastAsia" w:ascii="Times New Roman" w:hAnsi="Times New Roman" w:eastAsia="宋体" w:cs="Times New Roman"/>
                      <w:color w:val="auto"/>
                      <w:sz w:val="21"/>
                      <w:szCs w:val="21"/>
                      <w:highlight w:val="none"/>
                      <w:vertAlign w:val="baseline"/>
                      <w:lang w:val="en-US" w:eastAsia="zh-CN"/>
                    </w:rPr>
                    <w:t>16000</w:t>
                  </w:r>
                </w:p>
              </w:tc>
              <w:tc>
                <w:tcPr>
                  <w:tcW w:w="2146" w:type="dxa"/>
                </w:tcPr>
                <w:p w14:paraId="7BB3FEFD">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未检出</w:t>
                  </w:r>
                </w:p>
              </w:tc>
              <w:tc>
                <w:tcPr>
                  <w:tcW w:w="2458" w:type="dxa"/>
                  <w:tcBorders>
                    <w:right w:val="nil"/>
                  </w:tcBorders>
                </w:tcPr>
                <w:p w14:paraId="1DF0C474">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未检出</w:t>
                  </w:r>
                </w:p>
              </w:tc>
            </w:tr>
            <w:tr w14:paraId="0E108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83" w:type="dxa"/>
                  <w:gridSpan w:val="4"/>
                  <w:tcBorders>
                    <w:left w:val="nil"/>
                    <w:bottom w:val="single" w:color="auto" w:sz="12" w:space="0"/>
                    <w:right w:val="nil"/>
                  </w:tcBorders>
                </w:tcPr>
                <w:p w14:paraId="5BB9307C">
                  <w:pPr>
                    <w:pStyle w:val="157"/>
                    <w:keepNext w:val="0"/>
                    <w:keepLines w:val="0"/>
                    <w:pageBreakBefore w:val="0"/>
                    <w:widowControl/>
                    <w:kinsoku/>
                    <w:wordWrap w:val="0"/>
                    <w:overflowPunct/>
                    <w:topLinePunct w:val="0"/>
                    <w:autoSpaceDE/>
                    <w:autoSpaceDN/>
                    <w:bidi w:val="0"/>
                    <w:adjustRightInd/>
                    <w:snapToGrid/>
                    <w:spacing w:line="288"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注：阴性对照无菌生长</w:t>
                  </w:r>
                </w:p>
              </w:tc>
            </w:tr>
          </w:tbl>
          <w:p w14:paraId="2D8A768D">
            <w:pPr>
              <w:pStyle w:val="198"/>
              <w:numPr>
                <w:ilvl w:val="0"/>
                <w:numId w:val="7"/>
              </w:numPr>
              <w:ind w:firstLine="480" w:firstLineChars="200"/>
              <w:jc w:val="both"/>
              <w:rPr>
                <w:rFonts w:hint="eastAsia" w:ascii="Times New Roman" w:hAnsi="Times New Roman"/>
                <w:b w:val="0"/>
                <w:bCs/>
                <w:color w:val="auto"/>
                <w:highlight w:val="none"/>
                <w:lang w:val="en-US" w:eastAsia="zh-CN"/>
              </w:rPr>
            </w:pPr>
            <w:r>
              <w:rPr>
                <w:rFonts w:hint="eastAsia" w:ascii="Times New Roman" w:hAnsi="Times New Roman"/>
                <w:b w:val="0"/>
                <w:bCs/>
                <w:color w:val="auto"/>
                <w:highlight w:val="none"/>
                <w:lang w:val="en-US" w:eastAsia="zh-CN"/>
              </w:rPr>
              <w:t>检验设备清洗废水</w:t>
            </w:r>
          </w:p>
          <w:p w14:paraId="025D0DEB">
            <w:pPr>
              <w:pStyle w:val="198"/>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ascii="Times New Roman" w:hAnsi="Times New Roman" w:eastAsia="宋体" w:cs="Times New Roman"/>
                <w:color w:val="auto"/>
                <w:szCs w:val="24"/>
                <w:highlight w:val="none"/>
                <w:lang w:eastAsia="zh-CN"/>
              </w:rPr>
            </w:pPr>
            <w:r>
              <w:rPr>
                <w:rFonts w:hint="eastAsia" w:ascii="Times New Roman" w:hAnsi="Times New Roman" w:eastAsia="宋体" w:cs="Times New Roman"/>
                <w:b w:val="0"/>
                <w:bCs/>
                <w:color w:val="auto"/>
                <w:kern w:val="2"/>
                <w:sz w:val="24"/>
                <w:szCs w:val="32"/>
                <w:highlight w:val="none"/>
                <w:lang w:val="en-US" w:eastAsia="zh-CN"/>
              </w:rPr>
              <w:t>本项目检验设备清洗过程中会产生废水，</w:t>
            </w:r>
            <w:r>
              <w:rPr>
                <w:rFonts w:hint="eastAsia" w:ascii="Times New Roman" w:hAnsi="Times New Roman" w:cs="Times New Roman"/>
                <w:b w:val="0"/>
                <w:bCs/>
                <w:color w:val="auto"/>
                <w:kern w:val="2"/>
                <w:sz w:val="24"/>
                <w:szCs w:val="32"/>
                <w:highlight w:val="none"/>
                <w:lang w:val="en-US" w:eastAsia="zh-CN"/>
              </w:rPr>
              <w:t>检验设备头道清洗废水为</w:t>
            </w:r>
            <w:r>
              <w:rPr>
                <w:rFonts w:hint="eastAsia" w:ascii="Times New Roman" w:hAnsi="Times New Roman" w:eastAsia="宋体" w:cs="Times New Roman"/>
                <w:b w:val="0"/>
                <w:bCs/>
                <w:color w:val="auto"/>
                <w:kern w:val="2"/>
                <w:sz w:val="24"/>
                <w:szCs w:val="32"/>
                <w:highlight w:val="none"/>
                <w:lang w:val="en-US" w:eastAsia="zh-CN"/>
              </w:rPr>
              <w:t>实验废弃物属于《国家危险废物名录（2021年版）》中规定的“HW49其他废物”，危废代码为“900-047-49”，产生量为0.</w:t>
            </w:r>
            <w:r>
              <w:rPr>
                <w:rFonts w:hint="eastAsia" w:ascii="Times New Roman" w:hAnsi="Times New Roman" w:cs="Times New Roman"/>
                <w:b w:val="0"/>
                <w:bCs/>
                <w:color w:val="auto"/>
                <w:kern w:val="2"/>
                <w:sz w:val="24"/>
                <w:szCs w:val="32"/>
                <w:highlight w:val="none"/>
                <w:lang w:val="en-US" w:eastAsia="zh-CN"/>
              </w:rPr>
              <w:t>04</w:t>
            </w:r>
            <w:r>
              <w:rPr>
                <w:rFonts w:hint="eastAsia" w:ascii="Times New Roman" w:hAnsi="Times New Roman" w:eastAsia="宋体" w:cs="Times New Roman"/>
                <w:b w:val="0"/>
                <w:bCs/>
                <w:color w:val="auto"/>
                <w:kern w:val="2"/>
                <w:sz w:val="24"/>
                <w:szCs w:val="32"/>
                <w:highlight w:val="none"/>
                <w:lang w:val="en-US" w:eastAsia="zh-CN"/>
              </w:rPr>
              <w:t>t/a，作为危险废物委托有资质单位定期处理。</w:t>
            </w:r>
            <w:r>
              <w:rPr>
                <w:rFonts w:hint="eastAsia" w:ascii="Times New Roman" w:hAnsi="Times New Roman" w:cs="Times New Roman"/>
                <w:b w:val="0"/>
                <w:bCs/>
                <w:color w:val="auto"/>
                <w:kern w:val="2"/>
                <w:sz w:val="24"/>
                <w:szCs w:val="32"/>
                <w:highlight w:val="none"/>
                <w:lang w:val="en-US" w:eastAsia="zh-CN"/>
              </w:rPr>
              <w:t>第二、三道检验设备清洗</w:t>
            </w:r>
            <w:r>
              <w:rPr>
                <w:rFonts w:hint="eastAsia" w:ascii="Times New Roman" w:hAnsi="Times New Roman" w:eastAsia="宋体" w:cs="Times New Roman"/>
                <w:b w:val="0"/>
                <w:bCs/>
                <w:color w:val="auto"/>
                <w:kern w:val="2"/>
                <w:sz w:val="24"/>
                <w:szCs w:val="32"/>
                <w:highlight w:val="none"/>
                <w:lang w:val="en-US" w:eastAsia="zh-CN"/>
              </w:rPr>
              <w:t>用水量约为0</w:t>
            </w:r>
            <w:r>
              <w:rPr>
                <w:rFonts w:hint="eastAsia" w:ascii="Times New Roman" w:hAnsi="Times New Roman" w:cs="Times New Roman"/>
                <w:b w:val="0"/>
                <w:bCs/>
                <w:color w:val="auto"/>
                <w:kern w:val="2"/>
                <w:sz w:val="24"/>
                <w:szCs w:val="32"/>
                <w:highlight w:val="none"/>
                <w:lang w:val="en-US" w:eastAsia="zh-CN"/>
              </w:rPr>
              <w:t>.36</w:t>
            </w:r>
            <w:r>
              <w:rPr>
                <w:rFonts w:hint="eastAsia" w:ascii="Times New Roman" w:hAnsi="Times New Roman" w:eastAsia="宋体" w:cs="Times New Roman"/>
                <w:b w:val="0"/>
                <w:bCs/>
                <w:color w:val="auto"/>
                <w:kern w:val="2"/>
                <w:sz w:val="24"/>
                <w:szCs w:val="32"/>
                <w:highlight w:val="none"/>
                <w:lang w:val="en-US" w:eastAsia="zh-CN"/>
              </w:rPr>
              <w:t>t/a，经</w:t>
            </w:r>
            <w:r>
              <w:rPr>
                <w:rFonts w:hint="eastAsia" w:ascii="Times New Roman" w:hAnsi="Times New Roman" w:cs="Times New Roman"/>
                <w:b w:val="0"/>
                <w:bCs/>
                <w:color w:val="auto"/>
                <w:kern w:val="2"/>
                <w:sz w:val="24"/>
                <w:szCs w:val="32"/>
                <w:highlight w:val="none"/>
                <w:lang w:val="en-US" w:eastAsia="zh-CN"/>
              </w:rPr>
              <w:t>消毒设备</w:t>
            </w:r>
            <w:r>
              <w:rPr>
                <w:rFonts w:hint="eastAsia" w:ascii="Times New Roman" w:hAnsi="Times New Roman" w:eastAsia="宋体" w:cs="Times New Roman"/>
                <w:b w:val="0"/>
                <w:bCs/>
                <w:color w:val="auto"/>
                <w:kern w:val="2"/>
                <w:sz w:val="24"/>
                <w:szCs w:val="32"/>
                <w:highlight w:val="none"/>
                <w:lang w:val="en-US" w:eastAsia="zh-CN"/>
              </w:rPr>
              <w:t xml:space="preserve">消毒后排放化粪池经市政污水管网纳入洋里污水处理厂。 </w:t>
            </w:r>
          </w:p>
          <w:p w14:paraId="24974774">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eastAsia" w:ascii="Times New Roman" w:hAnsi="Times New Roman" w:eastAsia="宋体" w:cs="Times New Roman"/>
                <w:color w:val="auto"/>
                <w:szCs w:val="24"/>
                <w:highlight w:val="none"/>
                <w:lang w:val="en-US" w:eastAsia="zh-CN"/>
              </w:rPr>
              <w:t>宠物医疗废水</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宠物美容废水和第二、三道检验设备清洗废水</w:t>
            </w:r>
            <w:r>
              <w:rPr>
                <w:rFonts w:hint="default" w:ascii="Times New Roman" w:hAnsi="Times New Roman" w:eastAsia="宋体" w:cs="Times New Roman"/>
                <w:color w:val="auto"/>
                <w:szCs w:val="24"/>
                <w:highlight w:val="none"/>
              </w:rPr>
              <w:t>经配套的</w:t>
            </w:r>
            <w:r>
              <w:rPr>
                <w:rFonts w:hint="eastAsia" w:ascii="Times New Roman" w:hAnsi="Times New Roman" w:eastAsia="宋体" w:cs="Times New Roman"/>
                <w:color w:val="auto"/>
                <w:szCs w:val="24"/>
                <w:highlight w:val="none"/>
                <w:lang w:eastAsia="zh-CN"/>
              </w:rPr>
              <w:t>消毒设备</w:t>
            </w:r>
            <w:r>
              <w:rPr>
                <w:rFonts w:hint="eastAsia" w:ascii="Times New Roman" w:hAnsi="Times New Roman" w:eastAsia="宋体" w:cs="Times New Roman"/>
                <w:color w:val="auto"/>
                <w:szCs w:val="24"/>
                <w:highlight w:val="none"/>
                <w:lang w:val="en-US" w:eastAsia="zh-CN"/>
              </w:rPr>
              <w:t>消毒</w:t>
            </w:r>
            <w:r>
              <w:rPr>
                <w:rFonts w:hint="default" w:ascii="Times New Roman" w:hAnsi="Times New Roman" w:eastAsia="宋体" w:cs="Times New Roman"/>
                <w:color w:val="auto"/>
                <w:szCs w:val="24"/>
                <w:highlight w:val="none"/>
              </w:rPr>
              <w:t>后与生活污水一并</w:t>
            </w:r>
            <w:r>
              <w:rPr>
                <w:rFonts w:hint="eastAsia" w:ascii="Times New Roman" w:hAnsi="Times New Roman" w:eastAsia="宋体" w:cs="Times New Roman"/>
                <w:color w:val="auto"/>
                <w:szCs w:val="24"/>
                <w:highlight w:val="none"/>
                <w:lang w:val="en-US" w:eastAsia="zh-CN"/>
              </w:rPr>
              <w:t>排入</w:t>
            </w:r>
            <w:r>
              <w:rPr>
                <w:rFonts w:hint="default" w:ascii="Times New Roman" w:hAnsi="Times New Roman" w:eastAsia="宋体" w:cs="Times New Roman"/>
                <w:color w:val="auto"/>
                <w:szCs w:val="24"/>
                <w:highlight w:val="none"/>
              </w:rPr>
              <w:t>化粪池</w:t>
            </w:r>
            <w:r>
              <w:rPr>
                <w:rFonts w:hint="eastAsia" w:ascii="Times New Roman" w:hAnsi="Times New Roman" w:eastAsia="宋体" w:cs="Times New Roman"/>
                <w:color w:val="auto"/>
                <w:szCs w:val="24"/>
                <w:highlight w:val="none"/>
                <w:lang w:val="en-US" w:eastAsia="zh-CN"/>
              </w:rPr>
              <w:t>通过</w:t>
            </w:r>
            <w:r>
              <w:rPr>
                <w:rFonts w:hint="eastAsia" w:ascii="Times New Roman" w:hAnsi="Times New Roman" w:eastAsia="宋体" w:cs="Times New Roman"/>
                <w:color w:val="auto"/>
                <w:szCs w:val="24"/>
                <w:highlight w:val="none"/>
                <w:lang w:eastAsia="zh-CN"/>
              </w:rPr>
              <w:t>市政污水管网</w:t>
            </w:r>
            <w:r>
              <w:rPr>
                <w:rFonts w:hint="default" w:ascii="Times New Roman" w:hAnsi="Times New Roman" w:eastAsia="宋体" w:cs="Times New Roman"/>
                <w:color w:val="auto"/>
                <w:szCs w:val="24"/>
                <w:highlight w:val="none"/>
              </w:rPr>
              <w:t>统一纳入</w:t>
            </w:r>
            <w:r>
              <w:rPr>
                <w:rFonts w:hint="eastAsia" w:ascii="Times New Roman" w:hAnsi="Times New Roman" w:eastAsia="宋体" w:cs="Times New Roman"/>
                <w:color w:val="auto"/>
                <w:szCs w:val="24"/>
                <w:highlight w:val="none"/>
                <w:lang w:eastAsia="zh-CN"/>
              </w:rPr>
              <w:t>洋里污水处理厂</w:t>
            </w:r>
            <w:r>
              <w:rPr>
                <w:rFonts w:hint="default" w:ascii="Times New Roman" w:hAnsi="Times New Roman" w:eastAsia="宋体" w:cs="Times New Roman"/>
                <w:color w:val="auto"/>
                <w:szCs w:val="24"/>
                <w:highlight w:val="none"/>
              </w:rPr>
              <w:t>。</w:t>
            </w:r>
          </w:p>
          <w:p w14:paraId="2D62583F">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废水污染源强见表4-</w:t>
            </w:r>
            <w:r>
              <w:rPr>
                <w:rFonts w:hint="eastAsia" w:ascii="Times New Roman" w:hAnsi="Times New Roman" w:eastAsia="宋体" w:cs="Times New Roman"/>
                <w:color w:val="auto"/>
                <w:szCs w:val="24"/>
                <w:highlight w:val="none"/>
                <w:lang w:val="en-US" w:eastAsia="zh-CN"/>
              </w:rPr>
              <w:t>3</w:t>
            </w:r>
            <w:r>
              <w:rPr>
                <w:rFonts w:hint="default" w:ascii="Times New Roman" w:hAnsi="Times New Roman" w:eastAsia="宋体" w:cs="Times New Roman"/>
                <w:color w:val="auto"/>
                <w:szCs w:val="24"/>
                <w:highlight w:val="none"/>
              </w:rPr>
              <w:t>。</w:t>
            </w:r>
          </w:p>
          <w:p w14:paraId="6AC6B00E">
            <w:pPr>
              <w:pStyle w:val="198"/>
              <w:pageBreakBefore w:val="0"/>
              <w:kinsoku/>
              <w:overflowPunct/>
              <w:autoSpaceDE/>
              <w:autoSpaceDN/>
              <w:bidi w:val="0"/>
              <w:spacing w:line="240" w:lineRule="auto"/>
              <w:jc w:val="center"/>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表4-</w:t>
            </w:r>
            <w:r>
              <w:rPr>
                <w:rFonts w:hint="eastAsia" w:ascii="Times New Roman" w:hAnsi="Times New Roman" w:cs="Times New Roman"/>
                <w:color w:val="auto"/>
                <w:szCs w:val="32"/>
                <w:highlight w:val="none"/>
                <w:lang w:val="en-US" w:eastAsia="zh-CN"/>
              </w:rPr>
              <w:t xml:space="preserve">3  </w:t>
            </w:r>
            <w:r>
              <w:rPr>
                <w:rFonts w:hint="eastAsia" w:ascii="Times New Roman" w:hAnsi="Times New Roman" w:cs="Times New Roman"/>
                <w:color w:val="auto"/>
                <w:szCs w:val="32"/>
                <w:highlight w:val="none"/>
                <w:lang w:eastAsia="zh-CN"/>
              </w:rPr>
              <w:t>项目</w:t>
            </w:r>
            <w:r>
              <w:rPr>
                <w:rFonts w:hint="default" w:ascii="Times New Roman" w:hAnsi="Times New Roman" w:cs="Times New Roman"/>
                <w:color w:val="auto"/>
                <w:szCs w:val="32"/>
                <w:highlight w:val="none"/>
              </w:rPr>
              <w:t>废水及其污染物产生量和排放情况表</w:t>
            </w:r>
          </w:p>
          <w:tbl>
            <w:tblPr>
              <w:tblStyle w:val="50"/>
              <w:tblW w:w="817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8"/>
              <w:gridCol w:w="828"/>
              <w:gridCol w:w="1103"/>
              <w:gridCol w:w="1022"/>
              <w:gridCol w:w="1029"/>
              <w:gridCol w:w="968"/>
              <w:gridCol w:w="931"/>
              <w:gridCol w:w="1517"/>
            </w:tblGrid>
            <w:tr w14:paraId="07154E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Align w:val="center"/>
                </w:tcPr>
                <w:p w14:paraId="779C1A8A">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p>
              </w:tc>
              <w:tc>
                <w:tcPr>
                  <w:tcW w:w="857" w:type="dxa"/>
                  <w:vAlign w:val="center"/>
                </w:tcPr>
                <w:p w14:paraId="212C1C58">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废水量t/a</w:t>
                  </w:r>
                </w:p>
              </w:tc>
              <w:tc>
                <w:tcPr>
                  <w:tcW w:w="1114" w:type="dxa"/>
                  <w:vAlign w:val="center"/>
                </w:tcPr>
                <w:p w14:paraId="1B2768D8">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排放情况</w:t>
                  </w:r>
                </w:p>
              </w:tc>
              <w:tc>
                <w:tcPr>
                  <w:tcW w:w="1038" w:type="dxa"/>
                  <w:vAlign w:val="center"/>
                </w:tcPr>
                <w:p w14:paraId="2EEAC93C">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COD</w:t>
                  </w:r>
                  <w:r>
                    <w:rPr>
                      <w:rFonts w:hint="eastAsia" w:ascii="Times New Roman" w:hAnsi="Times New Roman" w:eastAsia="宋体" w:cs="Times New Roman"/>
                      <w:color w:val="auto"/>
                      <w:highlight w:val="none"/>
                      <w:vertAlign w:val="subscript"/>
                      <w:lang w:val="en-US" w:eastAsia="zh-CN"/>
                    </w:rPr>
                    <w:t>Cr</w:t>
                  </w:r>
                </w:p>
              </w:tc>
              <w:tc>
                <w:tcPr>
                  <w:tcW w:w="1050" w:type="dxa"/>
                  <w:vAlign w:val="center"/>
                </w:tcPr>
                <w:p w14:paraId="620F7A27">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BOD</w:t>
                  </w:r>
                  <w:r>
                    <w:rPr>
                      <w:rFonts w:hint="default" w:ascii="Times New Roman" w:hAnsi="Times New Roman" w:eastAsia="宋体" w:cs="Times New Roman"/>
                      <w:color w:val="auto"/>
                      <w:highlight w:val="none"/>
                      <w:vertAlign w:val="subscript"/>
                    </w:rPr>
                    <w:t>5</w:t>
                  </w:r>
                </w:p>
              </w:tc>
              <w:tc>
                <w:tcPr>
                  <w:tcW w:w="1027" w:type="dxa"/>
                  <w:vAlign w:val="center"/>
                </w:tcPr>
                <w:p w14:paraId="25D64E3F">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SS</w:t>
                  </w:r>
                </w:p>
              </w:tc>
              <w:tc>
                <w:tcPr>
                  <w:tcW w:w="958" w:type="dxa"/>
                  <w:vAlign w:val="center"/>
                </w:tcPr>
                <w:p w14:paraId="43D00435">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氨氮</w:t>
                  </w:r>
                </w:p>
              </w:tc>
              <w:tc>
                <w:tcPr>
                  <w:tcW w:w="1231" w:type="dxa"/>
                  <w:vAlign w:val="center"/>
                </w:tcPr>
                <w:p w14:paraId="183BC7CA">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粪大肠菌群</w:t>
                  </w:r>
                </w:p>
              </w:tc>
            </w:tr>
            <w:tr w14:paraId="32FEF9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restart"/>
                  <w:vAlign w:val="center"/>
                </w:tcPr>
                <w:p w14:paraId="47E79959">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生活污水</w:t>
                  </w:r>
                </w:p>
              </w:tc>
              <w:tc>
                <w:tcPr>
                  <w:tcW w:w="857" w:type="dxa"/>
                  <w:vMerge w:val="restart"/>
                  <w:vAlign w:val="center"/>
                </w:tcPr>
                <w:p w14:paraId="613628BE">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81</w:t>
                  </w:r>
                </w:p>
              </w:tc>
              <w:tc>
                <w:tcPr>
                  <w:tcW w:w="1114" w:type="dxa"/>
                  <w:vAlign w:val="center"/>
                </w:tcPr>
                <w:p w14:paraId="021D95C5">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浓度（</w:t>
                  </w:r>
                  <w:r>
                    <w:rPr>
                      <w:rFonts w:hint="default" w:ascii="Times New Roman" w:hAnsi="Times New Roman" w:eastAsia="宋体" w:cs="Times New Roman"/>
                      <w:i w:val="0"/>
                      <w:iCs w:val="0"/>
                      <w:color w:val="000000"/>
                      <w:kern w:val="0"/>
                      <w:sz w:val="21"/>
                      <w:szCs w:val="21"/>
                      <w:u w:val="none"/>
                      <w:lang w:val="en-US" w:eastAsia="zh-CN" w:bidi="ar"/>
                    </w:rPr>
                    <w:t>mg/L</w:t>
                  </w:r>
                  <w:r>
                    <w:rPr>
                      <w:rFonts w:hint="eastAsia" w:ascii="宋体" w:hAnsi="宋体" w:eastAsia="宋体" w:cs="宋体"/>
                      <w:i w:val="0"/>
                      <w:iCs w:val="0"/>
                      <w:color w:val="000000"/>
                      <w:kern w:val="0"/>
                      <w:sz w:val="21"/>
                      <w:szCs w:val="21"/>
                      <w:u w:val="none"/>
                      <w:lang w:val="en-US" w:eastAsia="zh-CN" w:bidi="ar"/>
                    </w:rPr>
                    <w:t>）</w:t>
                  </w:r>
                </w:p>
              </w:tc>
              <w:tc>
                <w:tcPr>
                  <w:tcW w:w="1038" w:type="dxa"/>
                  <w:vAlign w:val="center"/>
                </w:tcPr>
                <w:p w14:paraId="70163A5A">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400 </w:t>
                  </w:r>
                </w:p>
              </w:tc>
              <w:tc>
                <w:tcPr>
                  <w:tcW w:w="1050" w:type="dxa"/>
                  <w:vAlign w:val="center"/>
                </w:tcPr>
                <w:p w14:paraId="667552BD">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200 </w:t>
                  </w:r>
                </w:p>
              </w:tc>
              <w:tc>
                <w:tcPr>
                  <w:tcW w:w="1027" w:type="dxa"/>
                  <w:vAlign w:val="center"/>
                </w:tcPr>
                <w:p w14:paraId="39967924">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220 </w:t>
                  </w:r>
                </w:p>
              </w:tc>
              <w:tc>
                <w:tcPr>
                  <w:tcW w:w="958" w:type="dxa"/>
                  <w:vAlign w:val="center"/>
                </w:tcPr>
                <w:p w14:paraId="0DBF8DF0">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45 </w:t>
                  </w:r>
                </w:p>
              </w:tc>
              <w:tc>
                <w:tcPr>
                  <w:tcW w:w="1231" w:type="dxa"/>
                  <w:vAlign w:val="center"/>
                </w:tcPr>
                <w:p w14:paraId="752A34B2">
                  <w:pPr>
                    <w:pStyle w:val="189"/>
                    <w:pageBreakBefore w:val="0"/>
                    <w:kinsoku/>
                    <w:overflowPunct/>
                    <w:autoSpaceDE/>
                    <w:autoSpaceDN/>
                    <w:bidi w:val="0"/>
                    <w:spacing w:line="240" w:lineRule="auto"/>
                    <w:jc w:val="center"/>
                    <w:rPr>
                      <w:rFonts w:hint="default" w:ascii="Times New Roman" w:hAnsi="Times New Roman" w:eastAsia="宋体" w:cs="Times New Roman"/>
                      <w:iCs/>
                      <w:color w:val="0000FF"/>
                      <w:kern w:val="2"/>
                      <w:sz w:val="21"/>
                      <w:szCs w:val="21"/>
                      <w:highlight w:val="none"/>
                      <w:lang w:val="en-US" w:eastAsia="zh-CN" w:bidi="ar-SA"/>
                    </w:rPr>
                  </w:pPr>
                  <w:r>
                    <w:rPr>
                      <w:rFonts w:hint="default" w:ascii="Times New Roman" w:hAnsi="Times New Roman" w:eastAsia="宋体" w:cs="Times New Roman"/>
                      <w:color w:val="0000FF"/>
                      <w:highlight w:val="none"/>
                    </w:rPr>
                    <w:t>/</w:t>
                  </w:r>
                </w:p>
              </w:tc>
            </w:tr>
            <w:tr w14:paraId="22F2D5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01" w:type="dxa"/>
                  <w:vMerge w:val="continue"/>
                  <w:vAlign w:val="center"/>
                </w:tcPr>
                <w:p w14:paraId="7820EF0E">
                  <w:pPr>
                    <w:jc w:val="center"/>
                    <w:rPr>
                      <w:rFonts w:hint="default" w:ascii="Times New Roman" w:hAnsi="Times New Roman" w:eastAsia="宋体" w:cs="Times New Roman"/>
                      <w:color w:val="auto"/>
                      <w:highlight w:val="none"/>
                    </w:rPr>
                  </w:pPr>
                </w:p>
              </w:tc>
              <w:tc>
                <w:tcPr>
                  <w:tcW w:w="857" w:type="dxa"/>
                  <w:vMerge w:val="continue"/>
                  <w:vAlign w:val="center"/>
                </w:tcPr>
                <w:p w14:paraId="0FFA1F8F">
                  <w:pPr>
                    <w:jc w:val="center"/>
                    <w:rPr>
                      <w:rFonts w:hint="default" w:ascii="Times New Roman" w:hAnsi="Times New Roman" w:eastAsia="宋体" w:cs="Times New Roman"/>
                      <w:color w:val="auto"/>
                      <w:highlight w:val="none"/>
                    </w:rPr>
                  </w:pPr>
                </w:p>
              </w:tc>
              <w:tc>
                <w:tcPr>
                  <w:tcW w:w="1114" w:type="dxa"/>
                  <w:vAlign w:val="center"/>
                </w:tcPr>
                <w:p w14:paraId="7585EFFA">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产生量</w:t>
                  </w:r>
                  <w:r>
                    <w:rPr>
                      <w:rFonts w:hint="default" w:ascii="Times New Roman" w:hAnsi="Times New Roman" w:eastAsia="宋体" w:cs="Times New Roman"/>
                      <w:i w:val="0"/>
                      <w:iCs w:val="0"/>
                      <w:color w:val="000000"/>
                      <w:kern w:val="0"/>
                      <w:sz w:val="21"/>
                      <w:szCs w:val="21"/>
                      <w:u w:val="none"/>
                      <w:lang w:val="en-US" w:eastAsia="zh-CN" w:bidi="ar"/>
                    </w:rPr>
                    <w:t>t/a</w:t>
                  </w:r>
                </w:p>
              </w:tc>
              <w:tc>
                <w:tcPr>
                  <w:tcW w:w="1038" w:type="dxa"/>
                  <w:vAlign w:val="center"/>
                </w:tcPr>
                <w:p w14:paraId="6FD0BCBB">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0.0324 </w:t>
                  </w:r>
                </w:p>
              </w:tc>
              <w:tc>
                <w:tcPr>
                  <w:tcW w:w="1050" w:type="dxa"/>
                  <w:vAlign w:val="center"/>
                </w:tcPr>
                <w:p w14:paraId="590058E6">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0.0162 </w:t>
                  </w:r>
                </w:p>
              </w:tc>
              <w:tc>
                <w:tcPr>
                  <w:tcW w:w="1027" w:type="dxa"/>
                  <w:vAlign w:val="center"/>
                </w:tcPr>
                <w:p w14:paraId="5CE488A1">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0.0178 </w:t>
                  </w:r>
                </w:p>
              </w:tc>
              <w:tc>
                <w:tcPr>
                  <w:tcW w:w="958" w:type="dxa"/>
                  <w:vAlign w:val="center"/>
                </w:tcPr>
                <w:p w14:paraId="75A96188">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0.0036 </w:t>
                  </w:r>
                </w:p>
              </w:tc>
              <w:tc>
                <w:tcPr>
                  <w:tcW w:w="1231" w:type="dxa"/>
                  <w:vAlign w:val="center"/>
                </w:tcPr>
                <w:p w14:paraId="59FC6477">
                  <w:pPr>
                    <w:pStyle w:val="189"/>
                    <w:pageBreakBefore w:val="0"/>
                    <w:kinsoku/>
                    <w:overflowPunct/>
                    <w:autoSpaceDE/>
                    <w:autoSpaceDN/>
                    <w:bidi w:val="0"/>
                    <w:spacing w:line="240" w:lineRule="auto"/>
                    <w:jc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r w14:paraId="2F3395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restart"/>
                  <w:vAlign w:val="center"/>
                </w:tcPr>
                <w:p w14:paraId="3FE1046F">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ascii="宋体" w:hAnsi="宋体" w:eastAsia="宋体" w:cs="宋体"/>
                      <w:i w:val="0"/>
                      <w:iCs w:val="0"/>
                      <w:color w:val="000000"/>
                      <w:kern w:val="0"/>
                      <w:sz w:val="21"/>
                      <w:szCs w:val="21"/>
                      <w:u w:val="none"/>
                      <w:lang w:val="en-US" w:eastAsia="zh-CN" w:bidi="ar"/>
                    </w:rPr>
                    <w:t>宠物美容废水</w:t>
                  </w:r>
                </w:p>
              </w:tc>
              <w:tc>
                <w:tcPr>
                  <w:tcW w:w="857" w:type="dxa"/>
                  <w:vMerge w:val="restart"/>
                  <w:vAlign w:val="center"/>
                </w:tcPr>
                <w:p w14:paraId="72895EE9">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194.4</w:t>
                  </w:r>
                </w:p>
              </w:tc>
              <w:tc>
                <w:tcPr>
                  <w:tcW w:w="1114" w:type="dxa"/>
                  <w:vAlign w:val="center"/>
                </w:tcPr>
                <w:p w14:paraId="719BDE9B">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浓度（</w:t>
                  </w:r>
                  <w:r>
                    <w:rPr>
                      <w:rFonts w:hint="default" w:ascii="Times New Roman" w:hAnsi="Times New Roman" w:eastAsia="宋体" w:cs="Times New Roman"/>
                      <w:i w:val="0"/>
                      <w:iCs w:val="0"/>
                      <w:color w:val="000000"/>
                      <w:kern w:val="0"/>
                      <w:sz w:val="21"/>
                      <w:szCs w:val="21"/>
                      <w:u w:val="none"/>
                      <w:lang w:val="en-US" w:eastAsia="zh-CN" w:bidi="ar"/>
                    </w:rPr>
                    <w:t>mg/L</w:t>
                  </w:r>
                  <w:r>
                    <w:rPr>
                      <w:rFonts w:hint="eastAsia" w:ascii="宋体" w:hAnsi="宋体" w:eastAsia="宋体" w:cs="宋体"/>
                      <w:i w:val="0"/>
                      <w:iCs w:val="0"/>
                      <w:color w:val="000000"/>
                      <w:kern w:val="0"/>
                      <w:sz w:val="21"/>
                      <w:szCs w:val="21"/>
                      <w:u w:val="none"/>
                      <w:lang w:val="en-US" w:eastAsia="zh-CN" w:bidi="ar"/>
                    </w:rPr>
                    <w:t>）</w:t>
                  </w:r>
                </w:p>
              </w:tc>
              <w:tc>
                <w:tcPr>
                  <w:tcW w:w="1038" w:type="dxa"/>
                  <w:vAlign w:val="center"/>
                </w:tcPr>
                <w:p w14:paraId="4140921B">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250 </w:t>
                  </w:r>
                </w:p>
              </w:tc>
              <w:tc>
                <w:tcPr>
                  <w:tcW w:w="1050" w:type="dxa"/>
                  <w:vAlign w:val="center"/>
                </w:tcPr>
                <w:p w14:paraId="716E0A40">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100 </w:t>
                  </w:r>
                </w:p>
              </w:tc>
              <w:tc>
                <w:tcPr>
                  <w:tcW w:w="1027" w:type="dxa"/>
                  <w:vAlign w:val="center"/>
                </w:tcPr>
                <w:p w14:paraId="12C9FA42">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80 </w:t>
                  </w:r>
                </w:p>
              </w:tc>
              <w:tc>
                <w:tcPr>
                  <w:tcW w:w="958" w:type="dxa"/>
                  <w:vAlign w:val="center"/>
                </w:tcPr>
                <w:p w14:paraId="06BB1A24">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30 </w:t>
                  </w:r>
                </w:p>
              </w:tc>
              <w:tc>
                <w:tcPr>
                  <w:tcW w:w="1231" w:type="dxa"/>
                  <w:vAlign w:val="center"/>
                </w:tcPr>
                <w:p w14:paraId="27ABA44A">
                  <w:pPr>
                    <w:pStyle w:val="189"/>
                    <w:pageBreakBefore w:val="0"/>
                    <w:kinsoku/>
                    <w:overflowPunct/>
                    <w:autoSpaceDE/>
                    <w:autoSpaceDN/>
                    <w:bidi w:val="0"/>
                    <w:spacing w:line="240" w:lineRule="auto"/>
                    <w:jc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1.6×10</w:t>
                  </w:r>
                  <w:r>
                    <w:rPr>
                      <w:rFonts w:hint="default" w:ascii="Times New Roman" w:hAnsi="Times New Roman" w:eastAsia="宋体" w:cs="Times New Roman"/>
                      <w:color w:val="000000" w:themeColor="text1"/>
                      <w:highlight w:val="none"/>
                      <w:vertAlign w:val="superscript"/>
                      <w14:textFill>
                        <w14:solidFill>
                          <w14:schemeClr w14:val="tx1"/>
                        </w14:solidFill>
                      </w14:textFill>
                    </w:rPr>
                    <w:t>5</w:t>
                  </w:r>
                  <w:r>
                    <w:rPr>
                      <w:rFonts w:hint="eastAsia" w:ascii="Times New Roman" w:hAnsi="Times New Roman" w:eastAsia="宋体" w:cs="Times New Roman"/>
                      <w:color w:val="000000" w:themeColor="text1"/>
                      <w:highlight w:val="none"/>
                      <w:lang w:eastAsia="zh-CN"/>
                      <w14:textFill>
                        <w14:solidFill>
                          <w14:schemeClr w14:val="tx1"/>
                        </w14:solidFill>
                      </w14:textFill>
                    </w:rPr>
                    <w:t>MPN</w:t>
                  </w:r>
                  <w:r>
                    <w:rPr>
                      <w:rFonts w:hint="default" w:ascii="Times New Roman" w:hAnsi="Times New Roman" w:eastAsia="宋体" w:cs="Times New Roman"/>
                      <w:color w:val="000000" w:themeColor="text1"/>
                      <w:highlight w:val="none"/>
                      <w14:textFill>
                        <w14:solidFill>
                          <w14:schemeClr w14:val="tx1"/>
                        </w14:solidFill>
                      </w14:textFill>
                    </w:rPr>
                    <w:t>/L</w:t>
                  </w:r>
                </w:p>
              </w:tc>
            </w:tr>
            <w:tr w14:paraId="27FA07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901" w:type="dxa"/>
                  <w:vMerge w:val="continue"/>
                  <w:vAlign w:val="center"/>
                </w:tcPr>
                <w:p w14:paraId="411A274F">
                  <w:pPr>
                    <w:jc w:val="center"/>
                    <w:rPr>
                      <w:rFonts w:hint="default" w:ascii="Times New Roman" w:hAnsi="Times New Roman" w:eastAsia="宋体" w:cs="Times New Roman"/>
                      <w:color w:val="auto"/>
                      <w:highlight w:val="none"/>
                    </w:rPr>
                  </w:pPr>
                </w:p>
              </w:tc>
              <w:tc>
                <w:tcPr>
                  <w:tcW w:w="857" w:type="dxa"/>
                  <w:vMerge w:val="continue"/>
                  <w:vAlign w:val="center"/>
                </w:tcPr>
                <w:p w14:paraId="55B2690F">
                  <w:pPr>
                    <w:jc w:val="center"/>
                    <w:rPr>
                      <w:rFonts w:hint="default" w:ascii="Times New Roman" w:hAnsi="Times New Roman" w:eastAsia="宋体" w:cs="Times New Roman"/>
                      <w:color w:val="auto"/>
                      <w:highlight w:val="none"/>
                    </w:rPr>
                  </w:pPr>
                </w:p>
              </w:tc>
              <w:tc>
                <w:tcPr>
                  <w:tcW w:w="1114" w:type="dxa"/>
                  <w:vAlign w:val="center"/>
                </w:tcPr>
                <w:p w14:paraId="5DBFCC85">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产生量</w:t>
                  </w:r>
                  <w:r>
                    <w:rPr>
                      <w:rFonts w:hint="default" w:ascii="Times New Roman" w:hAnsi="Times New Roman" w:eastAsia="宋体" w:cs="Times New Roman"/>
                      <w:i w:val="0"/>
                      <w:iCs w:val="0"/>
                      <w:color w:val="000000"/>
                      <w:kern w:val="0"/>
                      <w:sz w:val="21"/>
                      <w:szCs w:val="21"/>
                      <w:u w:val="none"/>
                      <w:lang w:val="en-US" w:eastAsia="zh-CN" w:bidi="ar"/>
                    </w:rPr>
                    <w:t>t/a</w:t>
                  </w:r>
                </w:p>
              </w:tc>
              <w:tc>
                <w:tcPr>
                  <w:tcW w:w="1038" w:type="dxa"/>
                  <w:vAlign w:val="center"/>
                </w:tcPr>
                <w:p w14:paraId="038500C3">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0.0486 </w:t>
                  </w:r>
                </w:p>
              </w:tc>
              <w:tc>
                <w:tcPr>
                  <w:tcW w:w="1050" w:type="dxa"/>
                  <w:vAlign w:val="center"/>
                </w:tcPr>
                <w:p w14:paraId="3EB26A62">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0.0194 </w:t>
                  </w:r>
                </w:p>
              </w:tc>
              <w:tc>
                <w:tcPr>
                  <w:tcW w:w="1027" w:type="dxa"/>
                  <w:vAlign w:val="center"/>
                </w:tcPr>
                <w:p w14:paraId="779C7075">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0.0156 </w:t>
                  </w:r>
                </w:p>
              </w:tc>
              <w:tc>
                <w:tcPr>
                  <w:tcW w:w="958" w:type="dxa"/>
                  <w:vAlign w:val="center"/>
                </w:tcPr>
                <w:p w14:paraId="71908A20">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0.0058 </w:t>
                  </w:r>
                </w:p>
              </w:tc>
              <w:tc>
                <w:tcPr>
                  <w:tcW w:w="1231" w:type="dxa"/>
                  <w:vAlign w:val="center"/>
                </w:tcPr>
                <w:p w14:paraId="3320F010">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w:t>
                  </w:r>
                  <w:r>
                    <w:rPr>
                      <w:rFonts w:hint="default" w:ascii="Times New Roman" w:hAnsi="Times New Roman" w:eastAsia="宋体" w:cs="Times New Roman"/>
                      <w:color w:val="000000" w:themeColor="text1"/>
                      <w:sz w:val="21"/>
                      <w:szCs w:val="21"/>
                      <w:highlight w:val="none"/>
                      <w14:textFill>
                        <w14:solidFill>
                          <w14:schemeClr w14:val="tx1"/>
                        </w14:solidFill>
                      </w14:textFill>
                    </w:rPr>
                    <w:t>×10</w:t>
                  </w:r>
                  <w:r>
                    <w:rPr>
                      <w:rFonts w:hint="eastAsia" w:cs="Times New Roman"/>
                      <w:color w:val="000000" w:themeColor="text1"/>
                      <w:sz w:val="21"/>
                      <w:szCs w:val="21"/>
                      <w:highlight w:val="none"/>
                      <w:vertAlign w:val="superscript"/>
                      <w:lang w:val="en-US" w:eastAsia="zh-CN"/>
                      <w14:textFill>
                        <w14:solidFill>
                          <w14:schemeClr w14:val="tx1"/>
                        </w14:solidFill>
                      </w14:textFill>
                    </w:rPr>
                    <w:t>10</w:t>
                  </w:r>
                  <w:r>
                    <w:rPr>
                      <w:rFonts w:hint="eastAsia" w:cs="Times New Roman"/>
                      <w:color w:val="000000" w:themeColor="text1"/>
                      <w:sz w:val="21"/>
                      <w:szCs w:val="21"/>
                      <w:highlight w:val="none"/>
                      <w:lang w:eastAsia="zh-CN"/>
                      <w14:textFill>
                        <w14:solidFill>
                          <w14:schemeClr w14:val="tx1"/>
                        </w14:solidFill>
                      </w14:textFill>
                    </w:rPr>
                    <w:t>MPN</w:t>
                  </w:r>
                </w:p>
              </w:tc>
            </w:tr>
            <w:tr w14:paraId="06DE03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901" w:type="dxa"/>
                  <w:vMerge w:val="continue"/>
                  <w:vAlign w:val="center"/>
                </w:tcPr>
                <w:p w14:paraId="3AA69EAE">
                  <w:pPr>
                    <w:jc w:val="center"/>
                    <w:rPr>
                      <w:rFonts w:hint="default" w:ascii="Times New Roman" w:hAnsi="Times New Roman" w:eastAsia="宋体" w:cs="Times New Roman"/>
                      <w:color w:val="auto"/>
                      <w:highlight w:val="none"/>
                    </w:rPr>
                  </w:pPr>
                </w:p>
              </w:tc>
              <w:tc>
                <w:tcPr>
                  <w:tcW w:w="857" w:type="dxa"/>
                  <w:vMerge w:val="continue"/>
                  <w:vAlign w:val="center"/>
                </w:tcPr>
                <w:p w14:paraId="6547B222">
                  <w:pPr>
                    <w:jc w:val="center"/>
                    <w:rPr>
                      <w:rFonts w:hint="default" w:ascii="Times New Roman" w:hAnsi="Times New Roman" w:eastAsia="宋体" w:cs="Times New Roman"/>
                      <w:color w:val="auto"/>
                      <w:highlight w:val="none"/>
                    </w:rPr>
                  </w:pPr>
                </w:p>
              </w:tc>
              <w:tc>
                <w:tcPr>
                  <w:tcW w:w="1114" w:type="dxa"/>
                  <w:vAlign w:val="center"/>
                </w:tcPr>
                <w:p w14:paraId="2B3DAFD6">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消毒设备处理效率</w:t>
                  </w:r>
                </w:p>
              </w:tc>
              <w:tc>
                <w:tcPr>
                  <w:tcW w:w="1038" w:type="dxa"/>
                  <w:shd w:val="clear" w:color="auto" w:fill="auto"/>
                  <w:vAlign w:val="center"/>
                </w:tcPr>
                <w:p w14:paraId="6F456D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green"/>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050" w:type="dxa"/>
                  <w:shd w:val="clear" w:color="auto" w:fill="auto"/>
                  <w:vAlign w:val="center"/>
                </w:tcPr>
                <w:p w14:paraId="7005C4A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027" w:type="dxa"/>
                  <w:shd w:val="clear" w:color="auto" w:fill="auto"/>
                  <w:vAlign w:val="center"/>
                </w:tcPr>
                <w:p w14:paraId="1F40188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58" w:type="dxa"/>
                  <w:shd w:val="clear" w:color="auto" w:fill="auto"/>
                  <w:vAlign w:val="center"/>
                </w:tcPr>
                <w:p w14:paraId="4C4A64B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231" w:type="dxa"/>
                  <w:shd w:val="clear" w:color="auto" w:fill="auto"/>
                  <w:vAlign w:val="center"/>
                </w:tcPr>
                <w:p w14:paraId="7432AA0E">
                  <w:pPr>
                    <w:pStyle w:val="189"/>
                    <w:pageBreakBefore w:val="0"/>
                    <w:kinsoku/>
                    <w:overflowPunct/>
                    <w:autoSpaceDE/>
                    <w:autoSpaceDN/>
                    <w:bidi w:val="0"/>
                    <w:spacing w:line="240" w:lineRule="auto"/>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99.99</w:t>
                  </w:r>
                  <w:r>
                    <w:rPr>
                      <w:rFonts w:hint="default" w:ascii="Times New Roman" w:hAnsi="Times New Roman" w:eastAsia="宋体" w:cs="Times New Roman"/>
                      <w:color w:val="000000" w:themeColor="text1"/>
                      <w:highlight w:val="none"/>
                      <w14:textFill>
                        <w14:solidFill>
                          <w14:schemeClr w14:val="tx1"/>
                        </w14:solidFill>
                      </w14:textFill>
                    </w:rPr>
                    <w:t>%</w:t>
                  </w:r>
                </w:p>
              </w:tc>
            </w:tr>
            <w:tr w14:paraId="7C8F20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901" w:type="dxa"/>
                  <w:vMerge w:val="continue"/>
                  <w:vAlign w:val="center"/>
                </w:tcPr>
                <w:p w14:paraId="47A4DC20">
                  <w:pPr>
                    <w:jc w:val="center"/>
                    <w:rPr>
                      <w:rFonts w:hint="default" w:ascii="Times New Roman" w:hAnsi="Times New Roman" w:eastAsia="宋体" w:cs="Times New Roman"/>
                      <w:color w:val="auto"/>
                      <w:highlight w:val="none"/>
                    </w:rPr>
                  </w:pPr>
                </w:p>
              </w:tc>
              <w:tc>
                <w:tcPr>
                  <w:tcW w:w="857" w:type="dxa"/>
                  <w:vMerge w:val="continue"/>
                  <w:vAlign w:val="center"/>
                </w:tcPr>
                <w:p w14:paraId="4DD1FC7F">
                  <w:pPr>
                    <w:jc w:val="center"/>
                    <w:rPr>
                      <w:rFonts w:hint="default" w:ascii="Times New Roman" w:hAnsi="Times New Roman" w:eastAsia="宋体" w:cs="Times New Roman"/>
                      <w:color w:val="auto"/>
                      <w:highlight w:val="none"/>
                    </w:rPr>
                  </w:pPr>
                </w:p>
              </w:tc>
              <w:tc>
                <w:tcPr>
                  <w:tcW w:w="1114" w:type="dxa"/>
                  <w:vAlign w:val="center"/>
                </w:tcPr>
                <w:p w14:paraId="4E56EB84">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排放浓度</w:t>
                  </w:r>
                  <w:r>
                    <w:rPr>
                      <w:rFonts w:hint="default" w:ascii="Times New Roman" w:hAnsi="Times New Roman" w:eastAsia="宋体" w:cs="Times New Roman"/>
                      <w:i w:val="0"/>
                      <w:iCs w:val="0"/>
                      <w:color w:val="000000"/>
                      <w:kern w:val="0"/>
                      <w:sz w:val="21"/>
                      <w:szCs w:val="21"/>
                      <w:u w:val="none"/>
                      <w:lang w:val="en-US" w:eastAsia="zh-CN" w:bidi="ar"/>
                    </w:rPr>
                    <w:t>mg/L</w:t>
                  </w:r>
                </w:p>
              </w:tc>
              <w:tc>
                <w:tcPr>
                  <w:tcW w:w="1038" w:type="dxa"/>
                  <w:vAlign w:val="center"/>
                </w:tcPr>
                <w:p w14:paraId="3078DE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250 </w:t>
                  </w:r>
                </w:p>
              </w:tc>
              <w:tc>
                <w:tcPr>
                  <w:tcW w:w="1050" w:type="dxa"/>
                  <w:vAlign w:val="center"/>
                </w:tcPr>
                <w:p w14:paraId="20AB97F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100 </w:t>
                  </w:r>
                </w:p>
              </w:tc>
              <w:tc>
                <w:tcPr>
                  <w:tcW w:w="1027" w:type="dxa"/>
                  <w:vAlign w:val="center"/>
                </w:tcPr>
                <w:p w14:paraId="311FDFF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80 </w:t>
                  </w:r>
                </w:p>
              </w:tc>
              <w:tc>
                <w:tcPr>
                  <w:tcW w:w="958" w:type="dxa"/>
                  <w:vAlign w:val="center"/>
                </w:tcPr>
                <w:p w14:paraId="77F68BA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30 </w:t>
                  </w:r>
                </w:p>
              </w:tc>
              <w:tc>
                <w:tcPr>
                  <w:tcW w:w="1231" w:type="dxa"/>
                  <w:vAlign w:val="center"/>
                </w:tcPr>
                <w:p w14:paraId="04C6CD92">
                  <w:pPr>
                    <w:pStyle w:val="189"/>
                    <w:pageBreakBefore w:val="0"/>
                    <w:kinsoku/>
                    <w:overflowPunct/>
                    <w:autoSpaceDE/>
                    <w:autoSpaceDN/>
                    <w:bidi w:val="0"/>
                    <w:spacing w:line="240" w:lineRule="auto"/>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16</w:t>
                  </w:r>
                  <w:r>
                    <w:rPr>
                      <w:rFonts w:hint="eastAsia" w:ascii="Times New Roman" w:hAnsi="Times New Roman" w:eastAsia="宋体" w:cs="Times New Roman"/>
                      <w:color w:val="000000" w:themeColor="text1"/>
                      <w:highlight w:val="none"/>
                      <w:lang w:eastAsia="zh-CN"/>
                      <w14:textFill>
                        <w14:solidFill>
                          <w14:schemeClr w14:val="tx1"/>
                        </w14:solidFill>
                      </w14:textFill>
                    </w:rPr>
                    <w:t>MPN</w:t>
                  </w:r>
                  <w:r>
                    <w:rPr>
                      <w:rFonts w:hint="default" w:ascii="Times New Roman" w:hAnsi="Times New Roman" w:eastAsia="宋体" w:cs="Times New Roman"/>
                      <w:color w:val="000000" w:themeColor="text1"/>
                      <w:highlight w:val="none"/>
                      <w14:textFill>
                        <w14:solidFill>
                          <w14:schemeClr w14:val="tx1"/>
                        </w14:solidFill>
                      </w14:textFill>
                    </w:rPr>
                    <w:t>/L</w:t>
                  </w:r>
                </w:p>
              </w:tc>
            </w:tr>
            <w:tr w14:paraId="04195C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901" w:type="dxa"/>
                  <w:vMerge w:val="continue"/>
                  <w:vAlign w:val="center"/>
                </w:tcPr>
                <w:p w14:paraId="0A0479F7">
                  <w:pPr>
                    <w:jc w:val="center"/>
                    <w:rPr>
                      <w:rFonts w:hint="default" w:ascii="Times New Roman" w:hAnsi="Times New Roman" w:eastAsia="宋体" w:cs="Times New Roman"/>
                      <w:color w:val="auto"/>
                      <w:highlight w:val="none"/>
                    </w:rPr>
                  </w:pPr>
                </w:p>
              </w:tc>
              <w:tc>
                <w:tcPr>
                  <w:tcW w:w="857" w:type="dxa"/>
                  <w:vMerge w:val="continue"/>
                  <w:vAlign w:val="center"/>
                </w:tcPr>
                <w:p w14:paraId="7BF7583D">
                  <w:pPr>
                    <w:jc w:val="center"/>
                    <w:rPr>
                      <w:rFonts w:hint="default" w:ascii="Times New Roman" w:hAnsi="Times New Roman" w:eastAsia="宋体" w:cs="Times New Roman"/>
                      <w:color w:val="auto"/>
                      <w:highlight w:val="none"/>
                    </w:rPr>
                  </w:pPr>
                </w:p>
              </w:tc>
              <w:tc>
                <w:tcPr>
                  <w:tcW w:w="1114" w:type="dxa"/>
                  <w:vAlign w:val="center"/>
                </w:tcPr>
                <w:p w14:paraId="71181541">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排放量</w:t>
                  </w:r>
                  <w:r>
                    <w:rPr>
                      <w:rFonts w:hint="default" w:ascii="Times New Roman" w:hAnsi="Times New Roman" w:eastAsia="宋体" w:cs="Times New Roman"/>
                      <w:i w:val="0"/>
                      <w:iCs w:val="0"/>
                      <w:color w:val="000000"/>
                      <w:kern w:val="0"/>
                      <w:sz w:val="21"/>
                      <w:szCs w:val="21"/>
                      <w:u w:val="none"/>
                      <w:lang w:val="en-US" w:eastAsia="zh-CN" w:bidi="ar"/>
                    </w:rPr>
                    <w:t>t/a</w:t>
                  </w:r>
                </w:p>
              </w:tc>
              <w:tc>
                <w:tcPr>
                  <w:tcW w:w="1038" w:type="dxa"/>
                  <w:vAlign w:val="center"/>
                </w:tcPr>
                <w:p w14:paraId="100AE6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0.0486 </w:t>
                  </w:r>
                </w:p>
              </w:tc>
              <w:tc>
                <w:tcPr>
                  <w:tcW w:w="1050" w:type="dxa"/>
                  <w:vAlign w:val="center"/>
                </w:tcPr>
                <w:p w14:paraId="7C46E19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0.0194 </w:t>
                  </w:r>
                </w:p>
              </w:tc>
              <w:tc>
                <w:tcPr>
                  <w:tcW w:w="1027" w:type="dxa"/>
                  <w:vAlign w:val="center"/>
                </w:tcPr>
                <w:p w14:paraId="38902A0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0.0156 </w:t>
                  </w:r>
                </w:p>
              </w:tc>
              <w:tc>
                <w:tcPr>
                  <w:tcW w:w="958" w:type="dxa"/>
                  <w:vAlign w:val="center"/>
                </w:tcPr>
                <w:p w14:paraId="2CED227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0.0058 </w:t>
                  </w:r>
                </w:p>
              </w:tc>
              <w:tc>
                <w:tcPr>
                  <w:tcW w:w="1231" w:type="dxa"/>
                  <w:vAlign w:val="center"/>
                </w:tcPr>
                <w:p w14:paraId="1D0E2D7F">
                  <w:pPr>
                    <w:pStyle w:val="189"/>
                    <w:pageBreakBefore w:val="0"/>
                    <w:kinsoku/>
                    <w:overflowPunct/>
                    <w:autoSpaceDE/>
                    <w:autoSpaceDN/>
                    <w:bidi w:val="0"/>
                    <w:spacing w:line="240" w:lineRule="auto"/>
                    <w:jc w:val="center"/>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w:t>
                  </w:r>
                  <w:r>
                    <w:rPr>
                      <w:rFonts w:hint="default" w:ascii="Times New Roman" w:hAnsi="Times New Roman" w:eastAsia="宋体" w:cs="Times New Roman"/>
                      <w:color w:val="000000" w:themeColor="text1"/>
                      <w:sz w:val="21"/>
                      <w:szCs w:val="21"/>
                      <w:highlight w:val="none"/>
                      <w14:textFill>
                        <w14:solidFill>
                          <w14:schemeClr w14:val="tx1"/>
                        </w14:solidFill>
                      </w14:textFill>
                    </w:rPr>
                    <w:t>×10</w:t>
                  </w:r>
                  <w:r>
                    <w:rPr>
                      <w:rFonts w:hint="eastAsia"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6</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MPN</w:t>
                  </w:r>
                </w:p>
              </w:tc>
            </w:tr>
            <w:tr w14:paraId="2DAD2D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restart"/>
                  <w:vAlign w:val="center"/>
                </w:tcPr>
                <w:p w14:paraId="2CC37DDA">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ascii="宋体" w:hAnsi="宋体" w:eastAsia="宋体" w:cs="宋体"/>
                      <w:i w:val="0"/>
                      <w:iCs w:val="0"/>
                      <w:color w:val="000000"/>
                      <w:kern w:val="0"/>
                      <w:sz w:val="21"/>
                      <w:szCs w:val="21"/>
                      <w:u w:val="none"/>
                      <w:lang w:val="en-US" w:eastAsia="zh-CN" w:bidi="ar"/>
                    </w:rPr>
                    <w:t>宠物医疗废水</w:t>
                  </w:r>
                </w:p>
              </w:tc>
              <w:tc>
                <w:tcPr>
                  <w:tcW w:w="857" w:type="dxa"/>
                  <w:vMerge w:val="restart"/>
                  <w:vAlign w:val="center"/>
                </w:tcPr>
                <w:p w14:paraId="6D6FD6E8">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21.6</w:t>
                  </w:r>
                </w:p>
              </w:tc>
              <w:tc>
                <w:tcPr>
                  <w:tcW w:w="1114" w:type="dxa"/>
                  <w:vAlign w:val="center"/>
                </w:tcPr>
                <w:p w14:paraId="64E6D825">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产生浓度（</w:t>
                  </w:r>
                  <w:r>
                    <w:rPr>
                      <w:rFonts w:hint="default" w:ascii="Times New Roman" w:hAnsi="Times New Roman" w:eastAsia="宋体" w:cs="Times New Roman"/>
                      <w:i w:val="0"/>
                      <w:iCs w:val="0"/>
                      <w:color w:val="000000"/>
                      <w:kern w:val="0"/>
                      <w:sz w:val="21"/>
                      <w:szCs w:val="21"/>
                      <w:u w:val="none"/>
                      <w:lang w:val="en-US" w:eastAsia="zh-CN" w:bidi="ar"/>
                    </w:rPr>
                    <w:t>mg/L</w:t>
                  </w:r>
                  <w:r>
                    <w:rPr>
                      <w:rFonts w:hint="eastAsia" w:ascii="宋体" w:hAnsi="宋体" w:eastAsia="宋体" w:cs="宋体"/>
                      <w:i w:val="0"/>
                      <w:iCs w:val="0"/>
                      <w:color w:val="000000"/>
                      <w:kern w:val="0"/>
                      <w:sz w:val="21"/>
                      <w:szCs w:val="21"/>
                      <w:u w:val="none"/>
                      <w:lang w:val="en-US" w:eastAsia="zh-CN" w:bidi="ar"/>
                    </w:rPr>
                    <w:t>）</w:t>
                  </w:r>
                </w:p>
              </w:tc>
              <w:tc>
                <w:tcPr>
                  <w:tcW w:w="1038" w:type="dxa"/>
                  <w:vAlign w:val="center"/>
                </w:tcPr>
                <w:p w14:paraId="45C66A51">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250</w:t>
                  </w:r>
                </w:p>
              </w:tc>
              <w:tc>
                <w:tcPr>
                  <w:tcW w:w="1050" w:type="dxa"/>
                  <w:vAlign w:val="center"/>
                </w:tcPr>
                <w:p w14:paraId="7D4261C3">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100</w:t>
                  </w:r>
                </w:p>
              </w:tc>
              <w:tc>
                <w:tcPr>
                  <w:tcW w:w="1027" w:type="dxa"/>
                  <w:vAlign w:val="center"/>
                </w:tcPr>
                <w:p w14:paraId="7EAF84FE">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80</w:t>
                  </w:r>
                </w:p>
              </w:tc>
              <w:tc>
                <w:tcPr>
                  <w:tcW w:w="958" w:type="dxa"/>
                  <w:vAlign w:val="center"/>
                </w:tcPr>
                <w:p w14:paraId="3FC4686E">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30</w:t>
                  </w:r>
                </w:p>
              </w:tc>
              <w:tc>
                <w:tcPr>
                  <w:tcW w:w="1231" w:type="dxa"/>
                  <w:vAlign w:val="center"/>
                </w:tcPr>
                <w:p w14:paraId="1D2FC7C9">
                  <w:pPr>
                    <w:pStyle w:val="189"/>
                    <w:pageBreakBefore w:val="0"/>
                    <w:kinsoku/>
                    <w:overflowPunct/>
                    <w:autoSpaceDE/>
                    <w:autoSpaceDN/>
                    <w:bidi w:val="0"/>
                    <w:spacing w:line="240" w:lineRule="auto"/>
                    <w:jc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1.6×10</w:t>
                  </w:r>
                  <w:r>
                    <w:rPr>
                      <w:rFonts w:hint="default" w:ascii="Times New Roman" w:hAnsi="Times New Roman" w:eastAsia="宋体" w:cs="Times New Roman"/>
                      <w:color w:val="000000" w:themeColor="text1"/>
                      <w:highlight w:val="none"/>
                      <w:vertAlign w:val="superscript"/>
                      <w14:textFill>
                        <w14:solidFill>
                          <w14:schemeClr w14:val="tx1"/>
                        </w14:solidFill>
                      </w14:textFill>
                    </w:rPr>
                    <w:t>5</w:t>
                  </w:r>
                  <w:r>
                    <w:rPr>
                      <w:rFonts w:hint="eastAsia" w:ascii="Times New Roman" w:hAnsi="Times New Roman" w:eastAsia="宋体" w:cs="Times New Roman"/>
                      <w:color w:val="000000" w:themeColor="text1"/>
                      <w:highlight w:val="none"/>
                      <w:lang w:eastAsia="zh-CN"/>
                      <w14:textFill>
                        <w14:solidFill>
                          <w14:schemeClr w14:val="tx1"/>
                        </w14:solidFill>
                      </w14:textFill>
                    </w:rPr>
                    <w:t>MPN</w:t>
                  </w:r>
                  <w:r>
                    <w:rPr>
                      <w:rFonts w:hint="default" w:ascii="Times New Roman" w:hAnsi="Times New Roman" w:eastAsia="宋体" w:cs="Times New Roman"/>
                      <w:color w:val="000000" w:themeColor="text1"/>
                      <w:highlight w:val="none"/>
                      <w14:textFill>
                        <w14:solidFill>
                          <w14:schemeClr w14:val="tx1"/>
                        </w14:solidFill>
                      </w14:textFill>
                    </w:rPr>
                    <w:t>/L</w:t>
                  </w:r>
                </w:p>
              </w:tc>
            </w:tr>
            <w:tr w14:paraId="7F4D8F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901" w:type="dxa"/>
                  <w:vMerge w:val="continue"/>
                  <w:vAlign w:val="center"/>
                </w:tcPr>
                <w:p w14:paraId="4D6C8D27">
                  <w:pPr>
                    <w:jc w:val="center"/>
                    <w:rPr>
                      <w:rFonts w:hint="default" w:ascii="Times New Roman" w:hAnsi="Times New Roman" w:eastAsia="宋体" w:cs="Times New Roman"/>
                      <w:color w:val="auto"/>
                      <w:highlight w:val="none"/>
                    </w:rPr>
                  </w:pPr>
                </w:p>
              </w:tc>
              <w:tc>
                <w:tcPr>
                  <w:tcW w:w="857" w:type="dxa"/>
                  <w:vMerge w:val="continue"/>
                  <w:vAlign w:val="center"/>
                </w:tcPr>
                <w:p w14:paraId="6F03767C">
                  <w:pPr>
                    <w:jc w:val="center"/>
                    <w:rPr>
                      <w:rFonts w:hint="default" w:ascii="Times New Roman" w:hAnsi="Times New Roman" w:eastAsia="宋体" w:cs="Times New Roman"/>
                      <w:color w:val="auto"/>
                      <w:highlight w:val="none"/>
                    </w:rPr>
                  </w:pPr>
                </w:p>
              </w:tc>
              <w:tc>
                <w:tcPr>
                  <w:tcW w:w="1114" w:type="dxa"/>
                  <w:vAlign w:val="center"/>
                </w:tcPr>
                <w:p w14:paraId="1AD58C37">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产生量（</w:t>
                  </w:r>
                  <w:r>
                    <w:rPr>
                      <w:rFonts w:hint="default" w:ascii="Times New Roman" w:hAnsi="Times New Roman" w:eastAsia="宋体" w:cs="Times New Roman"/>
                      <w:i w:val="0"/>
                      <w:iCs w:val="0"/>
                      <w:color w:val="000000"/>
                      <w:kern w:val="0"/>
                      <w:sz w:val="21"/>
                      <w:szCs w:val="21"/>
                      <w:u w:val="none"/>
                      <w:lang w:val="en-US" w:eastAsia="zh-CN" w:bidi="ar"/>
                    </w:rPr>
                    <w:t>t/a</w:t>
                  </w:r>
                  <w:r>
                    <w:rPr>
                      <w:rFonts w:hint="eastAsia" w:ascii="宋体" w:hAnsi="宋体" w:eastAsia="宋体" w:cs="宋体"/>
                      <w:i w:val="0"/>
                      <w:iCs w:val="0"/>
                      <w:color w:val="000000"/>
                      <w:kern w:val="0"/>
                      <w:sz w:val="21"/>
                      <w:szCs w:val="21"/>
                      <w:u w:val="none"/>
                      <w:lang w:val="en-US" w:eastAsia="zh-CN" w:bidi="ar"/>
                    </w:rPr>
                    <w:t>）</w:t>
                  </w:r>
                </w:p>
              </w:tc>
              <w:tc>
                <w:tcPr>
                  <w:tcW w:w="1038" w:type="dxa"/>
                  <w:vAlign w:val="center"/>
                </w:tcPr>
                <w:p w14:paraId="21F7F69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0.0054 </w:t>
                  </w:r>
                </w:p>
              </w:tc>
              <w:tc>
                <w:tcPr>
                  <w:tcW w:w="1050" w:type="dxa"/>
                  <w:vAlign w:val="center"/>
                </w:tcPr>
                <w:p w14:paraId="67B9FD92">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0.0022 </w:t>
                  </w:r>
                </w:p>
              </w:tc>
              <w:tc>
                <w:tcPr>
                  <w:tcW w:w="1027" w:type="dxa"/>
                  <w:vAlign w:val="center"/>
                </w:tcPr>
                <w:p w14:paraId="1958207A">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0.0017 </w:t>
                  </w:r>
                </w:p>
              </w:tc>
              <w:tc>
                <w:tcPr>
                  <w:tcW w:w="958" w:type="dxa"/>
                  <w:vAlign w:val="center"/>
                </w:tcPr>
                <w:p w14:paraId="2967A7C2">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0.0006 </w:t>
                  </w:r>
                </w:p>
              </w:tc>
              <w:tc>
                <w:tcPr>
                  <w:tcW w:w="1231" w:type="dxa"/>
                  <w:vAlign w:val="center"/>
                </w:tcPr>
                <w:p w14:paraId="2D3EFD0A">
                  <w:pPr>
                    <w:pStyle w:val="189"/>
                    <w:pageBreakBefore w:val="0"/>
                    <w:kinsoku/>
                    <w:overflowPunct/>
                    <w:autoSpaceDE/>
                    <w:autoSpaceDN/>
                    <w:bidi w:val="0"/>
                    <w:spacing w:line="240" w:lineRule="auto"/>
                    <w:jc w:val="center"/>
                    <w:rPr>
                      <w:rFonts w:hint="eastAsia" w:ascii="Times New Roman" w:hAnsi="Times New Roman" w:cs="Times New Roman" w:eastAsiaTheme="minorEastAsia"/>
                      <w:i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3.46</w:t>
                  </w:r>
                  <w:r>
                    <w:rPr>
                      <w:rFonts w:hint="default" w:ascii="Times New Roman" w:hAnsi="Times New Roman" w:eastAsia="宋体" w:cs="Times New Roman"/>
                      <w:color w:val="000000" w:themeColor="text1"/>
                      <w:sz w:val="21"/>
                      <w:szCs w:val="21"/>
                      <w:highlight w:val="none"/>
                      <w14:textFill>
                        <w14:solidFill>
                          <w14:schemeClr w14:val="tx1"/>
                        </w14:solidFill>
                      </w14:textFill>
                    </w:rPr>
                    <w:t>×10</w:t>
                  </w:r>
                  <w:r>
                    <w:rPr>
                      <w:rFonts w:hint="eastAsia" w:cs="Times New Roman"/>
                      <w:color w:val="000000" w:themeColor="text1"/>
                      <w:sz w:val="21"/>
                      <w:szCs w:val="21"/>
                      <w:highlight w:val="none"/>
                      <w:vertAlign w:val="superscript"/>
                      <w:lang w:val="en-US" w:eastAsia="zh-CN"/>
                      <w14:textFill>
                        <w14:solidFill>
                          <w14:schemeClr w14:val="tx1"/>
                        </w14:solidFill>
                      </w14:textFill>
                    </w:rPr>
                    <w:t>9</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MPN</w:t>
                  </w:r>
                </w:p>
              </w:tc>
            </w:tr>
            <w:tr w14:paraId="563AFB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14:paraId="6E046AC4">
                  <w:pPr>
                    <w:jc w:val="center"/>
                    <w:rPr>
                      <w:rFonts w:hint="default" w:ascii="Times New Roman" w:hAnsi="Times New Roman" w:eastAsia="宋体" w:cs="Times New Roman"/>
                      <w:color w:val="auto"/>
                      <w:highlight w:val="none"/>
                    </w:rPr>
                  </w:pPr>
                </w:p>
              </w:tc>
              <w:tc>
                <w:tcPr>
                  <w:tcW w:w="857" w:type="dxa"/>
                  <w:vMerge w:val="continue"/>
                  <w:vAlign w:val="center"/>
                </w:tcPr>
                <w:p w14:paraId="37D2D14B">
                  <w:pPr>
                    <w:jc w:val="center"/>
                    <w:rPr>
                      <w:rFonts w:hint="default" w:ascii="Times New Roman" w:hAnsi="Times New Roman" w:eastAsia="宋体" w:cs="Times New Roman"/>
                      <w:color w:val="auto"/>
                      <w:highlight w:val="none"/>
                    </w:rPr>
                  </w:pPr>
                </w:p>
              </w:tc>
              <w:tc>
                <w:tcPr>
                  <w:tcW w:w="1114" w:type="dxa"/>
                  <w:vAlign w:val="center"/>
                </w:tcPr>
                <w:p w14:paraId="0A27695B">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消毒设备处理效率</w:t>
                  </w:r>
                </w:p>
              </w:tc>
              <w:tc>
                <w:tcPr>
                  <w:tcW w:w="1038" w:type="dxa"/>
                  <w:vAlign w:val="center"/>
                </w:tcPr>
                <w:p w14:paraId="6C783ECF">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green"/>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 </w:t>
                  </w:r>
                </w:p>
              </w:tc>
              <w:tc>
                <w:tcPr>
                  <w:tcW w:w="1050" w:type="dxa"/>
                  <w:vAlign w:val="center"/>
                </w:tcPr>
                <w:p w14:paraId="17A31EE1">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027" w:type="dxa"/>
                  <w:vAlign w:val="center"/>
                </w:tcPr>
                <w:p w14:paraId="28F475E6">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58" w:type="dxa"/>
                  <w:vAlign w:val="center"/>
                </w:tcPr>
                <w:p w14:paraId="52287ACE">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231" w:type="dxa"/>
                  <w:vAlign w:val="center"/>
                </w:tcPr>
                <w:p w14:paraId="225BF3E6">
                  <w:pPr>
                    <w:pStyle w:val="189"/>
                    <w:pageBreakBefore w:val="0"/>
                    <w:kinsoku/>
                    <w:overflowPunct/>
                    <w:autoSpaceDE/>
                    <w:autoSpaceDN/>
                    <w:bidi w:val="0"/>
                    <w:spacing w:line="240" w:lineRule="auto"/>
                    <w:jc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99.99</w:t>
                  </w:r>
                  <w:r>
                    <w:rPr>
                      <w:rFonts w:hint="default" w:ascii="Times New Roman" w:hAnsi="Times New Roman" w:eastAsia="宋体" w:cs="Times New Roman"/>
                      <w:color w:val="000000" w:themeColor="text1"/>
                      <w:highlight w:val="none"/>
                      <w14:textFill>
                        <w14:solidFill>
                          <w14:schemeClr w14:val="tx1"/>
                        </w14:solidFill>
                      </w14:textFill>
                    </w:rPr>
                    <w:t>%</w:t>
                  </w:r>
                </w:p>
              </w:tc>
            </w:tr>
            <w:tr w14:paraId="0B3B8B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14:paraId="21E1AC89">
                  <w:pPr>
                    <w:jc w:val="center"/>
                    <w:rPr>
                      <w:rFonts w:hint="default" w:ascii="Times New Roman" w:hAnsi="Times New Roman" w:eastAsia="宋体" w:cs="Times New Roman"/>
                      <w:color w:val="auto"/>
                      <w:highlight w:val="none"/>
                    </w:rPr>
                  </w:pPr>
                </w:p>
              </w:tc>
              <w:tc>
                <w:tcPr>
                  <w:tcW w:w="857" w:type="dxa"/>
                  <w:vMerge w:val="continue"/>
                  <w:vAlign w:val="center"/>
                </w:tcPr>
                <w:p w14:paraId="7F6FDCD8">
                  <w:pPr>
                    <w:jc w:val="center"/>
                    <w:rPr>
                      <w:rFonts w:hint="default" w:ascii="Times New Roman" w:hAnsi="Times New Roman" w:eastAsia="宋体" w:cs="Times New Roman"/>
                      <w:color w:val="auto"/>
                      <w:highlight w:val="none"/>
                    </w:rPr>
                  </w:pPr>
                </w:p>
              </w:tc>
              <w:tc>
                <w:tcPr>
                  <w:tcW w:w="1114" w:type="dxa"/>
                  <w:vAlign w:val="center"/>
                </w:tcPr>
                <w:p w14:paraId="2D6F9F23">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排放浓度（</w:t>
                  </w:r>
                  <w:r>
                    <w:rPr>
                      <w:rFonts w:hint="default" w:ascii="Times New Roman" w:hAnsi="Times New Roman" w:eastAsia="宋体" w:cs="Times New Roman"/>
                      <w:i w:val="0"/>
                      <w:iCs w:val="0"/>
                      <w:color w:val="000000"/>
                      <w:kern w:val="0"/>
                      <w:sz w:val="21"/>
                      <w:szCs w:val="21"/>
                      <w:u w:val="none"/>
                      <w:lang w:val="en-US" w:eastAsia="zh-CN" w:bidi="ar"/>
                    </w:rPr>
                    <w:t>mg/L</w:t>
                  </w:r>
                  <w:r>
                    <w:rPr>
                      <w:rFonts w:hint="eastAsia" w:ascii="宋体" w:hAnsi="宋体" w:eastAsia="宋体" w:cs="宋体"/>
                      <w:i w:val="0"/>
                      <w:iCs w:val="0"/>
                      <w:color w:val="000000"/>
                      <w:kern w:val="0"/>
                      <w:sz w:val="21"/>
                      <w:szCs w:val="21"/>
                      <w:u w:val="none"/>
                      <w:lang w:val="en-US" w:eastAsia="zh-CN" w:bidi="ar"/>
                    </w:rPr>
                    <w:t>）</w:t>
                  </w:r>
                </w:p>
              </w:tc>
              <w:tc>
                <w:tcPr>
                  <w:tcW w:w="1038" w:type="dxa"/>
                  <w:vAlign w:val="center"/>
                </w:tcPr>
                <w:p w14:paraId="3CC24747">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50 </w:t>
                  </w:r>
                </w:p>
              </w:tc>
              <w:tc>
                <w:tcPr>
                  <w:tcW w:w="1050" w:type="dxa"/>
                  <w:vAlign w:val="center"/>
                </w:tcPr>
                <w:p w14:paraId="5F71230F">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027" w:type="dxa"/>
                  <w:vAlign w:val="center"/>
                </w:tcPr>
                <w:p w14:paraId="26BE2FAF">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58" w:type="dxa"/>
                  <w:vAlign w:val="center"/>
                </w:tcPr>
                <w:p w14:paraId="49BBDCAB">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231" w:type="dxa"/>
                  <w:vAlign w:val="center"/>
                </w:tcPr>
                <w:p w14:paraId="6CDE45B7">
                  <w:pPr>
                    <w:pStyle w:val="189"/>
                    <w:pageBreakBefore w:val="0"/>
                    <w:kinsoku/>
                    <w:overflowPunct/>
                    <w:autoSpaceDE/>
                    <w:autoSpaceDN/>
                    <w:bidi w:val="0"/>
                    <w:spacing w:line="240" w:lineRule="auto"/>
                    <w:jc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16</w:t>
                  </w:r>
                  <w:r>
                    <w:rPr>
                      <w:rFonts w:hint="eastAsia" w:ascii="Times New Roman" w:hAnsi="Times New Roman" w:eastAsia="宋体" w:cs="Times New Roman"/>
                      <w:color w:val="000000" w:themeColor="text1"/>
                      <w:highlight w:val="none"/>
                      <w:lang w:eastAsia="zh-CN"/>
                      <w14:textFill>
                        <w14:solidFill>
                          <w14:schemeClr w14:val="tx1"/>
                        </w14:solidFill>
                      </w14:textFill>
                    </w:rPr>
                    <w:t>MPN</w:t>
                  </w:r>
                  <w:r>
                    <w:rPr>
                      <w:rFonts w:hint="default" w:ascii="Times New Roman" w:hAnsi="Times New Roman" w:eastAsia="宋体" w:cs="Times New Roman"/>
                      <w:color w:val="000000" w:themeColor="text1"/>
                      <w:highlight w:val="none"/>
                      <w14:textFill>
                        <w14:solidFill>
                          <w14:schemeClr w14:val="tx1"/>
                        </w14:solidFill>
                      </w14:textFill>
                    </w:rPr>
                    <w:t>/L</w:t>
                  </w:r>
                </w:p>
              </w:tc>
            </w:tr>
            <w:tr w14:paraId="38A4CC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901" w:type="dxa"/>
                  <w:vMerge w:val="continue"/>
                  <w:vAlign w:val="center"/>
                </w:tcPr>
                <w:p w14:paraId="676611C6">
                  <w:pPr>
                    <w:jc w:val="center"/>
                    <w:rPr>
                      <w:rFonts w:hint="default" w:ascii="Times New Roman" w:hAnsi="Times New Roman" w:eastAsia="宋体" w:cs="Times New Roman"/>
                      <w:color w:val="auto"/>
                      <w:highlight w:val="none"/>
                    </w:rPr>
                  </w:pPr>
                  <w:bookmarkStart w:id="86" w:name="_Toc32708_WPSOffice_Level3"/>
                  <w:bookmarkStart w:id="87" w:name="_Toc8415"/>
                  <w:bookmarkStart w:id="88" w:name="_Toc23159"/>
                </w:p>
              </w:tc>
              <w:tc>
                <w:tcPr>
                  <w:tcW w:w="857" w:type="dxa"/>
                  <w:vMerge w:val="continue"/>
                  <w:vAlign w:val="center"/>
                </w:tcPr>
                <w:p w14:paraId="599AAA6B">
                  <w:pPr>
                    <w:jc w:val="center"/>
                    <w:rPr>
                      <w:rFonts w:hint="default" w:ascii="Times New Roman" w:hAnsi="Times New Roman" w:eastAsia="宋体" w:cs="Times New Roman"/>
                      <w:color w:val="auto"/>
                      <w:highlight w:val="none"/>
                    </w:rPr>
                  </w:pPr>
                </w:p>
              </w:tc>
              <w:tc>
                <w:tcPr>
                  <w:tcW w:w="1114" w:type="dxa"/>
                  <w:vAlign w:val="center"/>
                </w:tcPr>
                <w:p w14:paraId="5D7CBD82">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排放量（</w:t>
                  </w:r>
                  <w:r>
                    <w:rPr>
                      <w:rFonts w:hint="default" w:ascii="Times New Roman" w:hAnsi="Times New Roman" w:eastAsia="宋体" w:cs="Times New Roman"/>
                      <w:i w:val="0"/>
                      <w:iCs w:val="0"/>
                      <w:color w:val="000000"/>
                      <w:kern w:val="0"/>
                      <w:sz w:val="21"/>
                      <w:szCs w:val="21"/>
                      <w:u w:val="none"/>
                      <w:lang w:val="en-US" w:eastAsia="zh-CN" w:bidi="ar"/>
                    </w:rPr>
                    <w:t>t/a</w:t>
                  </w:r>
                  <w:r>
                    <w:rPr>
                      <w:rFonts w:hint="eastAsia" w:ascii="宋体" w:hAnsi="宋体" w:eastAsia="宋体" w:cs="宋体"/>
                      <w:i w:val="0"/>
                      <w:iCs w:val="0"/>
                      <w:color w:val="000000"/>
                      <w:kern w:val="0"/>
                      <w:sz w:val="21"/>
                      <w:szCs w:val="21"/>
                      <w:u w:val="none"/>
                      <w:lang w:val="en-US" w:eastAsia="zh-CN" w:bidi="ar"/>
                    </w:rPr>
                    <w:t>）</w:t>
                  </w:r>
                </w:p>
              </w:tc>
              <w:tc>
                <w:tcPr>
                  <w:tcW w:w="1038" w:type="dxa"/>
                  <w:vAlign w:val="center"/>
                </w:tcPr>
                <w:p w14:paraId="31D9300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0.0054 </w:t>
                  </w:r>
                </w:p>
              </w:tc>
              <w:tc>
                <w:tcPr>
                  <w:tcW w:w="1050" w:type="dxa"/>
                  <w:vAlign w:val="center"/>
                </w:tcPr>
                <w:p w14:paraId="3CDA5490">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0.0022 </w:t>
                  </w:r>
                </w:p>
              </w:tc>
              <w:tc>
                <w:tcPr>
                  <w:tcW w:w="1027" w:type="dxa"/>
                  <w:vAlign w:val="center"/>
                </w:tcPr>
                <w:p w14:paraId="4996D7AE">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0.0017 </w:t>
                  </w:r>
                </w:p>
              </w:tc>
              <w:tc>
                <w:tcPr>
                  <w:tcW w:w="958" w:type="dxa"/>
                  <w:vAlign w:val="center"/>
                </w:tcPr>
                <w:p w14:paraId="1305923B">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0.0006 </w:t>
                  </w:r>
                </w:p>
              </w:tc>
              <w:tc>
                <w:tcPr>
                  <w:tcW w:w="1231" w:type="dxa"/>
                  <w:vAlign w:val="center"/>
                </w:tcPr>
                <w:p w14:paraId="2B52D58C">
                  <w:pPr>
                    <w:pStyle w:val="189"/>
                    <w:pageBreakBefore w:val="0"/>
                    <w:kinsoku/>
                    <w:overflowPunct/>
                    <w:autoSpaceDE/>
                    <w:autoSpaceDN/>
                    <w:bidi w:val="0"/>
                    <w:spacing w:line="240" w:lineRule="auto"/>
                    <w:jc w:val="center"/>
                    <w:rPr>
                      <w:rFonts w:hint="eastAsia" w:ascii="Times New Roman" w:hAnsi="Times New Roman" w:cs="Times New Roman" w:eastAsiaTheme="minorEastAsia"/>
                      <w:i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3.46</w:t>
                  </w:r>
                  <w:r>
                    <w:rPr>
                      <w:rFonts w:hint="default" w:ascii="Times New Roman" w:hAnsi="Times New Roman" w:eastAsia="宋体" w:cs="Times New Roman"/>
                      <w:color w:val="000000" w:themeColor="text1"/>
                      <w:sz w:val="21"/>
                      <w:szCs w:val="21"/>
                      <w:highlight w:val="none"/>
                      <w14:textFill>
                        <w14:solidFill>
                          <w14:schemeClr w14:val="tx1"/>
                        </w14:solidFill>
                      </w14:textFill>
                    </w:rPr>
                    <w:t>×10</w:t>
                  </w:r>
                  <w:r>
                    <w:rPr>
                      <w:rFonts w:hint="eastAsia" w:cs="Times New Roman"/>
                      <w:color w:val="000000" w:themeColor="text1"/>
                      <w:sz w:val="21"/>
                      <w:szCs w:val="21"/>
                      <w:highlight w:val="none"/>
                      <w:vertAlign w:val="superscript"/>
                      <w:lang w:val="en-US" w:eastAsia="zh-CN"/>
                      <w14:textFill>
                        <w14:solidFill>
                          <w14:schemeClr w14:val="tx1"/>
                        </w14:solidFill>
                      </w14:textFill>
                    </w:rPr>
                    <w:t>5</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MPN</w:t>
                  </w:r>
                </w:p>
              </w:tc>
            </w:tr>
            <w:tr w14:paraId="0644C6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901" w:type="dxa"/>
                  <w:vMerge w:val="restart"/>
                  <w:vAlign w:val="center"/>
                </w:tcPr>
                <w:p w14:paraId="39988CCB">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eastAsia" w:ascii="宋体" w:hAnsi="宋体" w:eastAsia="宋体" w:cs="宋体"/>
                      <w:i w:val="0"/>
                      <w:iCs w:val="0"/>
                      <w:color w:val="000000"/>
                      <w:kern w:val="0"/>
                      <w:sz w:val="21"/>
                      <w:szCs w:val="21"/>
                      <w:u w:val="none"/>
                      <w:lang w:val="en-US" w:eastAsia="zh-CN" w:bidi="ar"/>
                    </w:rPr>
                    <w:t>第二、三道检验设备清洗废水</w:t>
                  </w:r>
                </w:p>
              </w:tc>
              <w:tc>
                <w:tcPr>
                  <w:tcW w:w="857" w:type="dxa"/>
                  <w:vMerge w:val="restart"/>
                  <w:vAlign w:val="center"/>
                </w:tcPr>
                <w:p w14:paraId="73584556">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0.32</w:t>
                  </w:r>
                </w:p>
              </w:tc>
              <w:tc>
                <w:tcPr>
                  <w:tcW w:w="1114" w:type="dxa"/>
                  <w:vAlign w:val="center"/>
                </w:tcPr>
                <w:p w14:paraId="3456763B">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产生浓度</w:t>
                  </w:r>
                  <w:r>
                    <w:rPr>
                      <w:rFonts w:hint="default" w:ascii="Times New Roman" w:hAnsi="Times New Roman" w:eastAsia="宋体" w:cs="Times New Roman"/>
                      <w:i w:val="0"/>
                      <w:iCs w:val="0"/>
                      <w:color w:val="000000"/>
                      <w:kern w:val="0"/>
                      <w:sz w:val="21"/>
                      <w:szCs w:val="21"/>
                      <w:u w:val="none"/>
                      <w:lang w:val="en-US" w:eastAsia="zh-CN" w:bidi="ar"/>
                    </w:rPr>
                    <w:t>mg/L</w:t>
                  </w:r>
                </w:p>
              </w:tc>
              <w:tc>
                <w:tcPr>
                  <w:tcW w:w="1038" w:type="dxa"/>
                  <w:vAlign w:val="center"/>
                </w:tcPr>
                <w:p w14:paraId="738A4C8D">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250 </w:t>
                  </w:r>
                </w:p>
              </w:tc>
              <w:tc>
                <w:tcPr>
                  <w:tcW w:w="1050" w:type="dxa"/>
                  <w:vAlign w:val="center"/>
                </w:tcPr>
                <w:p w14:paraId="018A656A">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100 </w:t>
                  </w:r>
                </w:p>
              </w:tc>
              <w:tc>
                <w:tcPr>
                  <w:tcW w:w="1027" w:type="dxa"/>
                  <w:vAlign w:val="center"/>
                </w:tcPr>
                <w:p w14:paraId="526E0621">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80 </w:t>
                  </w:r>
                </w:p>
              </w:tc>
              <w:tc>
                <w:tcPr>
                  <w:tcW w:w="958" w:type="dxa"/>
                  <w:vAlign w:val="center"/>
                </w:tcPr>
                <w:p w14:paraId="1C8F914C">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30 </w:t>
                  </w:r>
                </w:p>
              </w:tc>
              <w:tc>
                <w:tcPr>
                  <w:tcW w:w="1231" w:type="dxa"/>
                  <w:vAlign w:val="center"/>
                </w:tcPr>
                <w:p w14:paraId="210A7CB3">
                  <w:pPr>
                    <w:pStyle w:val="189"/>
                    <w:pageBreakBefore w:val="0"/>
                    <w:kinsoku/>
                    <w:overflowPunct/>
                    <w:autoSpaceDE/>
                    <w:autoSpaceDN/>
                    <w:bidi w:val="0"/>
                    <w:spacing w:line="240" w:lineRule="auto"/>
                    <w:jc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1.6×10</w:t>
                  </w:r>
                  <w:r>
                    <w:rPr>
                      <w:rFonts w:hint="default" w:ascii="Times New Roman" w:hAnsi="Times New Roman" w:eastAsia="宋体" w:cs="Times New Roman"/>
                      <w:color w:val="000000" w:themeColor="text1"/>
                      <w:highlight w:val="none"/>
                      <w:vertAlign w:val="superscript"/>
                      <w14:textFill>
                        <w14:solidFill>
                          <w14:schemeClr w14:val="tx1"/>
                        </w14:solidFill>
                      </w14:textFill>
                    </w:rPr>
                    <w:t>5</w:t>
                  </w:r>
                  <w:r>
                    <w:rPr>
                      <w:rFonts w:hint="eastAsia" w:ascii="Times New Roman" w:hAnsi="Times New Roman" w:eastAsia="宋体" w:cs="Times New Roman"/>
                      <w:color w:val="000000" w:themeColor="text1"/>
                      <w:highlight w:val="none"/>
                      <w:lang w:eastAsia="zh-CN"/>
                      <w14:textFill>
                        <w14:solidFill>
                          <w14:schemeClr w14:val="tx1"/>
                        </w14:solidFill>
                      </w14:textFill>
                    </w:rPr>
                    <w:t>MPN</w:t>
                  </w:r>
                  <w:r>
                    <w:rPr>
                      <w:rFonts w:hint="default" w:ascii="Times New Roman" w:hAnsi="Times New Roman" w:eastAsia="宋体" w:cs="Times New Roman"/>
                      <w:color w:val="000000" w:themeColor="text1"/>
                      <w:highlight w:val="none"/>
                      <w14:textFill>
                        <w14:solidFill>
                          <w14:schemeClr w14:val="tx1"/>
                        </w14:solidFill>
                      </w14:textFill>
                    </w:rPr>
                    <w:t>/L</w:t>
                  </w:r>
                </w:p>
              </w:tc>
            </w:tr>
            <w:tr w14:paraId="6602FD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901" w:type="dxa"/>
                  <w:vMerge w:val="continue"/>
                  <w:vAlign w:val="center"/>
                </w:tcPr>
                <w:p w14:paraId="2758007E">
                  <w:pPr>
                    <w:jc w:val="center"/>
                    <w:rPr>
                      <w:rFonts w:hint="default" w:ascii="Times New Roman" w:hAnsi="Times New Roman" w:eastAsia="宋体" w:cs="Times New Roman"/>
                      <w:color w:val="auto"/>
                      <w:highlight w:val="none"/>
                    </w:rPr>
                  </w:pPr>
                </w:p>
              </w:tc>
              <w:tc>
                <w:tcPr>
                  <w:tcW w:w="857" w:type="dxa"/>
                  <w:vMerge w:val="continue"/>
                  <w:vAlign w:val="center"/>
                </w:tcPr>
                <w:p w14:paraId="66B7CFF3">
                  <w:pPr>
                    <w:jc w:val="center"/>
                    <w:rPr>
                      <w:rFonts w:hint="default" w:ascii="Times New Roman" w:hAnsi="Times New Roman" w:eastAsia="宋体" w:cs="Times New Roman"/>
                      <w:color w:val="auto"/>
                      <w:highlight w:val="none"/>
                    </w:rPr>
                  </w:pPr>
                </w:p>
              </w:tc>
              <w:tc>
                <w:tcPr>
                  <w:tcW w:w="1114" w:type="dxa"/>
                  <w:vAlign w:val="center"/>
                </w:tcPr>
                <w:p w14:paraId="659095BD">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产生量</w:t>
                  </w:r>
                  <w:r>
                    <w:rPr>
                      <w:rFonts w:hint="default" w:ascii="Times New Roman" w:hAnsi="Times New Roman" w:eastAsia="宋体" w:cs="Times New Roman"/>
                      <w:i w:val="0"/>
                      <w:iCs w:val="0"/>
                      <w:color w:val="000000"/>
                      <w:kern w:val="0"/>
                      <w:sz w:val="21"/>
                      <w:szCs w:val="21"/>
                      <w:u w:val="none"/>
                      <w:lang w:val="en-US" w:eastAsia="zh-CN" w:bidi="ar"/>
                    </w:rPr>
                    <w:t>t/a</w:t>
                  </w:r>
                </w:p>
              </w:tc>
              <w:tc>
                <w:tcPr>
                  <w:tcW w:w="1038" w:type="dxa"/>
                  <w:vAlign w:val="center"/>
                </w:tcPr>
                <w:p w14:paraId="029CB0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0.00008 </w:t>
                  </w:r>
                </w:p>
              </w:tc>
              <w:tc>
                <w:tcPr>
                  <w:tcW w:w="1050" w:type="dxa"/>
                  <w:vAlign w:val="center"/>
                </w:tcPr>
                <w:p w14:paraId="624489C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0.00003 </w:t>
                  </w:r>
                </w:p>
              </w:tc>
              <w:tc>
                <w:tcPr>
                  <w:tcW w:w="1027" w:type="dxa"/>
                  <w:vAlign w:val="center"/>
                </w:tcPr>
                <w:p w14:paraId="55DB197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0.00003 </w:t>
                  </w:r>
                </w:p>
              </w:tc>
              <w:tc>
                <w:tcPr>
                  <w:tcW w:w="958" w:type="dxa"/>
                  <w:vAlign w:val="center"/>
                </w:tcPr>
                <w:p w14:paraId="04321C6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0.00001 </w:t>
                  </w:r>
                </w:p>
              </w:tc>
              <w:tc>
                <w:tcPr>
                  <w:tcW w:w="1231" w:type="dxa"/>
                  <w:vAlign w:val="center"/>
                </w:tcPr>
                <w:p w14:paraId="45F17558">
                  <w:pPr>
                    <w:pStyle w:val="189"/>
                    <w:pageBreakBefore w:val="0"/>
                    <w:kinsoku/>
                    <w:overflowPunct/>
                    <w:autoSpaceDE/>
                    <w:autoSpaceDN/>
                    <w:bidi w:val="0"/>
                    <w:spacing w:line="240" w:lineRule="auto"/>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5.12</w:t>
                  </w:r>
                  <w:r>
                    <w:rPr>
                      <w:rFonts w:hint="default" w:ascii="Times New Roman" w:hAnsi="Times New Roman" w:eastAsia="宋体" w:cs="Times New Roman"/>
                      <w:color w:val="000000" w:themeColor="text1"/>
                      <w:highlight w:val="none"/>
                      <w14:textFill>
                        <w14:solidFill>
                          <w14:schemeClr w14:val="tx1"/>
                        </w14:solidFill>
                      </w14:textFill>
                    </w:rPr>
                    <w:t>×10</w:t>
                  </w:r>
                  <w:r>
                    <w:rPr>
                      <w:rFonts w:hint="eastAsia" w:ascii="Times New Roman" w:hAnsi="Times New Roman" w:eastAsia="宋体" w:cs="Times New Roman"/>
                      <w:color w:val="000000" w:themeColor="text1"/>
                      <w:highlight w:val="none"/>
                      <w:vertAlign w:val="superscript"/>
                      <w:lang w:val="en-US" w:eastAsia="zh-CN"/>
                      <w14:textFill>
                        <w14:solidFill>
                          <w14:schemeClr w14:val="tx1"/>
                        </w14:solidFill>
                      </w14:textFill>
                    </w:rPr>
                    <w:t>7</w:t>
                  </w:r>
                  <w:r>
                    <w:rPr>
                      <w:rFonts w:hint="eastAsia" w:ascii="Times New Roman" w:hAnsi="Times New Roman" w:eastAsia="宋体" w:cs="Times New Roman"/>
                      <w:color w:val="000000" w:themeColor="text1"/>
                      <w:highlight w:val="none"/>
                      <w:lang w:val="en-US" w:eastAsia="zh-CN"/>
                      <w14:textFill>
                        <w14:solidFill>
                          <w14:schemeClr w14:val="tx1"/>
                        </w14:solidFill>
                      </w14:textFill>
                    </w:rPr>
                    <w:t>MPN</w:t>
                  </w:r>
                </w:p>
              </w:tc>
            </w:tr>
            <w:tr w14:paraId="46596B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901" w:type="dxa"/>
                  <w:vMerge w:val="continue"/>
                  <w:vAlign w:val="center"/>
                </w:tcPr>
                <w:p w14:paraId="0D090CAA">
                  <w:pPr>
                    <w:jc w:val="center"/>
                    <w:rPr>
                      <w:rFonts w:hint="default" w:ascii="Times New Roman" w:hAnsi="Times New Roman" w:eastAsia="宋体" w:cs="Times New Roman"/>
                      <w:color w:val="auto"/>
                      <w:highlight w:val="none"/>
                    </w:rPr>
                  </w:pPr>
                </w:p>
              </w:tc>
              <w:tc>
                <w:tcPr>
                  <w:tcW w:w="857" w:type="dxa"/>
                  <w:vMerge w:val="continue"/>
                  <w:vAlign w:val="center"/>
                </w:tcPr>
                <w:p w14:paraId="693EF390">
                  <w:pPr>
                    <w:jc w:val="center"/>
                    <w:rPr>
                      <w:rFonts w:hint="default" w:ascii="Times New Roman" w:hAnsi="Times New Roman" w:eastAsia="宋体" w:cs="Times New Roman"/>
                      <w:color w:val="auto"/>
                      <w:highlight w:val="none"/>
                    </w:rPr>
                  </w:pPr>
                </w:p>
              </w:tc>
              <w:tc>
                <w:tcPr>
                  <w:tcW w:w="1114" w:type="dxa"/>
                  <w:vAlign w:val="center"/>
                </w:tcPr>
                <w:p w14:paraId="50BF4B5E">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消毒设备处理效率</w:t>
                  </w:r>
                </w:p>
              </w:tc>
              <w:tc>
                <w:tcPr>
                  <w:tcW w:w="1038" w:type="dxa"/>
                  <w:vAlign w:val="center"/>
                </w:tcPr>
                <w:p w14:paraId="3C386D5C">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green"/>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050" w:type="dxa"/>
                  <w:vAlign w:val="center"/>
                </w:tcPr>
                <w:p w14:paraId="5CA67EC6">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027" w:type="dxa"/>
                  <w:vAlign w:val="center"/>
                </w:tcPr>
                <w:p w14:paraId="4A0C0983">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958" w:type="dxa"/>
                  <w:vAlign w:val="center"/>
                </w:tcPr>
                <w:p w14:paraId="02CA05E2">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231" w:type="dxa"/>
                  <w:vAlign w:val="center"/>
                </w:tcPr>
                <w:p w14:paraId="35D9A552">
                  <w:pPr>
                    <w:pStyle w:val="189"/>
                    <w:pageBreakBefore w:val="0"/>
                    <w:kinsoku/>
                    <w:overflowPunct/>
                    <w:autoSpaceDE/>
                    <w:autoSpaceDN/>
                    <w:bidi w:val="0"/>
                    <w:spacing w:line="240" w:lineRule="auto"/>
                    <w:jc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99.99</w:t>
                  </w:r>
                  <w:r>
                    <w:rPr>
                      <w:rFonts w:hint="default" w:ascii="Times New Roman" w:hAnsi="Times New Roman" w:eastAsia="宋体" w:cs="Times New Roman"/>
                      <w:color w:val="000000" w:themeColor="text1"/>
                      <w:highlight w:val="none"/>
                      <w14:textFill>
                        <w14:solidFill>
                          <w14:schemeClr w14:val="tx1"/>
                        </w14:solidFill>
                      </w14:textFill>
                    </w:rPr>
                    <w:t>%</w:t>
                  </w:r>
                </w:p>
              </w:tc>
            </w:tr>
            <w:tr w14:paraId="08FE69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901" w:type="dxa"/>
                  <w:vMerge w:val="continue"/>
                  <w:vAlign w:val="center"/>
                </w:tcPr>
                <w:p w14:paraId="5219BD84">
                  <w:pPr>
                    <w:jc w:val="center"/>
                    <w:rPr>
                      <w:rFonts w:hint="default" w:ascii="Times New Roman" w:hAnsi="Times New Roman" w:eastAsia="宋体" w:cs="Times New Roman"/>
                      <w:color w:val="auto"/>
                      <w:highlight w:val="none"/>
                    </w:rPr>
                  </w:pPr>
                </w:p>
              </w:tc>
              <w:tc>
                <w:tcPr>
                  <w:tcW w:w="857" w:type="dxa"/>
                  <w:vMerge w:val="continue"/>
                  <w:vAlign w:val="center"/>
                </w:tcPr>
                <w:p w14:paraId="028691B0">
                  <w:pPr>
                    <w:jc w:val="center"/>
                    <w:rPr>
                      <w:rFonts w:hint="default" w:ascii="Times New Roman" w:hAnsi="Times New Roman" w:eastAsia="宋体" w:cs="Times New Roman"/>
                      <w:color w:val="auto"/>
                      <w:highlight w:val="none"/>
                    </w:rPr>
                  </w:pPr>
                </w:p>
              </w:tc>
              <w:tc>
                <w:tcPr>
                  <w:tcW w:w="1114" w:type="dxa"/>
                  <w:vAlign w:val="center"/>
                </w:tcPr>
                <w:p w14:paraId="110EFD35">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排放浓度</w:t>
                  </w:r>
                  <w:r>
                    <w:rPr>
                      <w:rFonts w:hint="default" w:ascii="Times New Roman" w:hAnsi="Times New Roman" w:eastAsia="宋体" w:cs="Times New Roman"/>
                      <w:i w:val="0"/>
                      <w:iCs w:val="0"/>
                      <w:color w:val="000000"/>
                      <w:kern w:val="0"/>
                      <w:sz w:val="21"/>
                      <w:szCs w:val="21"/>
                      <w:u w:val="none"/>
                      <w:lang w:val="en-US" w:eastAsia="zh-CN" w:bidi="ar"/>
                    </w:rPr>
                    <w:t>mg/L</w:t>
                  </w:r>
                </w:p>
              </w:tc>
              <w:tc>
                <w:tcPr>
                  <w:tcW w:w="1038" w:type="dxa"/>
                  <w:vAlign w:val="center"/>
                </w:tcPr>
                <w:p w14:paraId="79F1849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250 </w:t>
                  </w:r>
                </w:p>
              </w:tc>
              <w:tc>
                <w:tcPr>
                  <w:tcW w:w="1050" w:type="dxa"/>
                  <w:vAlign w:val="center"/>
                </w:tcPr>
                <w:p w14:paraId="7FF8D84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100 </w:t>
                  </w:r>
                </w:p>
              </w:tc>
              <w:tc>
                <w:tcPr>
                  <w:tcW w:w="1027" w:type="dxa"/>
                  <w:vAlign w:val="center"/>
                </w:tcPr>
                <w:p w14:paraId="2D9F8E8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80 </w:t>
                  </w:r>
                </w:p>
              </w:tc>
              <w:tc>
                <w:tcPr>
                  <w:tcW w:w="958" w:type="dxa"/>
                  <w:vAlign w:val="center"/>
                </w:tcPr>
                <w:p w14:paraId="2DAE3AB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30 </w:t>
                  </w:r>
                </w:p>
              </w:tc>
              <w:tc>
                <w:tcPr>
                  <w:tcW w:w="1231" w:type="dxa"/>
                  <w:vAlign w:val="center"/>
                </w:tcPr>
                <w:p w14:paraId="034B9EFB">
                  <w:pPr>
                    <w:pStyle w:val="189"/>
                    <w:pageBreakBefore w:val="0"/>
                    <w:kinsoku/>
                    <w:overflowPunct/>
                    <w:autoSpaceDE/>
                    <w:autoSpaceDN/>
                    <w:bidi w:val="0"/>
                    <w:spacing w:line="240" w:lineRule="auto"/>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16</w:t>
                  </w:r>
                  <w:r>
                    <w:rPr>
                      <w:rFonts w:hint="eastAsia" w:ascii="Times New Roman" w:hAnsi="Times New Roman" w:eastAsia="宋体" w:cs="Times New Roman"/>
                      <w:color w:val="000000" w:themeColor="text1"/>
                      <w:highlight w:val="none"/>
                      <w:lang w:eastAsia="zh-CN"/>
                      <w14:textFill>
                        <w14:solidFill>
                          <w14:schemeClr w14:val="tx1"/>
                        </w14:solidFill>
                      </w14:textFill>
                    </w:rPr>
                    <w:t>MPN</w:t>
                  </w:r>
                  <w:r>
                    <w:rPr>
                      <w:rFonts w:hint="default" w:ascii="Times New Roman" w:hAnsi="Times New Roman" w:eastAsia="宋体" w:cs="Times New Roman"/>
                      <w:color w:val="000000" w:themeColor="text1"/>
                      <w:highlight w:val="none"/>
                      <w14:textFill>
                        <w14:solidFill>
                          <w14:schemeClr w14:val="tx1"/>
                        </w14:solidFill>
                      </w14:textFill>
                    </w:rPr>
                    <w:t>/L</w:t>
                  </w:r>
                </w:p>
              </w:tc>
            </w:tr>
            <w:tr w14:paraId="5CCACE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9" w:hRule="atLeast"/>
                <w:jc w:val="center"/>
              </w:trPr>
              <w:tc>
                <w:tcPr>
                  <w:tcW w:w="901" w:type="dxa"/>
                  <w:vMerge w:val="continue"/>
                  <w:vAlign w:val="center"/>
                </w:tcPr>
                <w:p w14:paraId="1774C603">
                  <w:pPr>
                    <w:jc w:val="center"/>
                    <w:rPr>
                      <w:rFonts w:hint="default" w:ascii="Times New Roman" w:hAnsi="Times New Roman" w:eastAsia="宋体" w:cs="Times New Roman"/>
                      <w:color w:val="auto"/>
                      <w:highlight w:val="none"/>
                    </w:rPr>
                  </w:pPr>
                </w:p>
              </w:tc>
              <w:tc>
                <w:tcPr>
                  <w:tcW w:w="857" w:type="dxa"/>
                  <w:vMerge w:val="continue"/>
                  <w:vAlign w:val="center"/>
                </w:tcPr>
                <w:p w14:paraId="29649A4D">
                  <w:pPr>
                    <w:jc w:val="center"/>
                    <w:rPr>
                      <w:rFonts w:hint="default" w:ascii="Times New Roman" w:hAnsi="Times New Roman" w:eastAsia="宋体" w:cs="Times New Roman"/>
                      <w:color w:val="auto"/>
                      <w:highlight w:val="none"/>
                    </w:rPr>
                  </w:pPr>
                </w:p>
              </w:tc>
              <w:tc>
                <w:tcPr>
                  <w:tcW w:w="1114" w:type="dxa"/>
                  <w:vAlign w:val="center"/>
                </w:tcPr>
                <w:p w14:paraId="5BB90891">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排放量</w:t>
                  </w:r>
                  <w:r>
                    <w:rPr>
                      <w:rFonts w:hint="default" w:ascii="Times New Roman" w:hAnsi="Times New Roman" w:eastAsia="宋体" w:cs="Times New Roman"/>
                      <w:i w:val="0"/>
                      <w:iCs w:val="0"/>
                      <w:color w:val="000000"/>
                      <w:kern w:val="0"/>
                      <w:sz w:val="21"/>
                      <w:szCs w:val="21"/>
                      <w:u w:val="none"/>
                      <w:lang w:val="en-US" w:eastAsia="zh-CN" w:bidi="ar"/>
                    </w:rPr>
                    <w:t>t/a</w:t>
                  </w:r>
                </w:p>
              </w:tc>
              <w:tc>
                <w:tcPr>
                  <w:tcW w:w="1038" w:type="dxa"/>
                  <w:vAlign w:val="center"/>
                </w:tcPr>
                <w:p w14:paraId="324F05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0.00008 </w:t>
                  </w:r>
                </w:p>
              </w:tc>
              <w:tc>
                <w:tcPr>
                  <w:tcW w:w="1050" w:type="dxa"/>
                  <w:vAlign w:val="center"/>
                </w:tcPr>
                <w:p w14:paraId="1402CCF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0.00003 </w:t>
                  </w:r>
                </w:p>
              </w:tc>
              <w:tc>
                <w:tcPr>
                  <w:tcW w:w="1027" w:type="dxa"/>
                  <w:vAlign w:val="center"/>
                </w:tcPr>
                <w:p w14:paraId="380F39F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0.00003 </w:t>
                  </w:r>
                </w:p>
              </w:tc>
              <w:tc>
                <w:tcPr>
                  <w:tcW w:w="958" w:type="dxa"/>
                  <w:vAlign w:val="center"/>
                </w:tcPr>
                <w:p w14:paraId="7B11145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0.00001 </w:t>
                  </w:r>
                </w:p>
              </w:tc>
              <w:tc>
                <w:tcPr>
                  <w:tcW w:w="1231" w:type="dxa"/>
                  <w:vAlign w:val="center"/>
                </w:tcPr>
                <w:p w14:paraId="6D4ED3F6">
                  <w:pPr>
                    <w:pStyle w:val="189"/>
                    <w:pageBreakBefore w:val="0"/>
                    <w:kinsoku/>
                    <w:overflowPunct/>
                    <w:autoSpaceDE/>
                    <w:autoSpaceDN/>
                    <w:bidi w:val="0"/>
                    <w:spacing w:line="240" w:lineRule="auto"/>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5.12</w:t>
                  </w:r>
                  <w:r>
                    <w:rPr>
                      <w:rFonts w:hint="default" w:ascii="Times New Roman" w:hAnsi="Times New Roman" w:eastAsia="宋体" w:cs="Times New Roman"/>
                      <w:color w:val="000000" w:themeColor="text1"/>
                      <w:highlight w:val="none"/>
                      <w14:textFill>
                        <w14:solidFill>
                          <w14:schemeClr w14:val="tx1"/>
                        </w14:solidFill>
                      </w14:textFill>
                    </w:rPr>
                    <w:t>×10</w:t>
                  </w:r>
                  <w:r>
                    <w:rPr>
                      <w:rFonts w:hint="eastAsia" w:ascii="Times New Roman" w:hAnsi="Times New Roman" w:eastAsia="宋体" w:cs="Times New Roman"/>
                      <w:color w:val="000000" w:themeColor="text1"/>
                      <w:highlight w:val="none"/>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highlight w:val="none"/>
                      <w:lang w:val="en-US" w:eastAsia="zh-CN"/>
                      <w14:textFill>
                        <w14:solidFill>
                          <w14:schemeClr w14:val="tx1"/>
                        </w14:solidFill>
                      </w14:textFill>
                    </w:rPr>
                    <w:t>MPN</w:t>
                  </w:r>
                </w:p>
              </w:tc>
            </w:tr>
            <w:tr w14:paraId="6C058D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901" w:type="dxa"/>
                  <w:vMerge w:val="restart"/>
                  <w:vAlign w:val="center"/>
                </w:tcPr>
                <w:p w14:paraId="0C414342">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ascii="宋体" w:hAnsi="宋体" w:eastAsia="宋体" w:cs="宋体"/>
                      <w:i w:val="0"/>
                      <w:iCs w:val="0"/>
                      <w:color w:val="000000"/>
                      <w:kern w:val="0"/>
                      <w:sz w:val="21"/>
                      <w:szCs w:val="21"/>
                      <w:u w:val="none"/>
                      <w:lang w:val="en-US" w:eastAsia="zh-CN" w:bidi="ar"/>
                    </w:rPr>
                    <w:t>综合废水</w:t>
                  </w:r>
                </w:p>
              </w:tc>
              <w:tc>
                <w:tcPr>
                  <w:tcW w:w="857" w:type="dxa"/>
                  <w:vMerge w:val="restart"/>
                  <w:vAlign w:val="center"/>
                </w:tcPr>
                <w:p w14:paraId="2BC0EA1C">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297.32</w:t>
                  </w:r>
                </w:p>
              </w:tc>
              <w:tc>
                <w:tcPr>
                  <w:tcW w:w="1114" w:type="dxa"/>
                  <w:vAlign w:val="center"/>
                </w:tcPr>
                <w:p w14:paraId="4DB4565C">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汇合总量（</w:t>
                  </w:r>
                  <w:r>
                    <w:rPr>
                      <w:rFonts w:hint="default" w:ascii="Times New Roman" w:hAnsi="Times New Roman" w:eastAsia="宋体" w:cs="Times New Roman"/>
                      <w:i w:val="0"/>
                      <w:iCs w:val="0"/>
                      <w:color w:val="000000"/>
                      <w:kern w:val="0"/>
                      <w:sz w:val="21"/>
                      <w:szCs w:val="21"/>
                      <w:u w:val="none"/>
                      <w:lang w:val="en-US" w:eastAsia="zh-CN" w:bidi="ar"/>
                    </w:rPr>
                    <w:t>t/a</w:t>
                  </w:r>
                  <w:r>
                    <w:rPr>
                      <w:rFonts w:hint="eastAsia" w:ascii="宋体" w:hAnsi="宋体" w:eastAsia="宋体" w:cs="宋体"/>
                      <w:i w:val="0"/>
                      <w:iCs w:val="0"/>
                      <w:color w:val="000000"/>
                      <w:kern w:val="0"/>
                      <w:sz w:val="21"/>
                      <w:szCs w:val="21"/>
                      <w:u w:val="none"/>
                      <w:lang w:val="en-US" w:eastAsia="zh-CN" w:bidi="ar"/>
                    </w:rPr>
                    <w:t>）</w:t>
                  </w:r>
                </w:p>
              </w:tc>
              <w:tc>
                <w:tcPr>
                  <w:tcW w:w="1038" w:type="dxa"/>
                  <w:vAlign w:val="center"/>
                </w:tcPr>
                <w:p w14:paraId="1DF9082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0.0865 </w:t>
                  </w:r>
                </w:p>
              </w:tc>
              <w:tc>
                <w:tcPr>
                  <w:tcW w:w="1050" w:type="dxa"/>
                  <w:vAlign w:val="center"/>
                </w:tcPr>
                <w:p w14:paraId="2549699A">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0.0357 </w:t>
                  </w:r>
                </w:p>
              </w:tc>
              <w:tc>
                <w:tcPr>
                  <w:tcW w:w="1027" w:type="dxa"/>
                  <w:vAlign w:val="center"/>
                </w:tcPr>
                <w:p w14:paraId="15013B85">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0.0351 </w:t>
                  </w:r>
                </w:p>
              </w:tc>
              <w:tc>
                <w:tcPr>
                  <w:tcW w:w="958" w:type="dxa"/>
                  <w:vAlign w:val="center"/>
                </w:tcPr>
                <w:p w14:paraId="7539D383">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0.0095 </w:t>
                  </w:r>
                </w:p>
              </w:tc>
              <w:tc>
                <w:tcPr>
                  <w:tcW w:w="1231" w:type="dxa"/>
                  <w:vAlign w:val="center"/>
                </w:tcPr>
                <w:p w14:paraId="0F20130D">
                  <w:pPr>
                    <w:pStyle w:val="189"/>
                    <w:pageBreakBefore w:val="0"/>
                    <w:kinsoku/>
                    <w:overflowPunct/>
                    <w:autoSpaceDE/>
                    <w:autoSpaceDN/>
                    <w:bidi w:val="0"/>
                    <w:spacing w:line="240" w:lineRule="auto"/>
                    <w:jc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r w14:paraId="59B0FD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14:paraId="00736028">
                  <w:pPr>
                    <w:jc w:val="center"/>
                    <w:rPr>
                      <w:rFonts w:hint="default" w:ascii="Times New Roman" w:hAnsi="Times New Roman" w:eastAsia="宋体" w:cs="Times New Roman"/>
                      <w:color w:val="auto"/>
                      <w:highlight w:val="none"/>
                    </w:rPr>
                  </w:pPr>
                </w:p>
              </w:tc>
              <w:tc>
                <w:tcPr>
                  <w:tcW w:w="857" w:type="dxa"/>
                  <w:vMerge w:val="continue"/>
                  <w:vAlign w:val="center"/>
                </w:tcPr>
                <w:p w14:paraId="1EEFA1D9">
                  <w:pPr>
                    <w:jc w:val="center"/>
                    <w:rPr>
                      <w:rFonts w:hint="default" w:ascii="Times New Roman" w:hAnsi="Times New Roman" w:eastAsia="宋体" w:cs="Times New Roman"/>
                      <w:color w:val="auto"/>
                      <w:highlight w:val="none"/>
                    </w:rPr>
                  </w:pPr>
                </w:p>
              </w:tc>
              <w:tc>
                <w:tcPr>
                  <w:tcW w:w="1114" w:type="dxa"/>
                  <w:vAlign w:val="center"/>
                </w:tcPr>
                <w:p w14:paraId="7CC790A3">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化粪池处理效率（</w:t>
                  </w:r>
                  <w:r>
                    <w:rPr>
                      <w:rFonts w:hint="default" w:ascii="Times New Roman" w:hAnsi="Times New Roman" w:eastAsia="宋体" w:cs="Times New Roman"/>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w:t>
                  </w:r>
                </w:p>
              </w:tc>
              <w:tc>
                <w:tcPr>
                  <w:tcW w:w="1038" w:type="dxa"/>
                  <w:vAlign w:val="center"/>
                </w:tcPr>
                <w:p w14:paraId="72C647FF">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15 </w:t>
                  </w:r>
                </w:p>
              </w:tc>
              <w:tc>
                <w:tcPr>
                  <w:tcW w:w="1050" w:type="dxa"/>
                  <w:vAlign w:val="center"/>
                </w:tcPr>
                <w:p w14:paraId="475D2051">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9 </w:t>
                  </w:r>
                </w:p>
              </w:tc>
              <w:tc>
                <w:tcPr>
                  <w:tcW w:w="1027" w:type="dxa"/>
                  <w:vAlign w:val="center"/>
                </w:tcPr>
                <w:p w14:paraId="1CC6DF01">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30 </w:t>
                  </w:r>
                </w:p>
              </w:tc>
              <w:tc>
                <w:tcPr>
                  <w:tcW w:w="958" w:type="dxa"/>
                  <w:vAlign w:val="center"/>
                </w:tcPr>
                <w:p w14:paraId="5F998AEE">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 </w:t>
                  </w:r>
                </w:p>
              </w:tc>
              <w:tc>
                <w:tcPr>
                  <w:tcW w:w="1231" w:type="dxa"/>
                  <w:vAlign w:val="center"/>
                </w:tcPr>
                <w:p w14:paraId="4A57CC8C">
                  <w:pPr>
                    <w:pStyle w:val="189"/>
                    <w:pageBreakBefore w:val="0"/>
                    <w:kinsoku/>
                    <w:overflowPunct/>
                    <w:autoSpaceDE/>
                    <w:autoSpaceDN/>
                    <w:bidi w:val="0"/>
                    <w:spacing w:line="240" w:lineRule="auto"/>
                    <w:jc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r w14:paraId="00705F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14:paraId="6E8323F9">
                  <w:pPr>
                    <w:jc w:val="center"/>
                    <w:rPr>
                      <w:rFonts w:hint="default" w:ascii="Times New Roman" w:hAnsi="Times New Roman" w:eastAsia="宋体" w:cs="Times New Roman"/>
                      <w:color w:val="auto"/>
                      <w:highlight w:val="none"/>
                    </w:rPr>
                  </w:pPr>
                </w:p>
              </w:tc>
              <w:tc>
                <w:tcPr>
                  <w:tcW w:w="857" w:type="dxa"/>
                  <w:vMerge w:val="continue"/>
                  <w:vAlign w:val="center"/>
                </w:tcPr>
                <w:p w14:paraId="54EE4DB7">
                  <w:pPr>
                    <w:jc w:val="center"/>
                    <w:rPr>
                      <w:rFonts w:hint="default" w:ascii="Times New Roman" w:hAnsi="Times New Roman" w:eastAsia="宋体" w:cs="Times New Roman"/>
                      <w:color w:val="auto"/>
                      <w:highlight w:val="none"/>
                    </w:rPr>
                  </w:pPr>
                </w:p>
              </w:tc>
              <w:tc>
                <w:tcPr>
                  <w:tcW w:w="1114" w:type="dxa"/>
                  <w:vAlign w:val="center"/>
                </w:tcPr>
                <w:p w14:paraId="59B01210">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总排放量（</w:t>
                  </w:r>
                  <w:r>
                    <w:rPr>
                      <w:rFonts w:hint="default" w:ascii="Times New Roman" w:hAnsi="Times New Roman" w:eastAsia="宋体" w:cs="Times New Roman"/>
                      <w:i w:val="0"/>
                      <w:iCs w:val="0"/>
                      <w:color w:val="000000"/>
                      <w:kern w:val="0"/>
                      <w:sz w:val="21"/>
                      <w:szCs w:val="21"/>
                      <w:u w:val="none"/>
                      <w:lang w:val="en-US" w:eastAsia="zh-CN" w:bidi="ar"/>
                    </w:rPr>
                    <w:t>t/a</w:t>
                  </w:r>
                  <w:r>
                    <w:rPr>
                      <w:rFonts w:hint="eastAsia" w:ascii="宋体" w:hAnsi="宋体" w:eastAsia="宋体" w:cs="宋体"/>
                      <w:i w:val="0"/>
                      <w:iCs w:val="0"/>
                      <w:color w:val="000000"/>
                      <w:kern w:val="0"/>
                      <w:sz w:val="21"/>
                      <w:szCs w:val="21"/>
                      <w:u w:val="none"/>
                      <w:lang w:val="en-US" w:eastAsia="zh-CN" w:bidi="ar"/>
                    </w:rPr>
                    <w:t>）</w:t>
                  </w:r>
                </w:p>
              </w:tc>
              <w:tc>
                <w:tcPr>
                  <w:tcW w:w="1038" w:type="dxa"/>
                  <w:vAlign w:val="center"/>
                </w:tcPr>
                <w:p w14:paraId="2FB830D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0.0735 </w:t>
                  </w:r>
                </w:p>
              </w:tc>
              <w:tc>
                <w:tcPr>
                  <w:tcW w:w="1050" w:type="dxa"/>
                  <w:vAlign w:val="center"/>
                </w:tcPr>
                <w:p w14:paraId="48E58768">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0.0325 </w:t>
                  </w:r>
                </w:p>
              </w:tc>
              <w:tc>
                <w:tcPr>
                  <w:tcW w:w="1027" w:type="dxa"/>
                  <w:vAlign w:val="center"/>
                </w:tcPr>
                <w:p w14:paraId="13300CEA">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0.0246 </w:t>
                  </w:r>
                </w:p>
              </w:tc>
              <w:tc>
                <w:tcPr>
                  <w:tcW w:w="958" w:type="dxa"/>
                  <w:vAlign w:val="center"/>
                </w:tcPr>
                <w:p w14:paraId="3D5BB05F">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0.0092 </w:t>
                  </w:r>
                </w:p>
              </w:tc>
              <w:tc>
                <w:tcPr>
                  <w:tcW w:w="1231" w:type="dxa"/>
                  <w:vAlign w:val="center"/>
                </w:tcPr>
                <w:p w14:paraId="7FA67157">
                  <w:pPr>
                    <w:pStyle w:val="189"/>
                    <w:pageBreakBefore w:val="0"/>
                    <w:kinsoku/>
                    <w:overflowPunct/>
                    <w:autoSpaceDE/>
                    <w:autoSpaceDN/>
                    <w:bidi w:val="0"/>
                    <w:spacing w:line="240" w:lineRule="auto"/>
                    <w:jc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r w14:paraId="77735B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1" w:type="dxa"/>
                  <w:vMerge w:val="continue"/>
                  <w:vAlign w:val="center"/>
                </w:tcPr>
                <w:p w14:paraId="29904FBB">
                  <w:pPr>
                    <w:jc w:val="center"/>
                    <w:rPr>
                      <w:rFonts w:hint="default" w:ascii="Times New Roman" w:hAnsi="Times New Roman" w:eastAsia="宋体" w:cs="Times New Roman"/>
                      <w:color w:val="auto"/>
                      <w:highlight w:val="none"/>
                    </w:rPr>
                  </w:pPr>
                </w:p>
              </w:tc>
              <w:tc>
                <w:tcPr>
                  <w:tcW w:w="857" w:type="dxa"/>
                  <w:vMerge w:val="continue"/>
                  <w:vAlign w:val="center"/>
                </w:tcPr>
                <w:p w14:paraId="7001DEA9">
                  <w:pPr>
                    <w:jc w:val="center"/>
                    <w:rPr>
                      <w:rFonts w:hint="default" w:ascii="Times New Roman" w:hAnsi="Times New Roman" w:eastAsia="宋体" w:cs="Times New Roman"/>
                      <w:color w:val="auto"/>
                      <w:highlight w:val="none"/>
                    </w:rPr>
                  </w:pPr>
                </w:p>
              </w:tc>
              <w:tc>
                <w:tcPr>
                  <w:tcW w:w="1114" w:type="dxa"/>
                  <w:vAlign w:val="center"/>
                </w:tcPr>
                <w:p w14:paraId="42D15C32">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宋体" w:hAnsi="宋体" w:eastAsia="宋体" w:cs="宋体"/>
                      <w:i w:val="0"/>
                      <w:iCs w:val="0"/>
                      <w:color w:val="000000"/>
                      <w:kern w:val="0"/>
                      <w:sz w:val="21"/>
                      <w:szCs w:val="21"/>
                      <w:u w:val="none"/>
                      <w:lang w:val="en-US" w:eastAsia="zh-CN" w:bidi="ar"/>
                    </w:rPr>
                    <w:t>排放浓度（</w:t>
                  </w:r>
                  <w:r>
                    <w:rPr>
                      <w:rFonts w:hint="default" w:ascii="Times New Roman" w:hAnsi="Times New Roman" w:eastAsia="宋体" w:cs="Times New Roman"/>
                      <w:i w:val="0"/>
                      <w:iCs w:val="0"/>
                      <w:color w:val="000000"/>
                      <w:kern w:val="0"/>
                      <w:sz w:val="21"/>
                      <w:szCs w:val="21"/>
                      <w:u w:val="none"/>
                      <w:lang w:val="en-US" w:eastAsia="zh-CN" w:bidi="ar"/>
                    </w:rPr>
                    <w:t>mg/L</w:t>
                  </w:r>
                  <w:r>
                    <w:rPr>
                      <w:rFonts w:hint="eastAsia" w:ascii="宋体" w:hAnsi="宋体" w:eastAsia="宋体" w:cs="宋体"/>
                      <w:i w:val="0"/>
                      <w:iCs w:val="0"/>
                      <w:color w:val="000000"/>
                      <w:kern w:val="0"/>
                      <w:sz w:val="21"/>
                      <w:szCs w:val="21"/>
                      <w:u w:val="none"/>
                      <w:lang w:val="en-US" w:eastAsia="zh-CN" w:bidi="ar"/>
                    </w:rPr>
                    <w:t>）</w:t>
                  </w:r>
                </w:p>
              </w:tc>
              <w:tc>
                <w:tcPr>
                  <w:tcW w:w="1038" w:type="dxa"/>
                  <w:vAlign w:val="center"/>
                </w:tcPr>
                <w:p w14:paraId="0CAB419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247.2353 </w:t>
                  </w:r>
                </w:p>
              </w:tc>
              <w:tc>
                <w:tcPr>
                  <w:tcW w:w="1050" w:type="dxa"/>
                  <w:vAlign w:val="center"/>
                </w:tcPr>
                <w:p w14:paraId="1444099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109.1804 </w:t>
                  </w:r>
                </w:p>
              </w:tc>
              <w:tc>
                <w:tcPr>
                  <w:tcW w:w="1027" w:type="dxa"/>
                  <w:vAlign w:val="center"/>
                </w:tcPr>
                <w:p w14:paraId="71B6D7D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82.6985 </w:t>
                  </w:r>
                </w:p>
              </w:tc>
              <w:tc>
                <w:tcPr>
                  <w:tcW w:w="958" w:type="dxa"/>
                  <w:vAlign w:val="center"/>
                </w:tcPr>
                <w:p w14:paraId="76ED954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30.9498 </w:t>
                  </w:r>
                </w:p>
              </w:tc>
              <w:tc>
                <w:tcPr>
                  <w:tcW w:w="1231" w:type="dxa"/>
                  <w:vAlign w:val="center"/>
                </w:tcPr>
                <w:p w14:paraId="139BD508">
                  <w:pPr>
                    <w:pStyle w:val="189"/>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rPr>
                    <w:t>/</w:t>
                  </w:r>
                </w:p>
              </w:tc>
            </w:tr>
            <w:tr w14:paraId="2A3156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76" w:type="dxa"/>
                  <w:gridSpan w:val="8"/>
                  <w:vAlign w:val="center"/>
                </w:tcPr>
                <w:p w14:paraId="56AF7DAE">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检验设备头道清洗废水</w:t>
                  </w:r>
                  <w:r>
                    <w:rPr>
                      <w:rFonts w:hint="default" w:ascii="Times New Roman" w:hAnsi="Times New Roman" w:eastAsia="宋体" w:cs="Times New Roman"/>
                      <w:color w:val="auto"/>
                      <w:highlight w:val="none"/>
                      <w:lang w:val="en-US" w:eastAsia="zh-CN"/>
                    </w:rPr>
                    <w:t>作为危废定期委托有资质单位处理</w:t>
                  </w:r>
                </w:p>
              </w:tc>
            </w:tr>
          </w:tbl>
          <w:p w14:paraId="6F22E524">
            <w:pPr>
              <w:pStyle w:val="3"/>
              <w:pageBreakBefore w:val="0"/>
              <w:numPr>
                <w:ilvl w:val="1"/>
                <w:numId w:val="0"/>
              </w:numPr>
              <w:kinsoku/>
              <w:overflowPunct/>
              <w:autoSpaceDE/>
              <w:autoSpaceDN/>
              <w:bidi w:val="0"/>
              <w:ind w:leftChars="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4.2.2 运营期水环境影响和污染防治措施可行性分析</w:t>
            </w:r>
          </w:p>
          <w:p w14:paraId="71CA16D6">
            <w:pPr>
              <w:pStyle w:val="157"/>
              <w:pageBreakBefore w:val="0"/>
              <w:kinsoku/>
              <w:overflowPunct/>
              <w:autoSpaceDE/>
              <w:autoSpaceDN/>
              <w:bidi w:val="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项目废水处理方式</w:t>
            </w:r>
          </w:p>
          <w:p w14:paraId="14FE75CA">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废水主要来自</w:t>
            </w:r>
            <w:r>
              <w:rPr>
                <w:rFonts w:hint="eastAsia" w:ascii="Times New Roman" w:hAnsi="Times New Roman" w:eastAsia="宋体" w:cs="Times New Roman"/>
                <w:color w:val="auto"/>
                <w:highlight w:val="none"/>
                <w:lang w:eastAsia="zh-CN"/>
              </w:rPr>
              <w:t>生活污水、</w:t>
            </w:r>
            <w:r>
              <w:rPr>
                <w:rFonts w:hint="eastAsia" w:ascii="Times New Roman" w:hAnsi="Times New Roman" w:eastAsia="宋体" w:cs="Times New Roman"/>
                <w:color w:val="auto"/>
                <w:highlight w:val="none"/>
                <w:lang w:val="en-US" w:eastAsia="zh-CN"/>
              </w:rPr>
              <w:t>宠物美容废水、宠物医疗废水和实验（化验）废水（检验设备头道清洗废水作危废处理，不外排）</w:t>
            </w:r>
            <w:r>
              <w:rPr>
                <w:rFonts w:hint="default" w:ascii="Times New Roman" w:hAnsi="Times New Roman" w:eastAsia="宋体" w:cs="Times New Roman"/>
                <w:color w:val="auto"/>
                <w:highlight w:val="none"/>
              </w:rPr>
              <w:t>。根据</w:t>
            </w:r>
            <w:r>
              <w:rPr>
                <w:rFonts w:hint="eastAsia"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rPr>
              <w:t>分析可知，</w:t>
            </w: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运营过程中废水</w:t>
            </w:r>
            <w:r>
              <w:rPr>
                <w:rFonts w:hint="eastAsia" w:ascii="Times New Roman" w:hAnsi="Times New Roman" w:eastAsia="宋体" w:cs="Times New Roman"/>
                <w:color w:val="auto"/>
                <w:highlight w:val="none"/>
                <w:lang w:val="en-US" w:eastAsia="zh-CN"/>
              </w:rPr>
              <w:t>总</w:t>
            </w:r>
            <w:r>
              <w:rPr>
                <w:rFonts w:hint="default" w:ascii="Times New Roman" w:hAnsi="Times New Roman" w:eastAsia="宋体" w:cs="Times New Roman"/>
                <w:color w:val="auto"/>
                <w:highlight w:val="none"/>
              </w:rPr>
              <w:t>排放量约为</w:t>
            </w:r>
            <w:r>
              <w:rPr>
                <w:rFonts w:hint="eastAsia" w:ascii="Times New Roman" w:hAnsi="Times New Roman" w:eastAsia="宋体" w:cs="Times New Roman"/>
                <w:color w:val="auto"/>
                <w:highlight w:val="none"/>
                <w:lang w:val="en-US" w:eastAsia="zh-CN"/>
              </w:rPr>
              <w:t>297.32</w:t>
            </w:r>
            <w:r>
              <w:rPr>
                <w:rFonts w:hint="default" w:ascii="Times New Roman" w:hAnsi="Times New Roman" w:eastAsia="宋体" w:cs="Times New Roman"/>
                <w:color w:val="auto"/>
                <w:highlight w:val="none"/>
              </w:rPr>
              <w:t>t/a，其中生活污水排放量</w:t>
            </w:r>
            <w:r>
              <w:rPr>
                <w:rFonts w:hint="eastAsia" w:ascii="Times New Roman" w:hAnsi="Times New Roman" w:eastAsia="宋体" w:cs="Times New Roman"/>
                <w:color w:val="auto"/>
                <w:highlight w:val="none"/>
                <w:lang w:val="en-US" w:eastAsia="zh-CN"/>
              </w:rPr>
              <w:t>为</w:t>
            </w:r>
            <w:r>
              <w:rPr>
                <w:rFonts w:hint="eastAsia" w:ascii="Times New Roman" w:hAnsi="Times New Roman" w:eastAsia="宋体" w:cs="Times New Roman"/>
                <w:bCs w:val="0"/>
                <w:color w:val="auto"/>
                <w:highlight w:val="none"/>
                <w:lang w:val="en-US" w:eastAsia="zh-CN"/>
              </w:rPr>
              <w:t>81</w:t>
            </w:r>
            <w:r>
              <w:rPr>
                <w:rFonts w:hint="default" w:ascii="Times New Roman" w:hAnsi="Times New Roman" w:eastAsia="宋体" w:cs="Times New Roman"/>
                <w:color w:val="auto"/>
                <w:highlight w:val="none"/>
              </w:rPr>
              <w:t>t/a，</w:t>
            </w:r>
            <w:r>
              <w:rPr>
                <w:rFonts w:hint="eastAsia" w:ascii="Times New Roman" w:hAnsi="Times New Roman" w:eastAsia="宋体" w:cs="Times New Roman"/>
                <w:color w:val="auto"/>
                <w:highlight w:val="none"/>
                <w:lang w:val="en-US" w:eastAsia="zh-CN"/>
              </w:rPr>
              <w:t>宠物美容废水排放量为194.40</w:t>
            </w:r>
            <w:r>
              <w:rPr>
                <w:rFonts w:hint="default" w:ascii="Times New Roman" w:hAnsi="Times New Roman" w:eastAsia="宋体" w:cs="Times New Roman"/>
                <w:color w:val="auto"/>
                <w:highlight w:val="none"/>
              </w:rPr>
              <w:t>t/a</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宠物医疗废水</w:t>
            </w:r>
            <w:r>
              <w:rPr>
                <w:rFonts w:hint="default" w:ascii="Times New Roman" w:hAnsi="Times New Roman" w:eastAsia="宋体" w:cs="Times New Roman"/>
                <w:color w:val="auto"/>
                <w:highlight w:val="none"/>
              </w:rPr>
              <w:t>排放量为</w:t>
            </w:r>
            <w:r>
              <w:rPr>
                <w:rFonts w:hint="eastAsia" w:ascii="Times New Roman" w:hAnsi="Times New Roman" w:eastAsia="宋体" w:cs="Times New Roman"/>
                <w:bCs w:val="0"/>
                <w:color w:val="auto"/>
                <w:highlight w:val="none"/>
                <w:lang w:val="en-US" w:eastAsia="zh-CN"/>
              </w:rPr>
              <w:t>21.6</w:t>
            </w:r>
            <w:r>
              <w:rPr>
                <w:rFonts w:hint="default" w:ascii="Times New Roman" w:hAnsi="Times New Roman" w:eastAsia="宋体" w:cs="Times New Roman"/>
                <w:color w:val="auto"/>
                <w:highlight w:val="none"/>
              </w:rPr>
              <w:t>t/a</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第二、三道检验设备清洗废水排放量为0.32t/a。</w:t>
            </w:r>
          </w:p>
          <w:p w14:paraId="058BC079">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项目</w:t>
            </w:r>
            <w:r>
              <w:rPr>
                <w:rFonts w:hint="eastAsia" w:ascii="Times New Roman" w:hAnsi="Times New Roman" w:eastAsia="宋体" w:cs="Times New Roman"/>
                <w:color w:val="auto"/>
                <w:highlight w:val="none"/>
                <w:lang w:val="en-US" w:eastAsia="zh-CN"/>
              </w:rPr>
              <w:t>宠物医疗废水、宠物美容废水和第二、三道检验设备清洗废水</w:t>
            </w:r>
            <w:r>
              <w:rPr>
                <w:rFonts w:hint="default" w:ascii="Times New Roman" w:hAnsi="Times New Roman" w:eastAsia="宋体" w:cs="Times New Roman"/>
                <w:color w:val="auto"/>
                <w:highlight w:val="none"/>
              </w:rPr>
              <w:t>经</w:t>
            </w:r>
            <w:r>
              <w:rPr>
                <w:rFonts w:hint="eastAsia" w:ascii="Times New Roman" w:hAnsi="Times New Roman" w:eastAsia="宋体" w:cs="Times New Roman"/>
                <w:color w:val="auto"/>
                <w:highlight w:val="none"/>
                <w:lang w:val="en-US" w:eastAsia="zh-CN"/>
              </w:rPr>
              <w:t>配套的</w:t>
            </w:r>
            <w:r>
              <w:rPr>
                <w:rFonts w:hint="eastAsia" w:ascii="Times New Roman" w:hAnsi="Times New Roman" w:eastAsia="宋体" w:cs="Times New Roman"/>
                <w:color w:val="auto"/>
                <w:szCs w:val="24"/>
                <w:highlight w:val="none"/>
                <w:lang w:eastAsia="zh-CN"/>
              </w:rPr>
              <w:t>消毒设备</w:t>
            </w:r>
            <w:r>
              <w:rPr>
                <w:rFonts w:hint="eastAsia" w:ascii="Times New Roman" w:hAnsi="Times New Roman" w:eastAsia="宋体" w:cs="Times New Roman"/>
                <w:color w:val="auto"/>
                <w:szCs w:val="24"/>
                <w:highlight w:val="none"/>
                <w:lang w:val="en-US" w:eastAsia="zh-CN"/>
              </w:rPr>
              <w:t>消毒</w:t>
            </w:r>
            <w:r>
              <w:rPr>
                <w:rFonts w:hint="default" w:ascii="Times New Roman" w:hAnsi="Times New Roman" w:eastAsia="宋体" w:cs="Times New Roman"/>
                <w:color w:val="auto"/>
                <w:highlight w:val="none"/>
              </w:rPr>
              <w:t>与生活污水</w:t>
            </w:r>
            <w:r>
              <w:rPr>
                <w:rFonts w:hint="eastAsia" w:ascii="Times New Roman" w:hAnsi="Times New Roman" w:eastAsia="宋体" w:cs="Times New Roman"/>
                <w:color w:val="auto"/>
                <w:highlight w:val="none"/>
                <w:lang w:val="en-US" w:eastAsia="zh-CN"/>
              </w:rPr>
              <w:t>一并汇入</w:t>
            </w:r>
            <w:r>
              <w:rPr>
                <w:rFonts w:hint="default" w:ascii="Times New Roman" w:hAnsi="Times New Roman" w:eastAsia="宋体" w:cs="Times New Roman"/>
                <w:color w:val="auto"/>
                <w:highlight w:val="none"/>
              </w:rPr>
              <w:t>化粪池</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处理达到《污水综合排放标准》（GB8978-1996）表4三级标准</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其中</w:t>
            </w:r>
            <w:r>
              <w:rPr>
                <w:rFonts w:hint="default" w:ascii="Times New Roman" w:hAnsi="Times New Roman" w:eastAsia="宋体" w:cs="Times New Roman"/>
                <w:color w:val="auto"/>
                <w:highlight w:val="none"/>
              </w:rPr>
              <w:t>氨氮达到《污水排入城镇下水道水质标准》（GB/T31962-2015）表1中B级标准）后</w:t>
            </w:r>
            <w:r>
              <w:rPr>
                <w:rFonts w:hint="eastAsia" w:ascii="Times New Roman" w:hAnsi="Times New Roman" w:eastAsia="宋体" w:cs="Times New Roman"/>
                <w:color w:val="auto"/>
                <w:highlight w:val="none"/>
                <w:lang w:val="en-US" w:eastAsia="zh-CN"/>
              </w:rPr>
              <w:t>通过</w:t>
            </w:r>
            <w:r>
              <w:rPr>
                <w:rFonts w:hint="default" w:ascii="Times New Roman" w:hAnsi="Times New Roman" w:eastAsia="宋体" w:cs="Times New Roman"/>
                <w:color w:val="auto"/>
                <w:highlight w:val="none"/>
              </w:rPr>
              <w:t>市政污水管网</w:t>
            </w:r>
            <w:r>
              <w:rPr>
                <w:rFonts w:hint="eastAsia" w:ascii="Times New Roman" w:hAnsi="Times New Roman" w:eastAsia="宋体" w:cs="Times New Roman"/>
                <w:color w:val="auto"/>
                <w:highlight w:val="none"/>
                <w:lang w:val="en-US" w:eastAsia="zh-CN"/>
              </w:rPr>
              <w:t>统一纳入</w:t>
            </w:r>
            <w:r>
              <w:rPr>
                <w:rFonts w:hint="eastAsia" w:ascii="Times New Roman" w:hAnsi="Times New Roman" w:eastAsia="宋体" w:cs="Times New Roman"/>
                <w:color w:val="auto"/>
                <w:highlight w:val="none"/>
                <w:lang w:eastAsia="zh-CN"/>
              </w:rPr>
              <w:t>洋里污水处理厂</w:t>
            </w:r>
            <w:r>
              <w:rPr>
                <w:rFonts w:hint="default" w:ascii="Times New Roman" w:hAnsi="Times New Roman" w:eastAsia="宋体" w:cs="Times New Roman"/>
                <w:color w:val="auto"/>
                <w:highlight w:val="none"/>
              </w:rPr>
              <w:t>。</w:t>
            </w:r>
          </w:p>
          <w:p w14:paraId="3644D842">
            <w:pPr>
              <w:pStyle w:val="157"/>
              <w:pageBreakBefore w:val="0"/>
              <w:kinsoku/>
              <w:overflowPunct/>
              <w:autoSpaceDE/>
              <w:autoSpaceDN/>
              <w:bidi w:val="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洋里污水处理厂</w:t>
            </w:r>
            <w:r>
              <w:rPr>
                <w:rFonts w:hint="default" w:ascii="Times New Roman" w:hAnsi="Times New Roman" w:eastAsia="宋体" w:cs="Times New Roman"/>
                <w:color w:val="auto"/>
                <w:highlight w:val="none"/>
              </w:rPr>
              <w:t>污水排放可行性分析</w:t>
            </w:r>
          </w:p>
          <w:p w14:paraId="3B2EDB8D">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①废水水量可行性分析</w:t>
            </w:r>
          </w:p>
          <w:p w14:paraId="65A64566">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洋里污水处理厂</w:t>
            </w:r>
            <w:r>
              <w:rPr>
                <w:rFonts w:hint="default" w:ascii="Times New Roman" w:hAnsi="Times New Roman" w:eastAsia="宋体" w:cs="Times New Roman"/>
                <w:color w:val="auto"/>
                <w:szCs w:val="24"/>
                <w:highlight w:val="none"/>
              </w:rPr>
              <w:t>位于著名风景名胜区鼓山南麓，现已建成投产的一期、二期工程处理能力为30万</w:t>
            </w:r>
            <w:r>
              <w:rPr>
                <w:rFonts w:hint="default" w:ascii="Times New Roman" w:hAnsi="Times New Roman" w:eastAsia="宋体" w:cs="Times New Roman"/>
                <w:color w:val="auto"/>
                <w:szCs w:val="24"/>
                <w:highlight w:val="none"/>
                <w:lang w:val="en-US" w:eastAsia="zh-CN"/>
              </w:rPr>
              <w:t>t</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d</w:t>
            </w:r>
            <w:r>
              <w:rPr>
                <w:rFonts w:hint="default" w:ascii="Times New Roman" w:hAnsi="Times New Roman" w:eastAsia="宋体" w:cs="Times New Roman"/>
                <w:color w:val="auto"/>
                <w:szCs w:val="24"/>
                <w:highlight w:val="none"/>
              </w:rPr>
              <w:t>，其远期规划工程规模为日处理污水60万</w:t>
            </w:r>
            <w:r>
              <w:rPr>
                <w:rFonts w:hint="default" w:ascii="Times New Roman" w:hAnsi="Times New Roman" w:eastAsia="宋体" w:cs="Times New Roman"/>
                <w:color w:val="auto"/>
                <w:szCs w:val="24"/>
                <w:highlight w:val="none"/>
                <w:lang w:val="en-US" w:eastAsia="zh-CN"/>
              </w:rPr>
              <w:t>t</w:t>
            </w:r>
            <w:r>
              <w:rPr>
                <w:rFonts w:hint="default" w:ascii="Times New Roman" w:hAnsi="Times New Roman" w:eastAsia="宋体" w:cs="Times New Roman"/>
                <w:color w:val="auto"/>
                <w:szCs w:val="24"/>
                <w:highlight w:val="none"/>
              </w:rPr>
              <w:t>，主要担负福州市西起</w:t>
            </w:r>
            <w:r>
              <w:rPr>
                <w:rFonts w:hint="default" w:ascii="Times New Roman" w:hAnsi="Times New Roman" w:eastAsia="宋体" w:cs="Times New Roman"/>
                <w:color w:val="auto"/>
                <w:szCs w:val="24"/>
                <w:highlight w:val="none"/>
                <w:lang w:eastAsia="zh-CN"/>
              </w:rPr>
              <w:t>秀峰河</w:t>
            </w:r>
            <w:r>
              <w:rPr>
                <w:rFonts w:hint="default" w:ascii="Times New Roman" w:hAnsi="Times New Roman" w:eastAsia="宋体" w:cs="Times New Roman"/>
                <w:color w:val="auto"/>
                <w:szCs w:val="24"/>
                <w:highlight w:val="none"/>
              </w:rPr>
              <w:t>、福飞路，东至鼓山，北起铁路，南至闽江北岸城市生活污水和部分东调西水的集中处理任务，总服务面积58km</w:t>
            </w:r>
            <w:r>
              <w:rPr>
                <w:rFonts w:hint="default" w:ascii="Times New Roman" w:hAnsi="Times New Roman" w:eastAsia="宋体" w:cs="Times New Roman"/>
                <w:color w:val="auto"/>
                <w:szCs w:val="24"/>
                <w:highlight w:val="none"/>
                <w:vertAlign w:val="superscript"/>
              </w:rPr>
              <w:t>2</w:t>
            </w:r>
            <w:r>
              <w:rPr>
                <w:rFonts w:hint="default" w:ascii="Times New Roman" w:hAnsi="Times New Roman" w:eastAsia="宋体" w:cs="Times New Roman"/>
                <w:color w:val="auto"/>
                <w:szCs w:val="24"/>
                <w:highlight w:val="none"/>
              </w:rPr>
              <w:t>，总服务人口约100万。污水处理一期工程采用卡鲁塞尔氧化沟处理工艺（改造后称为A-C工艺），二期工程采用A/A/O处理工艺，由预处理系统、生化处理系统、污泥处理系统和中央控制系统组成，配有流量、水位、温度、</w:t>
            </w:r>
            <w:r>
              <w:rPr>
                <w:rFonts w:hint="eastAsia" w:ascii="Times New Roman" w:hAnsi="Times New Roman" w:eastAsia="宋体" w:cs="Times New Roman"/>
                <w:color w:val="auto"/>
                <w:szCs w:val="24"/>
                <w:highlight w:val="none"/>
                <w:lang w:val="en-US" w:eastAsia="zh-CN"/>
              </w:rPr>
              <w:t>p</w:t>
            </w:r>
            <w:r>
              <w:rPr>
                <w:rFonts w:hint="default" w:ascii="Times New Roman" w:hAnsi="Times New Roman" w:eastAsia="宋体" w:cs="Times New Roman"/>
                <w:color w:val="auto"/>
                <w:szCs w:val="24"/>
                <w:highlight w:val="none"/>
              </w:rPr>
              <w:t>H值、溶解氧、COD、NH</w:t>
            </w:r>
            <w:r>
              <w:rPr>
                <w:rFonts w:hint="default" w:ascii="Times New Roman" w:hAnsi="Times New Roman" w:eastAsia="宋体" w:cs="Times New Roman"/>
                <w:color w:val="auto"/>
                <w:szCs w:val="24"/>
                <w:highlight w:val="none"/>
                <w:vertAlign w:val="subscript"/>
              </w:rPr>
              <w:t>3</w:t>
            </w:r>
            <w:r>
              <w:rPr>
                <w:rFonts w:hint="default" w:ascii="Times New Roman" w:hAnsi="Times New Roman" w:eastAsia="宋体" w:cs="Times New Roman"/>
                <w:color w:val="auto"/>
                <w:szCs w:val="24"/>
                <w:highlight w:val="none"/>
              </w:rPr>
              <w:t>-N、TP、SS等在线自动监测仪表，污水处理厂出水水质执行《城镇污水处理厂污染物排放标准》（GB18918-2002）一级B排放标准，尾水排入</w:t>
            </w:r>
            <w:r>
              <w:rPr>
                <w:rFonts w:hint="default" w:ascii="Times New Roman" w:hAnsi="Times New Roman" w:eastAsia="宋体" w:cs="Times New Roman"/>
                <w:color w:val="auto"/>
                <w:szCs w:val="24"/>
                <w:highlight w:val="none"/>
                <w:lang w:eastAsia="zh-CN"/>
              </w:rPr>
              <w:t>闽江</w:t>
            </w:r>
            <w:r>
              <w:rPr>
                <w:rFonts w:hint="default" w:ascii="Times New Roman" w:hAnsi="Times New Roman" w:eastAsia="宋体" w:cs="Times New Roman"/>
                <w:color w:val="auto"/>
                <w:szCs w:val="24"/>
                <w:highlight w:val="none"/>
              </w:rPr>
              <w:t>。</w:t>
            </w:r>
          </w:p>
          <w:p w14:paraId="13F0AE71">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②项目污水接管的可行性分析</w:t>
            </w:r>
          </w:p>
          <w:p w14:paraId="2ADCEAAE">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区域内污水</w:t>
            </w:r>
            <w:r>
              <w:rPr>
                <w:rFonts w:hint="eastAsia" w:ascii="Times New Roman" w:hAnsi="Times New Roman" w:eastAsia="宋体" w:cs="Times New Roman"/>
                <w:color w:val="auto"/>
                <w:szCs w:val="24"/>
                <w:highlight w:val="none"/>
                <w:lang w:eastAsia="zh-CN"/>
              </w:rPr>
              <w:t>市政污水管网</w:t>
            </w:r>
            <w:r>
              <w:rPr>
                <w:rFonts w:hint="eastAsia" w:ascii="Times New Roman" w:hAnsi="Times New Roman" w:eastAsia="宋体" w:cs="Times New Roman"/>
                <w:color w:val="auto"/>
                <w:szCs w:val="24"/>
                <w:highlight w:val="none"/>
                <w:lang w:val="en-US" w:eastAsia="zh-CN"/>
              </w:rPr>
              <w:t>已</w:t>
            </w:r>
            <w:r>
              <w:rPr>
                <w:rFonts w:hint="default" w:ascii="Times New Roman" w:hAnsi="Times New Roman" w:eastAsia="宋体" w:cs="Times New Roman"/>
                <w:color w:val="auto"/>
                <w:szCs w:val="24"/>
                <w:highlight w:val="none"/>
              </w:rPr>
              <w:t>建成，</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所在地属于</w:t>
            </w:r>
            <w:r>
              <w:rPr>
                <w:rFonts w:hint="eastAsia" w:ascii="Times New Roman" w:hAnsi="Times New Roman" w:eastAsia="宋体" w:cs="Times New Roman"/>
                <w:color w:val="auto"/>
                <w:szCs w:val="24"/>
                <w:highlight w:val="none"/>
                <w:lang w:eastAsia="zh-CN"/>
              </w:rPr>
              <w:t>洋里污水处理厂</w:t>
            </w:r>
            <w:r>
              <w:rPr>
                <w:rFonts w:hint="default" w:ascii="Times New Roman" w:hAnsi="Times New Roman" w:eastAsia="宋体" w:cs="Times New Roman"/>
                <w:color w:val="auto"/>
                <w:szCs w:val="24"/>
                <w:highlight w:val="none"/>
              </w:rPr>
              <w:t>纳污范围，项目污水通过周边现有道路的市政污水管网</w:t>
            </w:r>
            <w:r>
              <w:rPr>
                <w:rFonts w:hint="eastAsia" w:ascii="Times New Roman" w:hAnsi="Times New Roman" w:eastAsia="宋体" w:cs="Times New Roman"/>
                <w:color w:val="auto"/>
                <w:szCs w:val="24"/>
                <w:highlight w:val="none"/>
                <w:lang w:val="en-US" w:eastAsia="zh-CN"/>
              </w:rPr>
              <w:t>统一排入</w:t>
            </w:r>
            <w:r>
              <w:rPr>
                <w:rFonts w:hint="eastAsia" w:ascii="Times New Roman" w:hAnsi="Times New Roman" w:eastAsia="宋体" w:cs="Times New Roman"/>
                <w:color w:val="auto"/>
                <w:szCs w:val="24"/>
                <w:highlight w:val="none"/>
                <w:lang w:eastAsia="zh-CN"/>
              </w:rPr>
              <w:t>洋里污水处理厂</w:t>
            </w:r>
            <w:r>
              <w:rPr>
                <w:rFonts w:hint="default" w:ascii="Times New Roman" w:hAnsi="Times New Roman" w:eastAsia="宋体" w:cs="Times New Roman"/>
                <w:color w:val="auto"/>
                <w:szCs w:val="24"/>
                <w:highlight w:val="none"/>
              </w:rPr>
              <w:t>。</w:t>
            </w:r>
          </w:p>
          <w:p w14:paraId="3BDA62B8">
            <w:pPr>
              <w:pStyle w:val="157"/>
              <w:pageBreakBefore w:val="0"/>
              <w:kinsoku/>
              <w:overflowPunct/>
              <w:autoSpaceDE/>
              <w:autoSpaceDN/>
              <w:bidi w:val="0"/>
              <w:spacing w:line="240" w:lineRule="auto"/>
              <w:ind w:firstLine="0" w:firstLineChars="0"/>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表4-</w:t>
            </w:r>
            <w:r>
              <w:rPr>
                <w:rFonts w:hint="eastAsia" w:ascii="Times New Roman" w:hAnsi="Times New Roman" w:eastAsia="宋体" w:cs="Times New Roman"/>
                <w:b/>
                <w:bCs w:val="0"/>
                <w:color w:val="auto"/>
                <w:highlight w:val="none"/>
                <w:lang w:val="en-US" w:eastAsia="zh-CN"/>
              </w:rPr>
              <w:t>4</w:t>
            </w:r>
            <w:r>
              <w:rPr>
                <w:rFonts w:hint="default" w:ascii="Times New Roman" w:hAnsi="Times New Roman" w:eastAsia="宋体" w:cs="Times New Roman"/>
                <w:b/>
                <w:bCs w:val="0"/>
                <w:color w:val="auto"/>
                <w:highlight w:val="none"/>
              </w:rPr>
              <w:t xml:space="preserve">  废水类别、污染物及污染治理设施信息表</w:t>
            </w:r>
          </w:p>
          <w:tbl>
            <w:tblPr>
              <w:tblStyle w:val="50"/>
              <w:tblW w:w="832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8"/>
              <w:gridCol w:w="1006"/>
              <w:gridCol w:w="758"/>
              <w:gridCol w:w="758"/>
              <w:gridCol w:w="827"/>
              <w:gridCol w:w="758"/>
              <w:gridCol w:w="463"/>
              <w:gridCol w:w="986"/>
              <w:gridCol w:w="758"/>
              <w:gridCol w:w="1252"/>
            </w:tblGrid>
            <w:tr w14:paraId="51CCAE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769" w:type="dxa"/>
                  <w:vMerge w:val="restart"/>
                  <w:vAlign w:val="center"/>
                </w:tcPr>
                <w:p w14:paraId="279F8BB6">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废水类别（1）</w:t>
                  </w:r>
                </w:p>
              </w:tc>
              <w:tc>
                <w:tcPr>
                  <w:tcW w:w="903" w:type="dxa"/>
                  <w:vMerge w:val="restart"/>
                  <w:vAlign w:val="center"/>
                </w:tcPr>
                <w:p w14:paraId="23462CD9">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污染物种类（2）</w:t>
                  </w:r>
                </w:p>
              </w:tc>
              <w:tc>
                <w:tcPr>
                  <w:tcW w:w="769" w:type="dxa"/>
                  <w:vMerge w:val="restart"/>
                  <w:vAlign w:val="center"/>
                </w:tcPr>
                <w:p w14:paraId="4947A93B">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排放去向（3）</w:t>
                  </w:r>
                </w:p>
              </w:tc>
              <w:tc>
                <w:tcPr>
                  <w:tcW w:w="769" w:type="dxa"/>
                  <w:vMerge w:val="restart"/>
                  <w:vAlign w:val="center"/>
                </w:tcPr>
                <w:p w14:paraId="6C39806A">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排放规律（4）</w:t>
                  </w:r>
                </w:p>
              </w:tc>
              <w:tc>
                <w:tcPr>
                  <w:tcW w:w="1818" w:type="dxa"/>
                  <w:gridSpan w:val="3"/>
                  <w:vAlign w:val="center"/>
                </w:tcPr>
                <w:p w14:paraId="64E27615">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污染治理设施</w:t>
                  </w:r>
                </w:p>
              </w:tc>
              <w:tc>
                <w:tcPr>
                  <w:tcW w:w="866" w:type="dxa"/>
                  <w:vMerge w:val="restart"/>
                  <w:vAlign w:val="center"/>
                </w:tcPr>
                <w:p w14:paraId="4A408DC7">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排放口编号（6）</w:t>
                  </w:r>
                </w:p>
              </w:tc>
              <w:tc>
                <w:tcPr>
                  <w:tcW w:w="769" w:type="dxa"/>
                  <w:vMerge w:val="restart"/>
                  <w:vAlign w:val="center"/>
                </w:tcPr>
                <w:p w14:paraId="4DD94311">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排放口设置是否符合要求（7）</w:t>
                  </w:r>
                </w:p>
              </w:tc>
              <w:tc>
                <w:tcPr>
                  <w:tcW w:w="1661" w:type="dxa"/>
                  <w:vMerge w:val="restart"/>
                  <w:vAlign w:val="center"/>
                </w:tcPr>
                <w:p w14:paraId="28103D57">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排放口类型</w:t>
                  </w:r>
                </w:p>
              </w:tc>
            </w:tr>
            <w:tr w14:paraId="6F28C9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769" w:type="dxa"/>
                  <w:vMerge w:val="continue"/>
                  <w:vAlign w:val="center"/>
                </w:tcPr>
                <w:p w14:paraId="511D9515">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p>
              </w:tc>
              <w:tc>
                <w:tcPr>
                  <w:tcW w:w="903" w:type="dxa"/>
                  <w:vMerge w:val="continue"/>
                  <w:vAlign w:val="center"/>
                </w:tcPr>
                <w:p w14:paraId="68A16C60">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p>
              </w:tc>
              <w:tc>
                <w:tcPr>
                  <w:tcW w:w="769" w:type="dxa"/>
                  <w:vMerge w:val="continue"/>
                  <w:vAlign w:val="center"/>
                </w:tcPr>
                <w:p w14:paraId="19529796">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p>
              </w:tc>
              <w:tc>
                <w:tcPr>
                  <w:tcW w:w="769" w:type="dxa"/>
                  <w:vMerge w:val="continue"/>
                  <w:vAlign w:val="center"/>
                </w:tcPr>
                <w:p w14:paraId="132B8311">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p>
              </w:tc>
              <w:tc>
                <w:tcPr>
                  <w:tcW w:w="563" w:type="dxa"/>
                  <w:vAlign w:val="center"/>
                </w:tcPr>
                <w:p w14:paraId="65EEF81E">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污染治理设施编号</w:t>
                  </w:r>
                </w:p>
              </w:tc>
              <w:tc>
                <w:tcPr>
                  <w:tcW w:w="769" w:type="dxa"/>
                  <w:vAlign w:val="center"/>
                </w:tcPr>
                <w:p w14:paraId="05157E2B">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污染治理设施名称（5）</w:t>
                  </w:r>
                </w:p>
              </w:tc>
              <w:tc>
                <w:tcPr>
                  <w:tcW w:w="486" w:type="dxa"/>
                  <w:vAlign w:val="center"/>
                </w:tcPr>
                <w:p w14:paraId="3879AC0C">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污染治理设施工艺</w:t>
                  </w:r>
                </w:p>
              </w:tc>
              <w:tc>
                <w:tcPr>
                  <w:tcW w:w="866" w:type="dxa"/>
                  <w:vMerge w:val="continue"/>
                  <w:vAlign w:val="center"/>
                </w:tcPr>
                <w:p w14:paraId="718D81CD">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p>
              </w:tc>
              <w:tc>
                <w:tcPr>
                  <w:tcW w:w="769" w:type="dxa"/>
                  <w:vMerge w:val="continue"/>
                  <w:vAlign w:val="center"/>
                </w:tcPr>
                <w:p w14:paraId="76759BA0">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p>
              </w:tc>
              <w:tc>
                <w:tcPr>
                  <w:tcW w:w="1661" w:type="dxa"/>
                  <w:vMerge w:val="continue"/>
                </w:tcPr>
                <w:p w14:paraId="2A9414ED">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p>
              </w:tc>
            </w:tr>
            <w:tr w14:paraId="599AE2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5" w:hRule="atLeast"/>
              </w:trPr>
              <w:tc>
                <w:tcPr>
                  <w:tcW w:w="769" w:type="dxa"/>
                  <w:vAlign w:val="center"/>
                </w:tcPr>
                <w:p w14:paraId="0A38D43C">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综合污水</w:t>
                  </w:r>
                </w:p>
              </w:tc>
              <w:tc>
                <w:tcPr>
                  <w:tcW w:w="903" w:type="dxa"/>
                  <w:vAlign w:val="center"/>
                </w:tcPr>
                <w:p w14:paraId="445F9F36">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COD</w:t>
                  </w:r>
                  <w:r>
                    <w:rPr>
                      <w:rFonts w:hint="eastAsia" w:ascii="Times New Roman" w:hAnsi="Times New Roman" w:eastAsia="宋体" w:cs="Times New Roman"/>
                      <w:color w:val="auto"/>
                      <w:szCs w:val="24"/>
                      <w:highlight w:val="none"/>
                      <w:u w:val="none"/>
                      <w:vertAlign w:val="subscript"/>
                      <w:lang w:val="en-US" w:eastAsia="zh-CN"/>
                    </w:rPr>
                    <w:t>Cr</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pH、</w:t>
                  </w:r>
                  <w:r>
                    <w:rPr>
                      <w:rFonts w:hint="default" w:ascii="Times New Roman" w:hAnsi="Times New Roman" w:eastAsia="宋体" w:cs="Times New Roman"/>
                      <w:color w:val="auto"/>
                      <w:highlight w:val="none"/>
                    </w:rPr>
                    <w:t>SS、氨氮、BOD</w:t>
                  </w:r>
                  <w:r>
                    <w:rPr>
                      <w:rFonts w:hint="default" w:ascii="Times New Roman" w:hAnsi="Times New Roman" w:eastAsia="宋体" w:cs="Times New Roman"/>
                      <w:color w:val="auto"/>
                      <w:highlight w:val="none"/>
                      <w:vertAlign w:val="subscript"/>
                    </w:rPr>
                    <w:t>5</w:t>
                  </w:r>
                </w:p>
              </w:tc>
              <w:tc>
                <w:tcPr>
                  <w:tcW w:w="769" w:type="dxa"/>
                  <w:vAlign w:val="center"/>
                </w:tcPr>
                <w:p w14:paraId="21CAF068">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洋里污水处理厂</w:t>
                  </w:r>
                </w:p>
              </w:tc>
              <w:tc>
                <w:tcPr>
                  <w:tcW w:w="769" w:type="dxa"/>
                  <w:vAlign w:val="center"/>
                </w:tcPr>
                <w:p w14:paraId="4EAECBB8">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间断排放，排放期间流量稳定</w:t>
                  </w:r>
                </w:p>
              </w:tc>
              <w:tc>
                <w:tcPr>
                  <w:tcW w:w="563" w:type="dxa"/>
                  <w:vAlign w:val="center"/>
                </w:tcPr>
                <w:p w14:paraId="72404585">
                  <w:pPr>
                    <w:keepNext w:val="0"/>
                    <w:keepLines w:val="0"/>
                    <w:pageBreakBefore w:val="0"/>
                    <w:widowControl/>
                    <w:suppressLineNumbers w:val="0"/>
                    <w:kinsoku/>
                    <w:overflowPunct/>
                    <w:autoSpaceDE/>
                    <w:autoSpaceDN/>
                    <w:bidi w:val="0"/>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0"/>
                      <w:szCs w:val="20"/>
                      <w:highlight w:val="none"/>
                      <w:lang w:val="en-US" w:eastAsia="zh-CN" w:bidi="ar"/>
                    </w:rPr>
                    <w:t>TW001</w:t>
                  </w:r>
                </w:p>
                <w:p w14:paraId="46C8016A">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p>
              </w:tc>
              <w:tc>
                <w:tcPr>
                  <w:tcW w:w="769" w:type="dxa"/>
                  <w:vAlign w:val="center"/>
                </w:tcPr>
                <w:p w14:paraId="02258BD3">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eastAsia" w:ascii="Times New Roman" w:hAnsi="Times New Roman" w:eastAsia="宋体" w:cs="Times New Roman"/>
                      <w:color w:val="auto"/>
                      <w:szCs w:val="24"/>
                      <w:highlight w:val="none"/>
                      <w:lang w:eastAsia="zh-CN"/>
                    </w:rPr>
                    <w:t>消毒设备</w:t>
                  </w:r>
                  <w:r>
                    <w:rPr>
                      <w:rFonts w:hint="default" w:ascii="Times New Roman" w:hAnsi="Times New Roman" w:eastAsia="宋体" w:cs="Times New Roman"/>
                      <w:color w:val="auto"/>
                      <w:highlight w:val="none"/>
                    </w:rPr>
                    <w:t>+化粪池</w:t>
                  </w:r>
                </w:p>
              </w:tc>
              <w:tc>
                <w:tcPr>
                  <w:tcW w:w="486" w:type="dxa"/>
                  <w:vAlign w:val="center"/>
                </w:tcPr>
                <w:p w14:paraId="0863E95A">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866" w:type="dxa"/>
                  <w:vAlign w:val="center"/>
                </w:tcPr>
                <w:p w14:paraId="22233124">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D</w:t>
                  </w:r>
                  <w:r>
                    <w:rPr>
                      <w:rFonts w:hint="default" w:ascii="Times New Roman" w:hAnsi="Times New Roman" w:eastAsia="宋体" w:cs="Times New Roman"/>
                      <w:color w:val="auto"/>
                      <w:highlight w:val="none"/>
                    </w:rPr>
                    <w:t>W0001</w:t>
                  </w:r>
                </w:p>
              </w:tc>
              <w:tc>
                <w:tcPr>
                  <w:tcW w:w="769" w:type="dxa"/>
                  <w:vAlign w:val="center"/>
                </w:tcPr>
                <w:p w14:paraId="3D68730E">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52"/>
                  </w:r>
                  <w:r>
                    <w:rPr>
                      <w:rFonts w:hint="default" w:ascii="Times New Roman" w:hAnsi="Times New Roman" w:eastAsia="宋体" w:cs="Times New Roman"/>
                      <w:color w:val="auto"/>
                      <w:highlight w:val="none"/>
                    </w:rPr>
                    <w:t>是</w:t>
                  </w:r>
                </w:p>
                <w:p w14:paraId="2752C853">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否</w:t>
                  </w:r>
                </w:p>
              </w:tc>
              <w:tc>
                <w:tcPr>
                  <w:tcW w:w="1661" w:type="dxa"/>
                  <w:vAlign w:val="center"/>
                </w:tcPr>
                <w:p w14:paraId="1CC26DBD">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52"/>
                  </w:r>
                  <w:r>
                    <w:rPr>
                      <w:rFonts w:hint="default" w:ascii="Times New Roman" w:hAnsi="Times New Roman" w:eastAsia="宋体" w:cs="Times New Roman"/>
                      <w:color w:val="auto"/>
                      <w:highlight w:val="none"/>
                    </w:rPr>
                    <w:t>企业总排</w:t>
                  </w:r>
                </w:p>
                <w:p w14:paraId="4659EF36">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雨水排放</w:t>
                  </w:r>
                </w:p>
                <w:p w14:paraId="54D1D6B5">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清净下水排放</w:t>
                  </w:r>
                </w:p>
                <w:p w14:paraId="0BA473E6">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温排水排放</w:t>
                  </w:r>
                </w:p>
                <w:p w14:paraId="0778A437">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Wingdings 2" w:char="00A3"/>
                  </w:r>
                  <w:r>
                    <w:rPr>
                      <w:rFonts w:hint="default" w:ascii="Times New Roman" w:hAnsi="Times New Roman" w:eastAsia="宋体" w:cs="Times New Roman"/>
                      <w:color w:val="auto"/>
                      <w:highlight w:val="none"/>
                    </w:rPr>
                    <w:t>车间或车间处理设施排放口</w:t>
                  </w:r>
                </w:p>
              </w:tc>
            </w:tr>
          </w:tbl>
          <w:p w14:paraId="46F0140E">
            <w:pPr>
              <w:pStyle w:val="4"/>
              <w:keepNext/>
              <w:keepLines/>
              <w:pageBreakBefore w:val="0"/>
              <w:widowControl w:val="0"/>
              <w:numPr>
                <w:ilvl w:val="0"/>
                <w:numId w:val="0"/>
              </w:numPr>
              <w:kinsoku/>
              <w:wordWrap/>
              <w:overflowPunct/>
              <w:topLinePunct w:val="0"/>
              <w:autoSpaceDE/>
              <w:autoSpaceDN/>
              <w:bidi w:val="0"/>
              <w:adjustRightInd w:val="0"/>
              <w:snapToGrid w:val="0"/>
              <w:ind w:firstLine="480" w:firstLineChars="200"/>
              <w:jc w:val="both"/>
              <w:textAlignment w:val="auto"/>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lang w:val="en-US" w:eastAsia="zh-CN"/>
              </w:rPr>
              <w:t>3）</w:t>
            </w:r>
            <w:r>
              <w:rPr>
                <w:rFonts w:hint="default" w:ascii="Times New Roman" w:hAnsi="Times New Roman" w:cs="Times New Roman"/>
                <w:b w:val="0"/>
                <w:bCs w:val="0"/>
                <w:color w:val="auto"/>
                <w:highlight w:val="none"/>
              </w:rPr>
              <w:t>水环境防治措施</w:t>
            </w:r>
          </w:p>
          <w:p w14:paraId="4A4BFF0B">
            <w:pPr>
              <w:pStyle w:val="157"/>
              <w:pageBreakBefore w:val="0"/>
              <w:kinsoku/>
              <w:overflowPunct/>
              <w:autoSpaceDE/>
              <w:autoSpaceDN/>
              <w:bidi w:val="0"/>
              <w:ind w:firstLine="480"/>
              <w:jc w:val="both"/>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①</w:t>
            </w:r>
            <w:r>
              <w:rPr>
                <w:rFonts w:hint="eastAsia" w:ascii="Times New Roman" w:hAnsi="Times New Roman" w:eastAsia="宋体" w:cs="Times New Roman"/>
                <w:color w:val="000000" w:themeColor="text1"/>
                <w:szCs w:val="24"/>
                <w:highlight w:val="none"/>
                <w:lang w:eastAsia="zh-CN"/>
                <w14:textFill>
                  <w14:solidFill>
                    <w14:schemeClr w14:val="tx1"/>
                  </w14:solidFill>
                </w14:textFill>
              </w:rPr>
              <w:t>消毒设备</w:t>
            </w:r>
          </w:p>
          <w:p w14:paraId="67A38F59">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000000" w:themeColor="text1"/>
                <w:szCs w:val="24"/>
                <w:highlight w:val="none"/>
                <w:lang w:eastAsia="zh-CN"/>
                <w14:textFill>
                  <w14:solidFill>
                    <w14:schemeClr w14:val="tx1"/>
                  </w14:solidFill>
                </w14:textFill>
              </w:rPr>
              <w:t>项目</w:t>
            </w:r>
            <w:r>
              <w:rPr>
                <w:rFonts w:hint="default" w:ascii="Times New Roman" w:hAnsi="Times New Roman" w:eastAsia="宋体" w:cs="Times New Roman"/>
                <w:color w:val="000000" w:themeColor="text1"/>
                <w:szCs w:val="24"/>
                <w:highlight w:val="none"/>
                <w14:textFill>
                  <w14:solidFill>
                    <w14:schemeClr w14:val="tx1"/>
                  </w14:solidFill>
                </w14:textFill>
              </w:rPr>
              <w:t>采用</w:t>
            </w:r>
            <w:r>
              <w:rPr>
                <w:rFonts w:hint="eastAsia" w:ascii="Times New Roman" w:hAnsi="Times New Roman" w:eastAsia="宋体" w:cs="Times New Roman"/>
                <w:color w:val="000000" w:themeColor="text1"/>
                <w:szCs w:val="24"/>
                <w:highlight w:val="none"/>
                <w:lang w:eastAsia="zh-CN"/>
                <w14:textFill>
                  <w14:solidFill>
                    <w14:schemeClr w14:val="tx1"/>
                  </w14:solidFill>
                </w14:textFill>
              </w:rPr>
              <w:t>消毒设备</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对</w:t>
            </w:r>
            <w:r>
              <w:rPr>
                <w:rFonts w:hint="default" w:ascii="Times New Roman" w:hAnsi="Times New Roman" w:eastAsia="宋体" w:cs="Times New Roman"/>
                <w:color w:val="000000" w:themeColor="text1"/>
                <w:szCs w:val="24"/>
                <w:highlight w:val="none"/>
                <w14:textFill>
                  <w14:solidFill>
                    <w14:schemeClr w14:val="tx1"/>
                  </w14:solidFill>
                </w14:textFill>
              </w:rPr>
              <w:t>污水</w:t>
            </w:r>
            <w:r>
              <w:rPr>
                <w:rFonts w:hint="eastAsia" w:ascii="Times New Roman" w:hAnsi="Times New Roman" w:eastAsia="宋体" w:cs="Times New Roman"/>
                <w:color w:val="000000" w:themeColor="text1"/>
                <w:highlight w:val="none"/>
                <w:lang w:val="en-US" w:eastAsia="zh-CN"/>
                <w14:textFill>
                  <w14:solidFill>
                    <w14:schemeClr w14:val="tx1"/>
                  </w14:solidFill>
                </w14:textFill>
              </w:rPr>
              <w:t>进行杀菌、消毒</w:t>
            </w:r>
            <w:r>
              <w:rPr>
                <w:rFonts w:hint="default" w:ascii="Times New Roman" w:hAnsi="Times New Roman" w:eastAsia="宋体" w:cs="Times New Roman"/>
                <w:color w:val="000000" w:themeColor="text1"/>
                <w:szCs w:val="24"/>
                <w:highlight w:val="none"/>
                <w14:textFill>
                  <w14:solidFill>
                    <w14:schemeClr w14:val="tx1"/>
                  </w14:solidFill>
                </w14:textFill>
              </w:rPr>
              <w:t>，其污</w:t>
            </w:r>
            <w:r>
              <w:rPr>
                <w:rFonts w:hint="default" w:ascii="Times New Roman" w:hAnsi="Times New Roman" w:eastAsia="宋体" w:cs="Times New Roman"/>
                <w:color w:val="auto"/>
                <w:szCs w:val="24"/>
                <w:highlight w:val="none"/>
              </w:rPr>
              <w:t>水处理工艺如下：</w:t>
            </w:r>
          </w:p>
          <w:p w14:paraId="3CED95C3">
            <w:pPr>
              <w:pStyle w:val="157"/>
              <w:keepNext w:val="0"/>
              <w:keepLines w:val="0"/>
              <w:pageBreakBefore w:val="0"/>
              <w:widowControl/>
              <w:kinsoku/>
              <w:wordWrap/>
              <w:overflowPunct/>
              <w:topLinePunct w:val="0"/>
              <w:autoSpaceDE/>
              <w:autoSpaceDN/>
              <w:bidi w:val="0"/>
              <w:adjustRightInd/>
              <w:snapToGrid/>
              <w:ind w:firstLine="0" w:firstLineChars="0"/>
              <w:jc w:val="both"/>
              <w:textAlignment w:val="auto"/>
              <w:rPr>
                <w:rFonts w:hint="default" w:ascii="Times New Roman" w:hAnsi="Times New Roman" w:cs="Times New Roman"/>
                <w:color w:val="auto"/>
                <w:highlight w:val="none"/>
              </w:rPr>
            </w:pPr>
            <w:r>
              <w:rPr>
                <w:rFonts w:hint="eastAsia" w:ascii="Times New Roman" w:hAnsi="Times New Roman" w:eastAsia="宋体" w:cs="Times New Roman"/>
                <w:b/>
                <w:bCs w:val="0"/>
                <w:color w:val="auto"/>
                <w:kern w:val="0"/>
                <w:szCs w:val="24"/>
                <w:highlight w:val="none"/>
                <w:lang w:eastAsia="zh-CN"/>
              </w:rPr>
              <w:drawing>
                <wp:inline distT="0" distB="0" distL="114300" distR="114300">
                  <wp:extent cx="2524125" cy="1945640"/>
                  <wp:effectExtent l="0" t="0" r="9525" b="16510"/>
                  <wp:docPr id="32" name="图片 32" descr="080bb470679c9d7c5b8e096e0488c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80bb470679c9d7c5b8e096e0488cc6"/>
                          <pic:cNvPicPr>
                            <a:picLocks noChangeAspect="1"/>
                          </pic:cNvPicPr>
                        </pic:nvPicPr>
                        <pic:blipFill>
                          <a:blip r:embed="rId23"/>
                          <a:srcRect t="6828" r="1155" b="9251"/>
                          <a:stretch>
                            <a:fillRect/>
                          </a:stretch>
                        </pic:blipFill>
                        <pic:spPr>
                          <a:xfrm>
                            <a:off x="0" y="0"/>
                            <a:ext cx="2524125" cy="1945640"/>
                          </a:xfrm>
                          <a:prstGeom prst="rect">
                            <a:avLst/>
                          </a:prstGeom>
                        </pic:spPr>
                      </pic:pic>
                    </a:graphicData>
                  </a:graphic>
                </wp:inline>
              </w:drawing>
            </w:r>
            <w:r>
              <w:rPr>
                <w:rFonts w:hint="default" w:ascii="Times New Roman" w:hAnsi="Times New Roman" w:cs="Times New Roman"/>
                <w:color w:val="auto"/>
                <w:highlight w:val="none"/>
              </w:rPr>
              <w:drawing>
                <wp:inline distT="0" distB="0" distL="114300" distR="114300">
                  <wp:extent cx="2572385" cy="1986280"/>
                  <wp:effectExtent l="0" t="0" r="18415" b="13970"/>
                  <wp:docPr id="127" name="图片 127" descr="2c357a8b32e2088bede91329999f8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2c357a8b32e2088bede91329999f88f"/>
                          <pic:cNvPicPr>
                            <a:picLocks noChangeAspect="1"/>
                          </pic:cNvPicPr>
                        </pic:nvPicPr>
                        <pic:blipFill>
                          <a:blip r:embed="rId24"/>
                          <a:stretch>
                            <a:fillRect/>
                          </a:stretch>
                        </pic:blipFill>
                        <pic:spPr>
                          <a:xfrm>
                            <a:off x="0" y="0"/>
                            <a:ext cx="2572385" cy="1986280"/>
                          </a:xfrm>
                          <a:prstGeom prst="rect">
                            <a:avLst/>
                          </a:prstGeom>
                        </pic:spPr>
                      </pic:pic>
                    </a:graphicData>
                  </a:graphic>
                </wp:inline>
              </w:drawing>
            </w:r>
          </w:p>
          <w:p w14:paraId="6AAFB774">
            <w:pPr>
              <w:pStyle w:val="157"/>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val="0"/>
                <w:color w:val="auto"/>
                <w:kern w:val="0"/>
                <w:szCs w:val="24"/>
                <w:highlight w:val="none"/>
              </w:rPr>
            </w:pPr>
            <w:r>
              <w:rPr>
                <w:rFonts w:hint="default" w:ascii="Times New Roman" w:hAnsi="Times New Roman" w:eastAsia="宋体" w:cs="Times New Roman"/>
                <w:b/>
                <w:bCs w:val="0"/>
                <w:color w:val="auto"/>
                <w:kern w:val="0"/>
                <w:szCs w:val="24"/>
                <w:highlight w:val="none"/>
              </w:rPr>
              <w:t xml:space="preserve">图4-1  </w:t>
            </w:r>
            <w:r>
              <w:rPr>
                <w:rFonts w:hint="eastAsia" w:ascii="Times New Roman" w:hAnsi="Times New Roman" w:eastAsia="宋体" w:cs="Times New Roman"/>
                <w:b/>
                <w:bCs w:val="0"/>
                <w:color w:val="auto"/>
                <w:kern w:val="0"/>
                <w:szCs w:val="24"/>
                <w:highlight w:val="none"/>
                <w:lang w:val="en-US" w:eastAsia="zh-CN"/>
              </w:rPr>
              <w:t>消毒设备接管及消毒方式</w:t>
            </w:r>
          </w:p>
          <w:p w14:paraId="768AD42A">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消毒设备</w:t>
            </w:r>
            <w:r>
              <w:rPr>
                <w:rFonts w:hint="default" w:ascii="Times New Roman" w:hAnsi="Times New Roman" w:eastAsia="宋体" w:cs="Times New Roman"/>
                <w:color w:val="auto"/>
                <w:szCs w:val="24"/>
                <w:highlight w:val="none"/>
              </w:rPr>
              <w:t>的处理工艺简析：</w:t>
            </w:r>
            <w:r>
              <w:rPr>
                <w:rFonts w:hint="eastAsia" w:ascii="Times New Roman" w:hAnsi="Times New Roman" w:eastAsia="宋体" w:cs="Times New Roman"/>
                <w:color w:val="auto"/>
                <w:szCs w:val="24"/>
                <w:highlight w:val="none"/>
                <w:lang w:val="en-US" w:eastAsia="zh-CN"/>
              </w:rPr>
              <w:t>建设单位定期</w:t>
            </w:r>
            <w:r>
              <w:rPr>
                <w:rFonts w:hint="default" w:ascii="Times New Roman" w:hAnsi="Times New Roman" w:eastAsia="宋体" w:cs="Times New Roman"/>
                <w:color w:val="auto"/>
                <w:szCs w:val="24"/>
                <w:highlight w:val="none"/>
              </w:rPr>
              <w:t>在收集</w:t>
            </w:r>
            <w:r>
              <w:rPr>
                <w:rFonts w:hint="eastAsia" w:ascii="Times New Roman" w:hAnsi="Times New Roman" w:eastAsia="宋体" w:cs="Times New Roman"/>
                <w:color w:val="auto"/>
                <w:szCs w:val="24"/>
                <w:highlight w:val="none"/>
                <w:lang w:val="en-US" w:eastAsia="zh-CN"/>
              </w:rPr>
              <w:t>箱</w:t>
            </w:r>
            <w:r>
              <w:rPr>
                <w:rFonts w:hint="default" w:ascii="Times New Roman" w:hAnsi="Times New Roman" w:eastAsia="宋体" w:cs="Times New Roman"/>
                <w:color w:val="auto"/>
                <w:szCs w:val="24"/>
                <w:highlight w:val="none"/>
              </w:rPr>
              <w:t>进行加</w:t>
            </w:r>
            <w:r>
              <w:rPr>
                <w:rFonts w:hint="eastAsia" w:ascii="Times New Roman" w:hAnsi="Times New Roman" w:eastAsia="宋体" w:cs="Times New Roman"/>
                <w:color w:val="auto"/>
                <w:szCs w:val="24"/>
                <w:highlight w:val="none"/>
                <w:lang w:val="en-US" w:eastAsia="zh-CN"/>
              </w:rPr>
              <w:t>入二氧化氯片（200克/片，打开加药盖，一次加一片，可用3天</w:t>
            </w:r>
            <w:r>
              <w:rPr>
                <w:rFonts w:hint="default" w:ascii="Times New Roman" w:hAnsi="Times New Roman" w:eastAsia="宋体" w:cs="Times New Roman"/>
                <w:color w:val="auto"/>
                <w:szCs w:val="24"/>
                <w:highlight w:val="none"/>
              </w:rPr>
              <w:t>～</w:t>
            </w:r>
            <w:r>
              <w:rPr>
                <w:rFonts w:hint="eastAsia" w:ascii="Times New Roman" w:hAnsi="Times New Roman" w:eastAsia="宋体" w:cs="Times New Roman"/>
                <w:color w:val="auto"/>
                <w:szCs w:val="24"/>
                <w:highlight w:val="none"/>
                <w:lang w:val="en-US" w:eastAsia="zh-CN"/>
              </w:rPr>
              <w:t>5天左右）</w:t>
            </w:r>
            <w:r>
              <w:rPr>
                <w:rFonts w:hint="default" w:ascii="Times New Roman" w:hAnsi="Times New Roman" w:eastAsia="宋体" w:cs="Times New Roman"/>
                <w:color w:val="auto"/>
                <w:szCs w:val="24"/>
                <w:highlight w:val="none"/>
              </w:rPr>
              <w:t>消毒，</w:t>
            </w:r>
            <w:r>
              <w:rPr>
                <w:rFonts w:hint="eastAsia" w:ascii="Times New Roman" w:hAnsi="Times New Roman" w:eastAsia="宋体" w:cs="Times New Roman"/>
                <w:color w:val="auto"/>
                <w:szCs w:val="24"/>
                <w:highlight w:val="none"/>
                <w:lang w:val="en-US" w:eastAsia="zh-CN"/>
              </w:rPr>
              <w:t>宠物医疗</w:t>
            </w:r>
            <w:r>
              <w:rPr>
                <w:rFonts w:hint="eastAsia" w:ascii="Times New Roman" w:hAnsi="Times New Roman" w:eastAsia="宋体" w:cs="Times New Roman"/>
                <w:color w:val="auto"/>
                <w:highlight w:val="none"/>
                <w:lang w:val="en-US" w:eastAsia="zh-CN"/>
              </w:rPr>
              <w:t>废水</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宠物美容废水和第二、三道检验设备清洗废水</w:t>
            </w:r>
            <w:r>
              <w:rPr>
                <w:rFonts w:hint="default" w:ascii="Times New Roman" w:hAnsi="Times New Roman" w:eastAsia="宋体" w:cs="Times New Roman"/>
                <w:color w:val="auto"/>
                <w:szCs w:val="24"/>
                <w:highlight w:val="none"/>
              </w:rPr>
              <w:t>经管道收集后进入</w:t>
            </w:r>
            <w:r>
              <w:rPr>
                <w:rFonts w:hint="eastAsia" w:ascii="Times New Roman" w:hAnsi="Times New Roman" w:eastAsia="宋体" w:cs="Times New Roman"/>
                <w:color w:val="auto"/>
                <w:szCs w:val="24"/>
                <w:highlight w:val="none"/>
                <w:lang w:val="en-US" w:eastAsia="zh-CN"/>
              </w:rPr>
              <w:t>消毒设备消毒</w:t>
            </w:r>
            <w:r>
              <w:rPr>
                <w:rFonts w:hint="default" w:ascii="Times New Roman" w:hAnsi="Times New Roman" w:eastAsia="宋体" w:cs="Times New Roman"/>
                <w:color w:val="auto"/>
                <w:szCs w:val="24"/>
                <w:highlight w:val="none"/>
              </w:rPr>
              <w:t>，消毒达标后排入化粪池</w:t>
            </w:r>
            <w:r>
              <w:rPr>
                <w:rFonts w:hint="eastAsia" w:ascii="Times New Roman" w:hAnsi="Times New Roman" w:eastAsia="宋体" w:cs="Times New Roman"/>
                <w:color w:val="auto"/>
                <w:szCs w:val="24"/>
                <w:highlight w:val="none"/>
                <w:lang w:val="en-US" w:eastAsia="zh-CN"/>
              </w:rPr>
              <w:t>通过市政污水管网统一排入洋里污水处理厂处理</w:t>
            </w:r>
            <w:r>
              <w:rPr>
                <w:rFonts w:hint="default" w:ascii="Times New Roman" w:hAnsi="Times New Roman" w:eastAsia="宋体" w:cs="Times New Roman"/>
                <w:color w:val="auto"/>
                <w:szCs w:val="24"/>
                <w:highlight w:val="none"/>
              </w:rPr>
              <w:t>。</w:t>
            </w:r>
          </w:p>
          <w:p w14:paraId="52A36FE7">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val="en-US" w:eastAsia="zh-CN"/>
              </w:rPr>
              <w:t>建设单位使用的</w:t>
            </w:r>
            <w:r>
              <w:rPr>
                <w:rFonts w:hint="eastAsia" w:ascii="Times New Roman" w:hAnsi="Times New Roman" w:eastAsia="宋体" w:cs="Times New Roman"/>
                <w:color w:val="auto"/>
                <w:szCs w:val="24"/>
                <w:highlight w:val="none"/>
                <w:lang w:eastAsia="zh-CN"/>
              </w:rPr>
              <w:t>消毒设备</w:t>
            </w:r>
            <w:r>
              <w:rPr>
                <w:rFonts w:hint="default" w:ascii="Times New Roman" w:hAnsi="Times New Roman" w:eastAsia="宋体" w:cs="Times New Roman"/>
                <w:color w:val="auto"/>
                <w:szCs w:val="24"/>
                <w:highlight w:val="none"/>
              </w:rPr>
              <w:t>设计处理能力</w:t>
            </w:r>
            <w:r>
              <w:rPr>
                <w:rFonts w:hint="eastAsia" w:ascii="Times New Roman" w:hAnsi="Times New Roman" w:eastAsia="宋体" w:cs="Times New Roman"/>
                <w:color w:val="auto"/>
                <w:szCs w:val="24"/>
                <w:highlight w:val="none"/>
                <w:lang w:val="en-US" w:eastAsia="zh-CN"/>
              </w:rPr>
              <w:t>（型号：HB-50，长宽高（cm）：30×30×37）</w:t>
            </w:r>
            <w:r>
              <w:rPr>
                <w:rFonts w:hint="default" w:ascii="Times New Roman" w:hAnsi="Times New Roman" w:eastAsia="宋体" w:cs="Times New Roman"/>
                <w:color w:val="auto"/>
                <w:szCs w:val="24"/>
                <w:highlight w:val="none"/>
              </w:rPr>
              <w:t>，可满足项目</w:t>
            </w:r>
            <w:r>
              <w:rPr>
                <w:rFonts w:hint="eastAsia" w:ascii="Times New Roman" w:hAnsi="Times New Roman" w:eastAsia="宋体" w:cs="Times New Roman"/>
                <w:color w:val="auto"/>
                <w:szCs w:val="24"/>
                <w:highlight w:val="none"/>
                <w:lang w:val="en-US" w:eastAsia="zh-CN"/>
              </w:rPr>
              <w:t>宠物美容废水、宠物医疗</w:t>
            </w:r>
            <w:r>
              <w:rPr>
                <w:rFonts w:hint="eastAsia" w:ascii="Times New Roman" w:hAnsi="Times New Roman" w:eastAsia="宋体" w:cs="Times New Roman"/>
                <w:color w:val="auto"/>
                <w:highlight w:val="none"/>
                <w:lang w:val="en-US" w:eastAsia="zh-CN"/>
              </w:rPr>
              <w:t>废水</w:t>
            </w:r>
            <w:r>
              <w:rPr>
                <w:rFonts w:hint="eastAsia" w:ascii="Times New Roman" w:hAnsi="Times New Roman" w:eastAsia="宋体" w:cs="Times New Roman"/>
                <w:color w:val="auto"/>
                <w:szCs w:val="24"/>
                <w:highlight w:val="none"/>
                <w:lang w:val="en-US" w:eastAsia="zh-CN"/>
              </w:rPr>
              <w:t>和</w:t>
            </w:r>
            <w:r>
              <w:rPr>
                <w:rFonts w:hint="eastAsia" w:ascii="Times New Roman" w:hAnsi="Times New Roman" w:eastAsia="宋体" w:cs="Times New Roman"/>
                <w:color w:val="auto"/>
                <w:highlight w:val="none"/>
                <w:lang w:val="en-US" w:eastAsia="zh-CN"/>
              </w:rPr>
              <w:t>第二、三道检验设备清洗废水</w:t>
            </w:r>
            <w:r>
              <w:rPr>
                <w:rFonts w:hint="default" w:ascii="Times New Roman" w:hAnsi="Times New Roman" w:eastAsia="宋体" w:cs="Times New Roman"/>
                <w:color w:val="auto"/>
                <w:szCs w:val="24"/>
                <w:highlight w:val="none"/>
              </w:rPr>
              <w:t>处理需求。项目</w:t>
            </w:r>
            <w:r>
              <w:rPr>
                <w:rFonts w:hint="eastAsia" w:ascii="Times New Roman" w:hAnsi="Times New Roman" w:eastAsia="宋体" w:cs="Times New Roman"/>
                <w:color w:val="auto"/>
                <w:szCs w:val="24"/>
                <w:highlight w:val="none"/>
                <w:lang w:val="en-US" w:eastAsia="zh-CN"/>
              </w:rPr>
              <w:t>消毒设备处理污水</w:t>
            </w:r>
            <w:r>
              <w:rPr>
                <w:rFonts w:hint="default" w:ascii="Times New Roman" w:hAnsi="Times New Roman" w:eastAsia="宋体" w:cs="Times New Roman"/>
                <w:color w:val="auto"/>
                <w:szCs w:val="24"/>
                <w:highlight w:val="none"/>
              </w:rPr>
              <w:t>产生的污泥含有病原微生物</w:t>
            </w:r>
            <w:r>
              <w:rPr>
                <w:rFonts w:hint="eastAsia" w:ascii="Times New Roman" w:hAnsi="Times New Roman" w:eastAsia="宋体" w:cs="Times New Roman"/>
                <w:color w:val="auto"/>
                <w:szCs w:val="24"/>
                <w:highlight w:val="none"/>
                <w:lang w:val="en-US" w:eastAsia="zh-CN"/>
              </w:rPr>
              <w:t>每3天～5天排渣</w:t>
            </w:r>
            <w:r>
              <w:rPr>
                <w:rFonts w:hint="default" w:ascii="Times New Roman" w:hAnsi="Times New Roman" w:eastAsia="宋体" w:cs="Times New Roman"/>
                <w:color w:val="auto"/>
                <w:szCs w:val="24"/>
                <w:highlight w:val="none"/>
              </w:rPr>
              <w:t>一次，交由有资质的单位安全处置。</w:t>
            </w:r>
          </w:p>
          <w:p w14:paraId="1EE75E90">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b w:val="0"/>
                <w:bCs/>
                <w:color w:val="auto"/>
                <w:kern w:val="2"/>
                <w:sz w:val="24"/>
                <w:szCs w:val="24"/>
                <w:highlight w:val="none"/>
                <w:lang w:val="en-US" w:eastAsia="zh-CN" w:bidi="ar-SA"/>
              </w:rPr>
              <w:t>加氯消毒，是以氯为消毒剂对给水及污水进行的消毒处理方法。由于氯的价格低廉，消毒效果好和使用方便，是传统的水消毒工艺。氯投加到水中后，生成次氯酸和次氯酸根，两者在水中的比例取决于pH值。由于次氯酸为中性分子不带电而能够扩散到带负电的细菌表面，从而破坏菌体中的酶及其相胞功能使细菌死亡，因此，pH值愈低，水中HClO含量比例愈高，产生的消毒效果愈好。本项目使用投</w:t>
            </w:r>
            <w:r>
              <w:rPr>
                <w:rFonts w:hint="eastAsia" w:ascii="Times New Roman" w:hAnsi="Times New Roman" w:eastAsia="宋体" w:cs="Times New Roman"/>
                <w:b w:val="0"/>
                <w:bCs/>
                <w:color w:val="auto"/>
                <w:kern w:val="2"/>
                <w:sz w:val="24"/>
                <w:szCs w:val="24"/>
                <w:highlight w:val="none"/>
                <w:lang w:val="en-US" w:eastAsia="zh-CN" w:bidi="ar-SA"/>
              </w:rPr>
              <w:t>二氧化</w:t>
            </w:r>
            <w:r>
              <w:rPr>
                <w:rFonts w:hint="default" w:ascii="Times New Roman" w:hAnsi="Times New Roman" w:eastAsia="宋体" w:cs="Times New Roman"/>
                <w:b w:val="0"/>
                <w:bCs/>
                <w:color w:val="auto"/>
                <w:kern w:val="2"/>
                <w:sz w:val="24"/>
                <w:szCs w:val="24"/>
                <w:highlight w:val="none"/>
                <w:lang w:val="en-US" w:eastAsia="zh-CN" w:bidi="ar-SA"/>
              </w:rPr>
              <w:t>氯片的方式对废水进行处理，投加的</w:t>
            </w:r>
            <w:r>
              <w:rPr>
                <w:rFonts w:hint="eastAsia" w:ascii="Times New Roman" w:hAnsi="Times New Roman" w:eastAsia="宋体" w:cs="Times New Roman"/>
                <w:b w:val="0"/>
                <w:bCs/>
                <w:color w:val="auto"/>
                <w:kern w:val="2"/>
                <w:sz w:val="24"/>
                <w:szCs w:val="24"/>
                <w:highlight w:val="none"/>
                <w:lang w:val="en-US" w:eastAsia="zh-CN" w:bidi="ar-SA"/>
              </w:rPr>
              <w:t>二氧化</w:t>
            </w:r>
            <w:r>
              <w:rPr>
                <w:rFonts w:hint="default" w:ascii="Times New Roman" w:hAnsi="Times New Roman" w:eastAsia="宋体" w:cs="Times New Roman"/>
                <w:b w:val="0"/>
                <w:bCs/>
                <w:color w:val="auto"/>
                <w:kern w:val="2"/>
                <w:sz w:val="24"/>
                <w:szCs w:val="24"/>
                <w:highlight w:val="none"/>
                <w:lang w:val="en-US" w:eastAsia="zh-CN" w:bidi="ar-SA"/>
              </w:rPr>
              <w:t>氯片应在单独的储物柜中避光保存，避免和酸碱物质及油脂混放。</w:t>
            </w:r>
          </w:p>
          <w:p w14:paraId="616F7A53">
            <w:pPr>
              <w:pStyle w:val="4"/>
              <w:pageBreakBefore w:val="0"/>
              <w:numPr>
                <w:ilvl w:val="0"/>
                <w:numId w:val="0"/>
              </w:numPr>
              <w:shd w:val="clear"/>
              <w:kinsoku/>
              <w:overflowPunct/>
              <w:autoSpaceDE/>
              <w:autoSpaceDN/>
              <w:bidi w:val="0"/>
              <w:jc w:val="both"/>
              <w:rPr>
                <w:rFonts w:hint="default" w:ascii="Times New Roman" w:hAnsi="Times New Roman" w:cs="Times New Roman"/>
                <w:color w:val="auto"/>
                <w:sz w:val="28"/>
                <w:szCs w:val="28"/>
                <w:highlight w:val="none"/>
                <w:lang w:val="en-US" w:eastAsia="zh-CN"/>
              </w:rPr>
            </w:pPr>
            <w:r>
              <w:rPr>
                <w:rFonts w:hint="default" w:ascii="Times New Roman" w:hAnsi="Times New Roman" w:cs="Times New Roman"/>
                <w:color w:val="auto"/>
                <w:sz w:val="28"/>
                <w:szCs w:val="28"/>
                <w:highlight w:val="none"/>
                <w:lang w:val="en-US" w:eastAsia="zh-CN"/>
              </w:rPr>
              <w:t>4.3 运营期大气环境影响和污染防治措施可行性分析</w:t>
            </w:r>
          </w:p>
          <w:p w14:paraId="45326624">
            <w:pPr>
              <w:pStyle w:val="157"/>
              <w:keepNext w:val="0"/>
              <w:keepLines w:val="0"/>
              <w:pageBreakBefore w:val="0"/>
              <w:widowControl/>
              <w:shd w:val="clear"/>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b/>
                <w:bCs w:val="0"/>
                <w:color w:val="auto"/>
                <w:szCs w:val="24"/>
                <w:highlight w:val="none"/>
                <w:lang w:val="en-US" w:eastAsia="zh-CN"/>
              </w:rPr>
            </w:pPr>
            <w:r>
              <w:rPr>
                <w:rFonts w:hint="default" w:ascii="Times New Roman" w:hAnsi="Times New Roman" w:eastAsia="宋体" w:cs="Times New Roman"/>
                <w:b/>
                <w:bCs w:val="0"/>
                <w:color w:val="auto"/>
                <w:szCs w:val="24"/>
                <w:highlight w:val="none"/>
                <w:lang w:val="en-US" w:eastAsia="zh-CN"/>
              </w:rPr>
              <w:t>4.3.1 大气环境影响分析</w:t>
            </w:r>
          </w:p>
          <w:p w14:paraId="6AF2CE6E">
            <w:pPr>
              <w:pStyle w:val="157"/>
              <w:pageBreakBefore w:val="0"/>
              <w:kinsoku/>
              <w:overflowPunct/>
              <w:autoSpaceDE/>
              <w:autoSpaceDN/>
              <w:bidi w:val="0"/>
              <w:ind w:firstLine="480"/>
              <w:jc w:val="both"/>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eastAsia" w:ascii="Times New Roman" w:hAnsi="Times New Roman" w:eastAsia="宋体" w:cs="Times New Roman"/>
                <w:color w:val="auto"/>
                <w:highlight w:val="none"/>
                <w:lang w:eastAsia="zh-CN"/>
              </w:rPr>
              <w:t>消毒设备</w:t>
            </w:r>
            <w:r>
              <w:rPr>
                <w:rFonts w:hint="default" w:ascii="Times New Roman" w:hAnsi="Times New Roman" w:eastAsia="宋体" w:cs="Times New Roman"/>
                <w:color w:val="auto"/>
                <w:highlight w:val="none"/>
              </w:rPr>
              <w:t>产生的</w:t>
            </w:r>
            <w:r>
              <w:rPr>
                <w:rFonts w:hint="eastAsia" w:ascii="Times New Roman" w:hAnsi="Times New Roman" w:eastAsia="宋体" w:cs="Times New Roman"/>
                <w:color w:val="auto"/>
                <w:highlight w:val="none"/>
                <w:lang w:eastAsia="zh-CN"/>
              </w:rPr>
              <w:t>异味</w:t>
            </w:r>
          </w:p>
          <w:p w14:paraId="24222138">
            <w:pPr>
              <w:pStyle w:val="157"/>
              <w:pageBreakBefore w:val="0"/>
              <w:kinsoku/>
              <w:overflowPunct/>
              <w:autoSpaceDE/>
              <w:autoSpaceDN/>
              <w:bidi w:val="0"/>
              <w:ind w:firstLine="480"/>
              <w:jc w:val="both"/>
              <w:rPr>
                <w:rFonts w:hint="default" w:ascii="Times New Roman" w:hAnsi="Times New Roman" w:cs="Times New Roman"/>
                <w:color w:val="auto"/>
                <w:highlight w:val="none"/>
              </w:rPr>
            </w:pPr>
            <w:r>
              <w:rPr>
                <w:rFonts w:hint="default" w:ascii="Times New Roman" w:hAnsi="Times New Roman" w:eastAsia="宋体" w:cs="Times New Roman"/>
                <w:color w:val="auto"/>
                <w:szCs w:val="24"/>
                <w:highlight w:val="none"/>
              </w:rPr>
              <w:t>项目经营过程中会有</w:t>
            </w:r>
            <w:r>
              <w:rPr>
                <w:rFonts w:hint="eastAsia" w:ascii="Times New Roman" w:hAnsi="Times New Roman" w:eastAsia="宋体" w:cs="Times New Roman"/>
                <w:color w:val="auto"/>
                <w:szCs w:val="24"/>
                <w:highlight w:val="none"/>
                <w:lang w:eastAsia="zh-CN"/>
              </w:rPr>
              <w:t>消毒设备</w:t>
            </w:r>
            <w:r>
              <w:rPr>
                <w:rFonts w:hint="default" w:ascii="Times New Roman" w:hAnsi="Times New Roman" w:eastAsia="宋体" w:cs="Times New Roman"/>
                <w:color w:val="auto"/>
                <w:szCs w:val="24"/>
                <w:highlight w:val="none"/>
              </w:rPr>
              <w:t>产生的</w:t>
            </w:r>
            <w:r>
              <w:rPr>
                <w:rFonts w:hint="eastAsia" w:ascii="Times New Roman" w:hAnsi="Times New Roman" w:eastAsia="宋体" w:cs="Times New Roman"/>
                <w:color w:val="auto"/>
                <w:szCs w:val="24"/>
                <w:highlight w:val="none"/>
                <w:lang w:eastAsia="zh-CN"/>
              </w:rPr>
              <w:t>异味</w:t>
            </w:r>
            <w:r>
              <w:rPr>
                <w:rFonts w:hint="default" w:ascii="Times New Roman" w:hAnsi="Times New Roman" w:eastAsia="宋体" w:cs="Times New Roman"/>
                <w:color w:val="auto"/>
                <w:szCs w:val="24"/>
                <w:highlight w:val="none"/>
              </w:rPr>
              <w:t>，项目采用一体化封闭的</w:t>
            </w:r>
            <w:r>
              <w:rPr>
                <w:rFonts w:hint="eastAsia" w:ascii="Times New Roman" w:hAnsi="Times New Roman" w:eastAsia="宋体" w:cs="Times New Roman"/>
                <w:color w:val="auto"/>
                <w:szCs w:val="24"/>
                <w:highlight w:val="none"/>
                <w:lang w:val="en-US" w:eastAsia="zh-CN"/>
              </w:rPr>
              <w:t>消毒设备</w:t>
            </w:r>
            <w:r>
              <w:rPr>
                <w:rFonts w:hint="default" w:ascii="Times New Roman" w:hAnsi="Times New Roman" w:eastAsia="宋体" w:cs="Times New Roman"/>
                <w:color w:val="auto"/>
                <w:szCs w:val="24"/>
                <w:highlight w:val="none"/>
              </w:rPr>
              <w:t>，且设于室内，则</w:t>
            </w:r>
            <w:r>
              <w:rPr>
                <w:rFonts w:hint="eastAsia" w:ascii="Times New Roman" w:hAnsi="Times New Roman" w:eastAsia="宋体" w:cs="Times New Roman"/>
                <w:color w:val="auto"/>
                <w:szCs w:val="24"/>
                <w:highlight w:val="none"/>
                <w:lang w:eastAsia="zh-CN"/>
              </w:rPr>
              <w:t>消毒设备</w:t>
            </w:r>
            <w:r>
              <w:rPr>
                <w:rFonts w:hint="default" w:ascii="Times New Roman" w:hAnsi="Times New Roman" w:eastAsia="宋体" w:cs="Times New Roman"/>
                <w:color w:val="auto"/>
                <w:szCs w:val="24"/>
                <w:highlight w:val="none"/>
              </w:rPr>
              <w:t>产生的</w:t>
            </w:r>
            <w:r>
              <w:rPr>
                <w:rFonts w:hint="eastAsia" w:ascii="Times New Roman" w:hAnsi="Times New Roman" w:eastAsia="宋体" w:cs="Times New Roman"/>
                <w:color w:val="auto"/>
                <w:szCs w:val="24"/>
                <w:highlight w:val="none"/>
                <w:lang w:eastAsia="zh-CN"/>
              </w:rPr>
              <w:t>异味</w:t>
            </w:r>
            <w:r>
              <w:rPr>
                <w:rFonts w:hint="default" w:ascii="Times New Roman" w:hAnsi="Times New Roman" w:eastAsia="宋体" w:cs="Times New Roman"/>
                <w:color w:val="auto"/>
                <w:szCs w:val="24"/>
                <w:highlight w:val="none"/>
              </w:rPr>
              <w:t>对周边住宅楼无显著影响</w:t>
            </w:r>
            <w:r>
              <w:rPr>
                <w:rFonts w:hint="default" w:ascii="Times New Roman" w:hAnsi="Times New Roman" w:cs="Times New Roman"/>
                <w:color w:val="auto"/>
                <w:highlight w:val="none"/>
              </w:rPr>
              <w:t>。</w:t>
            </w:r>
          </w:p>
          <w:p w14:paraId="68647577">
            <w:pPr>
              <w:pStyle w:val="157"/>
              <w:pageBreakBefore w:val="0"/>
              <w:kinsoku/>
              <w:overflowPunct/>
              <w:autoSpaceDE/>
              <w:autoSpaceDN/>
              <w:bidi w:val="0"/>
              <w:ind w:firstLine="480"/>
              <w:jc w:val="both"/>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宠物散发的</w:t>
            </w:r>
            <w:r>
              <w:rPr>
                <w:rFonts w:hint="eastAsia" w:ascii="Times New Roman" w:hAnsi="Times New Roman" w:eastAsia="宋体" w:cs="Times New Roman"/>
                <w:color w:val="auto"/>
                <w:highlight w:val="none"/>
                <w:lang w:eastAsia="zh-CN"/>
              </w:rPr>
              <w:t>异味</w:t>
            </w:r>
          </w:p>
          <w:p w14:paraId="1C26FD40">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项目对宠物产生的粪便及时清理，</w:t>
            </w:r>
            <w:r>
              <w:rPr>
                <w:rFonts w:hint="eastAsia" w:ascii="Times New Roman" w:hAnsi="Times New Roman" w:eastAsia="宋体" w:cs="Times New Roman"/>
                <w:color w:val="auto"/>
                <w:szCs w:val="24"/>
                <w:highlight w:val="none"/>
                <w:lang w:val="en-US" w:eastAsia="zh-CN"/>
              </w:rPr>
              <w:t>美容</w:t>
            </w:r>
            <w:r>
              <w:rPr>
                <w:rFonts w:hint="default" w:ascii="Times New Roman" w:hAnsi="Times New Roman" w:eastAsia="宋体" w:cs="Times New Roman"/>
                <w:color w:val="auto"/>
                <w:szCs w:val="24"/>
                <w:highlight w:val="none"/>
              </w:rPr>
              <w:t>室、住院室进行定期清洁消毒，产生的</w:t>
            </w:r>
            <w:r>
              <w:rPr>
                <w:rFonts w:hint="eastAsia" w:ascii="Times New Roman" w:hAnsi="Times New Roman" w:eastAsia="宋体" w:cs="Times New Roman"/>
                <w:color w:val="auto"/>
                <w:szCs w:val="24"/>
                <w:highlight w:val="none"/>
                <w:lang w:eastAsia="zh-CN"/>
              </w:rPr>
              <w:t>异味</w:t>
            </w:r>
            <w:r>
              <w:rPr>
                <w:rFonts w:hint="default" w:ascii="Times New Roman" w:hAnsi="Times New Roman" w:eastAsia="宋体" w:cs="Times New Roman"/>
                <w:color w:val="auto"/>
                <w:szCs w:val="24"/>
                <w:highlight w:val="none"/>
              </w:rPr>
              <w:t>小</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对</w:t>
            </w:r>
            <w:r>
              <w:rPr>
                <w:rFonts w:hint="default" w:ascii="Times New Roman" w:hAnsi="Times New Roman" w:eastAsia="宋体" w:cs="Times New Roman"/>
                <w:color w:val="auto"/>
                <w:szCs w:val="24"/>
                <w:highlight w:val="none"/>
                <w:lang w:val="en-US" w:eastAsia="zh-CN"/>
              </w:rPr>
              <w:t>周边</w:t>
            </w:r>
            <w:r>
              <w:rPr>
                <w:rFonts w:hint="default" w:ascii="Times New Roman" w:hAnsi="Times New Roman" w:eastAsia="宋体" w:cs="Times New Roman"/>
                <w:color w:val="auto"/>
                <w:szCs w:val="24"/>
                <w:highlight w:val="none"/>
              </w:rPr>
              <w:t>住宅楼居民无显著影响。</w:t>
            </w:r>
          </w:p>
          <w:p w14:paraId="0EE7346C">
            <w:pPr>
              <w:pStyle w:val="157"/>
              <w:ind w:firstLine="0" w:firstLineChars="0"/>
              <w:rPr>
                <w:rFonts w:hint="default" w:ascii="Times New Roman" w:hAnsi="Times New Roman" w:eastAsia="宋体" w:cs="Times New Roman"/>
                <w:b/>
                <w:bCs w:val="0"/>
                <w:color w:val="auto"/>
                <w:szCs w:val="24"/>
                <w:highlight w:val="none"/>
              </w:rPr>
            </w:pPr>
            <w:r>
              <w:rPr>
                <w:rFonts w:hint="default" w:ascii="Times New Roman" w:hAnsi="Times New Roman" w:eastAsia="宋体" w:cs="Times New Roman"/>
                <w:b/>
                <w:bCs w:val="0"/>
                <w:color w:val="auto"/>
                <w:szCs w:val="24"/>
                <w:highlight w:val="none"/>
              </w:rPr>
              <w:t>4.</w:t>
            </w:r>
            <w:r>
              <w:rPr>
                <w:rFonts w:hint="default" w:ascii="Times New Roman" w:hAnsi="Times New Roman" w:eastAsia="宋体" w:cs="Times New Roman"/>
                <w:b/>
                <w:bCs w:val="0"/>
                <w:color w:val="auto"/>
                <w:szCs w:val="24"/>
                <w:highlight w:val="none"/>
                <w:lang w:val="en-US" w:eastAsia="zh-CN"/>
              </w:rPr>
              <w:t>3</w:t>
            </w:r>
            <w:r>
              <w:rPr>
                <w:rFonts w:hint="default" w:ascii="Times New Roman" w:hAnsi="Times New Roman" w:eastAsia="宋体" w:cs="Times New Roman"/>
                <w:b/>
                <w:bCs w:val="0"/>
                <w:color w:val="auto"/>
                <w:szCs w:val="24"/>
                <w:highlight w:val="none"/>
              </w:rPr>
              <w:t>.2大气环境防治措施</w:t>
            </w:r>
          </w:p>
          <w:p w14:paraId="10584459">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本评价要求</w:t>
            </w:r>
            <w:r>
              <w:rPr>
                <w:rFonts w:hint="eastAsia" w:ascii="Times New Roman" w:hAnsi="Times New Roman" w:eastAsia="宋体" w:cs="Times New Roman"/>
                <w:color w:val="auto"/>
                <w:szCs w:val="24"/>
                <w:highlight w:val="none"/>
                <w:lang w:val="en-US" w:eastAsia="zh-CN"/>
              </w:rPr>
              <w:t>宠物医院</w:t>
            </w:r>
            <w:r>
              <w:rPr>
                <w:rFonts w:hint="default" w:ascii="Times New Roman" w:hAnsi="Times New Roman" w:eastAsia="宋体" w:cs="Times New Roman"/>
                <w:color w:val="auto"/>
                <w:szCs w:val="24"/>
                <w:highlight w:val="none"/>
              </w:rPr>
              <w:t>加强室内通风；并采用除臭剂进行室内空气净化，无毒，无害，无二次污染，可以消除难闻的或有害的气体，预防由细菌和寄生虫引起的疾病。</w:t>
            </w:r>
          </w:p>
          <w:p w14:paraId="1D7B6936">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项目对宠物产生的粪便及时清理，诊疗室、洗浴室、住院室进行定期清洁消毒，产生的</w:t>
            </w:r>
            <w:r>
              <w:rPr>
                <w:rFonts w:hint="eastAsia" w:ascii="Times New Roman" w:hAnsi="Times New Roman" w:eastAsia="宋体" w:cs="Times New Roman"/>
                <w:color w:val="auto"/>
                <w:szCs w:val="24"/>
                <w:highlight w:val="none"/>
                <w:lang w:eastAsia="zh-CN"/>
              </w:rPr>
              <w:t>异味</w:t>
            </w:r>
            <w:r>
              <w:rPr>
                <w:rFonts w:hint="default" w:ascii="Times New Roman" w:hAnsi="Times New Roman" w:eastAsia="宋体" w:cs="Times New Roman"/>
                <w:color w:val="auto"/>
                <w:szCs w:val="24"/>
                <w:highlight w:val="none"/>
              </w:rPr>
              <w:t>小。通过采取安装新风系统加强通风换气及摆放除臭剂等措施后可以</w:t>
            </w:r>
            <w:r>
              <w:rPr>
                <w:rFonts w:hint="eastAsia" w:ascii="Times New Roman" w:hAnsi="Times New Roman" w:eastAsia="宋体" w:cs="Times New Roman"/>
                <w:color w:val="auto"/>
                <w:szCs w:val="24"/>
                <w:highlight w:val="none"/>
                <w:lang w:val="en-US" w:eastAsia="zh-CN"/>
              </w:rPr>
              <w:t>减少</w:t>
            </w:r>
            <w:r>
              <w:rPr>
                <w:rFonts w:hint="default" w:ascii="Times New Roman" w:hAnsi="Times New Roman" w:eastAsia="宋体" w:cs="Times New Roman"/>
                <w:color w:val="auto"/>
                <w:szCs w:val="24"/>
                <w:highlight w:val="none"/>
              </w:rPr>
              <w:t>难闻的异味。</w:t>
            </w:r>
          </w:p>
          <w:p w14:paraId="173C5BCD">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经上述措施处理后，其</w:t>
            </w:r>
            <w:r>
              <w:rPr>
                <w:rFonts w:hint="eastAsia" w:ascii="Times New Roman" w:hAnsi="Times New Roman" w:eastAsia="宋体" w:cs="Times New Roman"/>
                <w:color w:val="auto"/>
                <w:szCs w:val="24"/>
                <w:highlight w:val="none"/>
                <w:lang w:eastAsia="zh-CN"/>
              </w:rPr>
              <w:t>臭气浓度</w:t>
            </w:r>
            <w:r>
              <w:rPr>
                <w:rFonts w:hint="default" w:ascii="Times New Roman" w:hAnsi="Times New Roman" w:eastAsia="宋体" w:cs="Times New Roman"/>
                <w:color w:val="auto"/>
                <w:szCs w:val="24"/>
                <w:highlight w:val="none"/>
              </w:rPr>
              <w:t>排放满足《恶臭污染物排放标准》（GB14554-93）表1</w:t>
            </w:r>
            <w:r>
              <w:rPr>
                <w:rFonts w:hint="eastAsia" w:ascii="Times New Roman" w:hAnsi="Times New Roman" w:eastAsia="宋体" w:cs="Times New Roman"/>
                <w:color w:val="auto"/>
                <w:szCs w:val="24"/>
                <w:highlight w:val="none"/>
                <w:lang w:eastAsia="zh-CN"/>
              </w:rPr>
              <w:t>二级标准</w:t>
            </w:r>
            <w:r>
              <w:rPr>
                <w:rFonts w:hint="default" w:ascii="Times New Roman" w:hAnsi="Times New Roman" w:eastAsia="宋体" w:cs="Times New Roman"/>
                <w:color w:val="auto"/>
                <w:szCs w:val="24"/>
                <w:highlight w:val="none"/>
              </w:rPr>
              <w:t>，其</w:t>
            </w:r>
            <w:r>
              <w:rPr>
                <w:rFonts w:hint="eastAsia" w:ascii="Times New Roman" w:hAnsi="Times New Roman" w:eastAsia="宋体" w:cs="Times New Roman"/>
                <w:color w:val="auto"/>
                <w:szCs w:val="24"/>
                <w:highlight w:val="none"/>
                <w:lang w:eastAsia="zh-CN"/>
              </w:rPr>
              <w:t>臭气浓度</w:t>
            </w:r>
            <w:r>
              <w:rPr>
                <w:rFonts w:hint="default" w:ascii="Times New Roman" w:hAnsi="Times New Roman" w:eastAsia="宋体" w:cs="Times New Roman"/>
                <w:color w:val="auto"/>
                <w:szCs w:val="24"/>
                <w:highlight w:val="none"/>
              </w:rPr>
              <w:t>排放对</w:t>
            </w:r>
            <w:r>
              <w:rPr>
                <w:rFonts w:hint="eastAsia" w:ascii="Times New Roman" w:hAnsi="Times New Roman" w:eastAsia="宋体" w:cs="Times New Roman"/>
                <w:color w:val="auto"/>
                <w:szCs w:val="24"/>
                <w:highlight w:val="none"/>
                <w:lang w:val="en-US" w:eastAsia="zh-CN"/>
              </w:rPr>
              <w:t>周边</w:t>
            </w:r>
            <w:r>
              <w:rPr>
                <w:rFonts w:hint="default" w:ascii="Times New Roman" w:hAnsi="Times New Roman" w:eastAsia="宋体" w:cs="Times New Roman"/>
                <w:color w:val="auto"/>
                <w:szCs w:val="24"/>
                <w:highlight w:val="none"/>
              </w:rPr>
              <w:t>住宅楼居民影响小。</w:t>
            </w:r>
          </w:p>
          <w:p w14:paraId="15BF3328">
            <w:pPr>
              <w:pStyle w:val="157"/>
              <w:pageBreakBefore w:val="0"/>
              <w:kinsoku/>
              <w:overflowPunct/>
              <w:autoSpaceDE/>
              <w:autoSpaceDN/>
              <w:bidi w:val="0"/>
              <w:ind w:firstLine="482"/>
              <w:jc w:val="both"/>
              <w:rPr>
                <w:rFonts w:hint="default" w:ascii="Times New Roman" w:hAnsi="Times New Roman" w:cs="Times New Roman"/>
                <w:color w:val="auto"/>
                <w:highlight w:val="none"/>
              </w:rPr>
            </w:pPr>
            <w:r>
              <w:rPr>
                <w:rFonts w:hint="default" w:ascii="Times New Roman" w:hAnsi="Times New Roman" w:eastAsia="宋体" w:cs="Times New Roman"/>
                <w:b/>
                <w:bCs w:val="0"/>
                <w:color w:val="auto"/>
                <w:highlight w:val="none"/>
              </w:rPr>
              <w:t>新风系统原理：</w:t>
            </w:r>
            <w:r>
              <w:rPr>
                <w:rFonts w:hint="default" w:ascii="Times New Roman" w:hAnsi="Times New Roman" w:eastAsia="宋体" w:cs="Times New Roman"/>
                <w:color w:val="auto"/>
                <w:szCs w:val="24"/>
                <w:highlight w:val="none"/>
              </w:rPr>
              <w:t>新风系统是根据在密闭的室内一侧用专用设备向室内送新风，再从另一侧由专用设备向室外排出，在室内会形成</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新风流动场</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从而满足室内新风换气的需要。实施方案是：采用高风压、大流量风机、依靠机械强力由一侧向室内送风，由另一侧用专门设计的排风风机向室外排出的方式强迫在系统内形成新风流动场。在送风的同时通过滤芯对进入室内的空气进过滤、消毒、杀菌、增氧、预热（冬天）。新风系统的原理图详见图4-</w:t>
            </w:r>
            <w:r>
              <w:rPr>
                <w:rFonts w:hint="eastAsia" w:ascii="Times New Roman" w:hAnsi="Times New Roman" w:eastAsia="宋体" w:cs="Times New Roman"/>
                <w:color w:val="auto"/>
                <w:szCs w:val="24"/>
                <w:highlight w:val="none"/>
                <w:lang w:val="en-US" w:eastAsia="zh-CN"/>
              </w:rPr>
              <w:t>2</w:t>
            </w:r>
            <w:r>
              <w:rPr>
                <w:rFonts w:hint="default" w:ascii="Times New Roman" w:hAnsi="Times New Roman" w:eastAsia="宋体" w:cs="Times New Roman"/>
                <w:color w:val="auto"/>
                <w:szCs w:val="24"/>
                <w:highlight w:val="none"/>
              </w:rPr>
              <w:t>。</w:t>
            </w:r>
          </w:p>
          <w:p w14:paraId="43E48F51">
            <w:pPr>
              <w:pStyle w:val="157"/>
              <w:pageBreakBefore w:val="0"/>
              <w:kinsoku/>
              <w:overflowPunct/>
              <w:autoSpaceDE/>
              <w:autoSpaceDN/>
              <w:bidi w:val="0"/>
              <w:ind w:firstLine="482"/>
              <w:jc w:val="both"/>
              <w:rPr>
                <w:rFonts w:hint="default" w:ascii="Times New Roman" w:hAnsi="Times New Roman" w:cs="Times New Roman"/>
                <w:color w:val="auto"/>
                <w:highlight w:val="none"/>
              </w:rPr>
            </w:pPr>
            <w:r>
              <w:rPr>
                <w:rFonts w:hint="default" w:ascii="Times New Roman" w:hAnsi="Times New Roman" w:eastAsia="宋体" w:cs="Times New Roman"/>
                <w:b/>
                <w:bCs w:val="0"/>
                <w:color w:val="auto"/>
                <w:highlight w:val="none"/>
              </w:rPr>
              <w:t>新风系统功能：</w:t>
            </w:r>
            <w:r>
              <w:rPr>
                <w:rFonts w:hint="default" w:ascii="Times New Roman" w:hAnsi="Times New Roman" w:eastAsia="宋体" w:cs="Times New Roman"/>
                <w:color w:val="auto"/>
                <w:szCs w:val="24"/>
                <w:highlight w:val="none"/>
              </w:rPr>
              <w:t>①用室外的新鲜空气更新室内由于居住及生活过程而污染了的空气，以保持室内空气的洁净度达到某一最低标准的水平。②增加体内散热及防止由皮肤潮湿引起的不舒适，此类通风可称为热舒适通风。③当室内气温高于室外的气温时，使建筑构件降温，此类通风名为建筑的降温通风。</w:t>
            </w:r>
          </w:p>
          <w:p w14:paraId="373B0374">
            <w:pPr>
              <w:pStyle w:val="157"/>
              <w:pageBreakBefore w:val="0"/>
              <w:kinsoku/>
              <w:overflowPunct/>
              <w:autoSpaceDE/>
              <w:autoSpaceDN/>
              <w:bidi w:val="0"/>
              <w:ind w:firstLine="482"/>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b/>
                <w:bCs w:val="0"/>
                <w:color w:val="auto"/>
                <w:highlight w:val="none"/>
              </w:rPr>
              <w:t>新风系统维护：</w:t>
            </w:r>
            <w:r>
              <w:rPr>
                <w:rFonts w:hint="default" w:ascii="Times New Roman" w:hAnsi="Times New Roman" w:eastAsia="宋体" w:cs="Times New Roman"/>
                <w:color w:val="auto"/>
                <w:highlight w:val="none"/>
              </w:rPr>
              <w:t>新</w:t>
            </w:r>
            <w:r>
              <w:rPr>
                <w:rFonts w:hint="default" w:ascii="Times New Roman" w:hAnsi="Times New Roman" w:eastAsia="宋体" w:cs="Times New Roman"/>
                <w:color w:val="auto"/>
                <w:szCs w:val="24"/>
                <w:highlight w:val="none"/>
              </w:rPr>
              <w:t>风系统的维护首先要考虑的是旅行的更换，这是最主要的一部分，滤芯一般分为静电除尘滤芯和物理过滤滤芯。①静电除尘滤芯不需要更换，只要定期清理就可以了。②物理滤芯一般分为三层：初效滤芯、活性炭过滤和高效过滤。初效过滤滤芯主要过滤空气中较大的灰尘、毛发等物质；活性炭滤网主要吸附空气中的有害气体；高效过滤主要是精准的过滤掉空气中的细菌、病毒、PM</w:t>
            </w:r>
            <w:r>
              <w:rPr>
                <w:rFonts w:hint="default" w:ascii="Times New Roman" w:hAnsi="Times New Roman" w:eastAsia="宋体" w:cs="Times New Roman"/>
                <w:color w:val="auto"/>
                <w:szCs w:val="24"/>
                <w:highlight w:val="none"/>
                <w:vertAlign w:val="subscript"/>
              </w:rPr>
              <w:t>2.5</w:t>
            </w:r>
            <w:r>
              <w:rPr>
                <w:rFonts w:hint="default" w:ascii="Times New Roman" w:hAnsi="Times New Roman" w:eastAsia="宋体" w:cs="Times New Roman"/>
                <w:color w:val="auto"/>
                <w:szCs w:val="24"/>
                <w:highlight w:val="none"/>
              </w:rPr>
              <w:t>和PM</w:t>
            </w:r>
            <w:r>
              <w:rPr>
                <w:rFonts w:hint="default" w:ascii="Times New Roman" w:hAnsi="Times New Roman" w:eastAsia="宋体" w:cs="Times New Roman"/>
                <w:color w:val="auto"/>
                <w:szCs w:val="24"/>
                <w:highlight w:val="none"/>
                <w:vertAlign w:val="subscript"/>
              </w:rPr>
              <w:t>0.3</w:t>
            </w:r>
            <w:r>
              <w:rPr>
                <w:rFonts w:hint="default" w:ascii="Times New Roman" w:hAnsi="Times New Roman" w:eastAsia="宋体" w:cs="Times New Roman"/>
                <w:color w:val="auto"/>
                <w:szCs w:val="24"/>
                <w:highlight w:val="none"/>
              </w:rPr>
              <w:t>等。物理滤芯的更换可由厂家定期更换。</w:t>
            </w:r>
          </w:p>
          <w:p w14:paraId="527EF51D">
            <w:pPr>
              <w:rPr>
                <w:rFonts w:ascii="Times New Roman" w:hAnsi="Times New Roman" w:eastAsia="宋体" w:cs="Times New Roman"/>
                <w:color w:val="auto"/>
              </w:rPr>
            </w:pPr>
          </w:p>
          <w:p w14:paraId="72A60440">
            <w:pPr>
              <w:pStyle w:val="157"/>
              <w:pageBreakBefore w:val="0"/>
              <w:kinsoku/>
              <w:overflowPunct/>
              <w:autoSpaceDE/>
              <w:autoSpaceDN/>
              <w:bidi w:val="0"/>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0" distR="0">
                  <wp:extent cx="3932555" cy="2702560"/>
                  <wp:effectExtent l="0" t="0" r="10795" b="2540"/>
                  <wp:docPr id="126" name="图片 126"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图示, 工程绘图&#10;&#10;描述已自动生成"/>
                          <pic:cNvPicPr>
                            <a:picLocks noChangeAspect="1" noChangeArrowheads="1"/>
                          </pic:cNvPicPr>
                        </pic:nvPicPr>
                        <pic:blipFill>
                          <a:blip r:embed="rId25">
                            <a:extLst>
                              <a:ext uri="{28A0092B-C50C-407E-A947-70E740481C1C}">
                                <a14:useLocalDpi xmlns:a14="http://schemas.microsoft.com/office/drawing/2010/main" val="0"/>
                              </a:ext>
                            </a:extLst>
                          </a:blip>
                          <a:srcRect l="4338"/>
                          <a:stretch>
                            <a:fillRect/>
                          </a:stretch>
                        </pic:blipFill>
                        <pic:spPr>
                          <a:xfrm>
                            <a:off x="0" y="0"/>
                            <a:ext cx="3932555" cy="2702560"/>
                          </a:xfrm>
                          <a:prstGeom prst="rect">
                            <a:avLst/>
                          </a:prstGeom>
                          <a:noFill/>
                          <a:ln>
                            <a:noFill/>
                          </a:ln>
                        </pic:spPr>
                      </pic:pic>
                    </a:graphicData>
                  </a:graphic>
                </wp:inline>
              </w:drawing>
            </w:r>
          </w:p>
          <w:p w14:paraId="31C0CAAF">
            <w:pPr>
              <w:pStyle w:val="157"/>
              <w:pageBreakBefore w:val="0"/>
              <w:kinsoku/>
              <w:overflowPunct/>
              <w:autoSpaceDE/>
              <w:autoSpaceDN/>
              <w:bidi w:val="0"/>
              <w:ind w:firstLine="480"/>
              <w:jc w:val="center"/>
              <w:rPr>
                <w:rFonts w:hint="default" w:ascii="Times New Roman" w:hAnsi="Times New Roman" w:eastAsia="宋体" w:cs="Times New Roman"/>
                <w:color w:val="auto"/>
                <w:szCs w:val="24"/>
                <w:highlight w:val="none"/>
              </w:rPr>
            </w:pPr>
            <w:r>
              <w:rPr>
                <w:rFonts w:hint="default" w:ascii="Times New Roman" w:hAnsi="Times New Roman" w:eastAsia="宋体" w:cs="Times New Roman"/>
                <w:b/>
                <w:color w:val="auto"/>
                <w:kern w:val="2"/>
                <w:sz w:val="24"/>
                <w:szCs w:val="24"/>
                <w:highlight w:val="none"/>
                <w:lang w:val="en-US" w:eastAsia="zh-CN" w:bidi="ar-SA"/>
              </w:rPr>
              <w:t>图4-</w:t>
            </w:r>
            <w:r>
              <w:rPr>
                <w:rFonts w:hint="eastAsia" w:ascii="Times New Roman" w:hAnsi="Times New Roman" w:eastAsia="宋体" w:cs="Times New Roman"/>
                <w:b/>
                <w:color w:val="auto"/>
                <w:kern w:val="2"/>
                <w:sz w:val="24"/>
                <w:szCs w:val="24"/>
                <w:highlight w:val="none"/>
                <w:lang w:val="en-US" w:eastAsia="zh-CN" w:bidi="ar-SA"/>
              </w:rPr>
              <w:t>2</w:t>
            </w:r>
            <w:r>
              <w:rPr>
                <w:rFonts w:hint="default" w:ascii="Times New Roman" w:hAnsi="Times New Roman" w:eastAsia="宋体" w:cs="Times New Roman"/>
                <w:b/>
                <w:color w:val="auto"/>
                <w:kern w:val="2"/>
                <w:sz w:val="24"/>
                <w:szCs w:val="24"/>
                <w:highlight w:val="none"/>
                <w:lang w:val="en-US" w:eastAsia="zh-CN" w:bidi="ar-SA"/>
              </w:rPr>
              <w:t xml:space="preserve">  新风系统原理示意图</w:t>
            </w:r>
          </w:p>
          <w:p w14:paraId="3E8EA897">
            <w:pPr>
              <w:pStyle w:val="4"/>
              <w:pageBreakBefore w:val="0"/>
              <w:numPr>
                <w:ilvl w:val="0"/>
                <w:numId w:val="0"/>
              </w:numPr>
              <w:kinsoku/>
              <w:overflowPunct/>
              <w:autoSpaceDE/>
              <w:autoSpaceDN/>
              <w:bidi w:val="0"/>
              <w:jc w:val="both"/>
              <w:rPr>
                <w:rFonts w:hint="default" w:ascii="Times New Roman" w:hAnsi="Times New Roman" w:cs="Times New Roman"/>
                <w:color w:val="auto"/>
                <w:highlight w:val="none"/>
                <w:lang w:val="en-US"/>
              </w:rPr>
            </w:pPr>
            <w:bookmarkStart w:id="89" w:name="_Toc11151"/>
            <w:bookmarkStart w:id="90" w:name="_Toc23395"/>
            <w:bookmarkStart w:id="91" w:name="_Toc22280"/>
            <w:bookmarkStart w:id="92" w:name="_Toc21387"/>
            <w:r>
              <w:rPr>
                <w:rFonts w:hint="default" w:ascii="Times New Roman" w:hAnsi="Times New Roman" w:cs="Times New Roman"/>
                <w:color w:val="auto"/>
                <w:sz w:val="28"/>
                <w:szCs w:val="28"/>
                <w:highlight w:val="none"/>
                <w:lang w:val="en-US" w:eastAsia="zh-CN"/>
              </w:rPr>
              <w:t xml:space="preserve">4.4 </w:t>
            </w:r>
            <w:bookmarkEnd w:id="89"/>
            <w:bookmarkEnd w:id="90"/>
            <w:bookmarkEnd w:id="91"/>
            <w:bookmarkEnd w:id="92"/>
            <w:r>
              <w:rPr>
                <w:rFonts w:hint="default" w:ascii="Times New Roman" w:hAnsi="Times New Roman" w:cs="Times New Roman"/>
                <w:color w:val="auto"/>
                <w:sz w:val="28"/>
                <w:szCs w:val="28"/>
                <w:highlight w:val="none"/>
                <w:lang w:val="en-US" w:eastAsia="zh-CN"/>
              </w:rPr>
              <w:t>运营期噪声环境影响和保护措施</w:t>
            </w:r>
          </w:p>
          <w:p w14:paraId="57C13411">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运营期间产生的噪声主要来宠物叫声，噪声值约60～75dB(A)。宠物叫声虽然具有不定时性和突发性，但是也具有可控性。一般宠物在饥饿或口渴时以及人为骚扰情况下易烦躁、多动，才会发出叫声。因此工作人员应合理喂食，避免宠物因饥饿或口渴而发出叫声，有效控制宠物活动噪声；同时减少人为的骚扰、驱赶；对病房采取一定的隔声减噪措施。项目产生的噪声经过距离衰减，再经过墙体衰减后[一般可削减10－15dB</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A</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w:t>
            </w:r>
            <w:r>
              <w:rPr>
                <w:rFonts w:hint="eastAsia" w:ascii="Times New Roman" w:hAnsi="Times New Roman" w:eastAsia="宋体" w:cs="Times New Roman"/>
                <w:color w:val="auto"/>
                <w:szCs w:val="24"/>
                <w:highlight w:val="none"/>
                <w:lang w:val="en-US" w:eastAsia="zh-CN"/>
              </w:rPr>
              <w:t>西侧</w:t>
            </w:r>
            <w:r>
              <w:rPr>
                <w:rFonts w:hint="default" w:ascii="Times New Roman" w:hAnsi="Times New Roman" w:eastAsia="宋体" w:cs="Times New Roman"/>
                <w:color w:val="auto"/>
                <w:highlight w:val="none"/>
                <w:lang w:val="en-US" w:eastAsia="zh-CN"/>
              </w:rPr>
              <w:t>边界噪声的排放可符合《社会生活环境噪声排放标准》（GB22337-2008）中表1中的4</w:t>
            </w:r>
            <w:r>
              <w:rPr>
                <w:rFonts w:hint="eastAsia" w:ascii="Times New Roman" w:hAnsi="Times New Roman" w:eastAsia="宋体" w:cs="Times New Roman"/>
                <w:color w:val="auto"/>
                <w:highlight w:val="none"/>
                <w:lang w:val="en-US" w:eastAsia="zh-CN"/>
              </w:rPr>
              <w:t>a</w:t>
            </w:r>
            <w:r>
              <w:rPr>
                <w:rFonts w:hint="default" w:ascii="Times New Roman" w:hAnsi="Times New Roman" w:eastAsia="宋体" w:cs="Times New Roman"/>
                <w:color w:val="auto"/>
                <w:highlight w:val="none"/>
                <w:lang w:val="en-US" w:eastAsia="zh-CN"/>
              </w:rPr>
              <w:t>类标准，其余</w:t>
            </w:r>
            <w:r>
              <w:rPr>
                <w:rFonts w:hint="default" w:ascii="Times New Roman" w:hAnsi="Times New Roman" w:eastAsia="宋体" w:cs="Times New Roman"/>
                <w:color w:val="auto"/>
                <w:szCs w:val="24"/>
                <w:highlight w:val="none"/>
              </w:rPr>
              <w:t>边界噪声的排放可符合《社会生活环境噪声排放标准》</w:t>
            </w:r>
            <w:r>
              <w:rPr>
                <w:rFonts w:hint="eastAsia" w:ascii="Times New Roman" w:hAnsi="Times New Roman" w:eastAsia="宋体" w:cs="Times New Roman"/>
                <w:color w:val="auto"/>
                <w:szCs w:val="24"/>
                <w:highlight w:val="none"/>
                <w:lang w:val="en-US" w:eastAsia="zh-CN"/>
              </w:rPr>
              <w:t xml:space="preserve"> </w:t>
            </w:r>
            <w:r>
              <w:rPr>
                <w:rFonts w:hint="default" w:ascii="Times New Roman" w:hAnsi="Times New Roman" w:eastAsia="宋体" w:cs="Times New Roman"/>
                <w:color w:val="auto"/>
                <w:szCs w:val="24"/>
                <w:highlight w:val="none"/>
              </w:rPr>
              <w:t>（GB22337-2008）中表1中的2类标准，对周围环境的影响不大。</w:t>
            </w:r>
          </w:p>
          <w:p w14:paraId="1909CA39">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项目位于沿街店面，交通噪声影响是主要噪声源，</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的噪声影响对周边小区居民造成的影响可忽略不计。综上所述，项目经人为控制能最大限度降低对项目</w:t>
            </w:r>
            <w:r>
              <w:rPr>
                <w:rFonts w:hint="eastAsia" w:ascii="Times New Roman" w:hAnsi="Times New Roman" w:eastAsia="宋体" w:cs="Times New Roman"/>
                <w:color w:val="auto"/>
                <w:szCs w:val="24"/>
                <w:highlight w:val="none"/>
                <w:lang w:val="en-US" w:eastAsia="zh-CN"/>
              </w:rPr>
              <w:t>周边住宅楼</w:t>
            </w:r>
            <w:r>
              <w:rPr>
                <w:rFonts w:hint="default" w:ascii="Times New Roman" w:hAnsi="Times New Roman" w:eastAsia="宋体" w:cs="Times New Roman"/>
                <w:color w:val="auto"/>
                <w:szCs w:val="24"/>
                <w:highlight w:val="none"/>
              </w:rPr>
              <w:t>居民产生的影响。</w:t>
            </w:r>
          </w:p>
          <w:p w14:paraId="1236D153">
            <w:pPr>
              <w:pStyle w:val="157"/>
              <w:keepNext w:val="0"/>
              <w:keepLines w:val="0"/>
              <w:pageBreakBefore w:val="0"/>
              <w:widowControl/>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b/>
                <w:bCs w:val="0"/>
                <w:color w:val="auto"/>
                <w:sz w:val="28"/>
                <w:szCs w:val="28"/>
                <w:highlight w:val="none"/>
                <w:lang w:val="en-US" w:eastAsia="zh-CN"/>
              </w:rPr>
            </w:pPr>
            <w:r>
              <w:rPr>
                <w:rFonts w:hint="default" w:ascii="Times New Roman" w:hAnsi="Times New Roman" w:eastAsia="宋体" w:cs="Times New Roman"/>
                <w:b/>
                <w:bCs w:val="0"/>
                <w:color w:val="auto"/>
                <w:sz w:val="28"/>
                <w:szCs w:val="28"/>
                <w:highlight w:val="none"/>
                <w:lang w:val="en-US" w:eastAsia="zh-CN"/>
              </w:rPr>
              <w:t>4.5 固体废物环境影响和保护措施</w:t>
            </w:r>
          </w:p>
          <w:bookmarkEnd w:id="86"/>
          <w:bookmarkEnd w:id="87"/>
          <w:bookmarkEnd w:id="88"/>
          <w:p w14:paraId="01108C67">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运营期所产生的固体废物主要来自医疗废物、废水处理污泥</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员工</w:t>
            </w:r>
            <w:r>
              <w:rPr>
                <w:rFonts w:hint="default" w:ascii="Times New Roman" w:hAnsi="Times New Roman" w:eastAsia="宋体" w:cs="Times New Roman"/>
                <w:color w:val="auto"/>
                <w:szCs w:val="24"/>
                <w:highlight w:val="none"/>
              </w:rPr>
              <w:t>产生的生活垃圾。</w:t>
            </w:r>
          </w:p>
          <w:p w14:paraId="1EC2C590">
            <w:pPr>
              <w:pStyle w:val="157"/>
              <w:pageBreakBefore w:val="0"/>
              <w:kinsoku/>
              <w:overflowPunct/>
              <w:autoSpaceDE/>
              <w:autoSpaceDN/>
              <w:bidi w:val="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生活垃圾</w:t>
            </w:r>
          </w:p>
          <w:p w14:paraId="306FF1BF">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聘用</w:t>
            </w:r>
            <w:r>
              <w:rPr>
                <w:rFonts w:hint="eastAsia" w:ascii="Times New Roman" w:hAnsi="Times New Roman" w:eastAsia="宋体" w:cs="Times New Roman"/>
                <w:color w:val="auto"/>
                <w:szCs w:val="24"/>
                <w:highlight w:val="none"/>
                <w:lang w:eastAsia="zh-CN"/>
              </w:rPr>
              <w:t>员工</w:t>
            </w:r>
            <w:r>
              <w:rPr>
                <w:rFonts w:hint="eastAsia" w:ascii="Times New Roman" w:hAnsi="Times New Roman" w:eastAsia="宋体" w:cs="Times New Roman"/>
                <w:color w:val="auto"/>
                <w:szCs w:val="24"/>
                <w:highlight w:val="none"/>
                <w:lang w:val="en-US" w:eastAsia="zh-CN"/>
              </w:rPr>
              <w:t>5</w:t>
            </w:r>
            <w:r>
              <w:rPr>
                <w:rFonts w:hint="eastAsia" w:ascii="Times New Roman" w:hAnsi="Times New Roman" w:eastAsia="宋体" w:cs="Times New Roman"/>
                <w:color w:val="auto"/>
                <w:szCs w:val="24"/>
                <w:highlight w:val="none"/>
                <w:lang w:eastAsia="zh-CN"/>
              </w:rPr>
              <w:t>人</w:t>
            </w:r>
            <w:r>
              <w:rPr>
                <w:rFonts w:hint="default" w:ascii="Times New Roman" w:hAnsi="Times New Roman" w:eastAsia="宋体" w:cs="Times New Roman"/>
                <w:color w:val="auto"/>
                <w:szCs w:val="24"/>
                <w:highlight w:val="none"/>
              </w:rPr>
              <w:t>，均无住宿，年工作日</w:t>
            </w:r>
            <w:r>
              <w:rPr>
                <w:rFonts w:hint="eastAsia" w:ascii="Times New Roman" w:hAnsi="Times New Roman" w:eastAsia="宋体" w:cs="Times New Roman"/>
                <w:color w:val="auto"/>
                <w:szCs w:val="24"/>
                <w:highlight w:val="none"/>
                <w:lang w:val="en-US" w:eastAsia="zh-CN"/>
              </w:rPr>
              <w:t>360</w:t>
            </w:r>
            <w:r>
              <w:rPr>
                <w:rFonts w:hint="default" w:ascii="Times New Roman" w:hAnsi="Times New Roman" w:eastAsia="宋体" w:cs="Times New Roman"/>
                <w:color w:val="auto"/>
                <w:szCs w:val="24"/>
                <w:highlight w:val="none"/>
              </w:rPr>
              <w:t>天。项目区生活垃圾量按0.5kg/人·d，则项目产生的生活垃圾产生量约为</w:t>
            </w:r>
            <w:r>
              <w:rPr>
                <w:rFonts w:hint="eastAsia" w:ascii="Times New Roman" w:hAnsi="Times New Roman" w:eastAsia="宋体" w:cs="Times New Roman"/>
                <w:color w:val="auto"/>
                <w:szCs w:val="24"/>
                <w:highlight w:val="none"/>
                <w:lang w:val="en-US" w:eastAsia="zh-CN"/>
              </w:rPr>
              <w:t>2.50</w:t>
            </w:r>
            <w:r>
              <w:rPr>
                <w:rFonts w:hint="default" w:ascii="Times New Roman" w:hAnsi="Times New Roman" w:eastAsia="宋体" w:cs="Times New Roman"/>
                <w:color w:val="auto"/>
                <w:szCs w:val="24"/>
                <w:highlight w:val="none"/>
              </w:rPr>
              <w:t>kg/d，即</w:t>
            </w:r>
            <w:r>
              <w:rPr>
                <w:rFonts w:hint="eastAsia" w:ascii="Times New Roman" w:hAnsi="Times New Roman" w:eastAsia="宋体" w:cs="Times New Roman"/>
                <w:color w:val="auto"/>
                <w:szCs w:val="24"/>
                <w:highlight w:val="none"/>
                <w:lang w:val="en-US" w:eastAsia="zh-CN"/>
              </w:rPr>
              <w:t>0.90</w:t>
            </w:r>
            <w:r>
              <w:rPr>
                <w:rFonts w:hint="default" w:ascii="Times New Roman" w:hAnsi="Times New Roman" w:eastAsia="宋体" w:cs="Times New Roman"/>
                <w:color w:val="auto"/>
                <w:szCs w:val="24"/>
                <w:highlight w:val="none"/>
              </w:rPr>
              <w:t>t/a。</w:t>
            </w:r>
          </w:p>
          <w:p w14:paraId="01B830A0">
            <w:pPr>
              <w:pStyle w:val="157"/>
              <w:pageBreakBefore w:val="0"/>
              <w:numPr>
                <w:ilvl w:val="0"/>
                <w:numId w:val="8"/>
              </w:numPr>
              <w:kinsoku/>
              <w:overflowPunct/>
              <w:autoSpaceDE/>
              <w:autoSpaceDN/>
              <w:bidi w:val="0"/>
              <w:ind w:left="0" w:leftChars="0" w:firstLine="480" w:firstLineChars="20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szCs w:val="24"/>
                <w:highlight w:val="none"/>
                <w:lang w:val="en-US" w:eastAsia="zh-CN"/>
              </w:rPr>
              <w:t>医疗废物</w:t>
            </w:r>
          </w:p>
          <w:p w14:paraId="2FD39839">
            <w:pPr>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bCs/>
                <w:color w:val="auto"/>
                <w:kern w:val="2"/>
                <w:sz w:val="24"/>
                <w:szCs w:val="28"/>
                <w:highlight w:val="none"/>
                <w:lang w:val="en-US" w:eastAsia="zh-CN" w:bidi="ar-SA"/>
              </w:rPr>
              <w:t>宠物医院在给宠物动手术过程中，会产生少量医疗废物。本项目为宠物医院项目，主管部门为农业部门，属于动物农业板块。医疗废物作为危险废物管理</w:t>
            </w:r>
            <w:r>
              <w:rPr>
                <w:rFonts w:hint="default" w:ascii="Times New Roman" w:hAnsi="Times New Roman" w:eastAsia="宋体" w:cs="Times New Roman"/>
                <w:bCs/>
                <w:color w:val="auto"/>
                <w:kern w:val="2"/>
                <w:sz w:val="24"/>
                <w:szCs w:val="28"/>
                <w:highlight w:val="none"/>
                <w:lang w:val="en-US" w:eastAsia="zh-CN" w:bidi="ar-SA"/>
              </w:rPr>
              <w:t>。医疗废物已列入《国家危险废物名录（2021年版）》（HW01危废代码），应委托有资质的单位处理。</w:t>
            </w:r>
            <w:r>
              <w:rPr>
                <w:rFonts w:hint="eastAsia" w:cs="Times New Roman"/>
                <w:color w:val="auto"/>
                <w:sz w:val="24"/>
                <w:szCs w:val="24"/>
                <w:highlight w:val="none"/>
                <w:lang w:val="en-US" w:eastAsia="zh-CN"/>
              </w:rPr>
              <w:t>检验设备头道清洗废水</w:t>
            </w:r>
            <w:r>
              <w:rPr>
                <w:rFonts w:hint="default" w:ascii="Times New Roman" w:hAnsi="Times New Roman" w:eastAsia="宋体" w:cs="Times New Roman"/>
                <w:b w:val="0"/>
                <w:bCs/>
                <w:color w:val="auto"/>
                <w:kern w:val="2"/>
                <w:sz w:val="24"/>
                <w:szCs w:val="24"/>
                <w:highlight w:val="none"/>
                <w:lang w:val="en-US" w:eastAsia="zh-CN"/>
              </w:rPr>
              <w:t>为实验废弃物属于《国家危险废物名录（2021年版）》中规定的</w:t>
            </w:r>
            <w:r>
              <w:rPr>
                <w:rFonts w:hint="eastAsia" w:ascii="Times New Roman" w:hAnsi="Times New Roman" w:eastAsia="宋体" w:cs="Times New Roman"/>
                <w:b w:val="0"/>
                <w:bCs/>
                <w:color w:val="auto"/>
                <w:kern w:val="2"/>
                <w:sz w:val="24"/>
                <w:szCs w:val="24"/>
                <w:highlight w:val="none"/>
                <w:lang w:val="en-US" w:eastAsia="zh-CN"/>
              </w:rPr>
              <w:t>“</w:t>
            </w:r>
            <w:r>
              <w:rPr>
                <w:rFonts w:hint="default" w:ascii="Times New Roman" w:hAnsi="Times New Roman" w:eastAsia="宋体" w:cs="Times New Roman"/>
                <w:b w:val="0"/>
                <w:bCs/>
                <w:color w:val="auto"/>
                <w:kern w:val="2"/>
                <w:sz w:val="24"/>
                <w:szCs w:val="24"/>
                <w:highlight w:val="none"/>
                <w:lang w:val="en-US" w:eastAsia="zh-CN"/>
              </w:rPr>
              <w:t>HW49其他废物</w:t>
            </w:r>
            <w:r>
              <w:rPr>
                <w:rFonts w:hint="eastAsia" w:ascii="Times New Roman" w:hAnsi="Times New Roman" w:eastAsia="宋体" w:cs="Times New Roman"/>
                <w:b w:val="0"/>
                <w:bCs/>
                <w:color w:val="auto"/>
                <w:kern w:val="2"/>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，由有资质单位定期处理。</w:t>
            </w:r>
          </w:p>
          <w:p w14:paraId="5447BBC6">
            <w:pPr>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根据查阅相关资料及同类项目运行经验，医疗废物产生量约为0.2</w:t>
            </w:r>
            <w:r>
              <w:rPr>
                <w:rFonts w:hint="eastAsia" w:cs="Times New Roman"/>
                <w:b w:val="0"/>
                <w:bCs/>
                <w:color w:val="auto"/>
                <w:sz w:val="24"/>
                <w:szCs w:val="24"/>
                <w:highlight w:val="none"/>
                <w:lang w:val="en-US" w:eastAsia="zh-CN"/>
              </w:rPr>
              <w:t>0</w:t>
            </w:r>
            <w:r>
              <w:rPr>
                <w:rFonts w:hint="default" w:ascii="Times New Roman" w:hAnsi="Times New Roman" w:eastAsia="宋体" w:cs="Times New Roman"/>
                <w:b w:val="0"/>
                <w:bCs/>
                <w:color w:val="auto"/>
                <w:sz w:val="24"/>
                <w:szCs w:val="24"/>
                <w:highlight w:val="none"/>
                <w:lang w:val="en-US" w:eastAsia="zh-CN"/>
              </w:rPr>
              <w:t>kg/只•d，就诊宠物按1</w:t>
            </w:r>
            <w:r>
              <w:rPr>
                <w:rFonts w:hint="eastAsia" w:cs="Times New Roman"/>
                <w:b w:val="0"/>
                <w:bCs/>
                <w:color w:val="auto"/>
                <w:sz w:val="24"/>
                <w:szCs w:val="24"/>
                <w:highlight w:val="none"/>
                <w:lang w:val="en-US" w:eastAsia="zh-CN"/>
              </w:rPr>
              <w:t>0</w:t>
            </w:r>
            <w:r>
              <w:rPr>
                <w:rFonts w:hint="default" w:ascii="Times New Roman" w:hAnsi="Times New Roman" w:eastAsia="宋体" w:cs="Times New Roman"/>
                <w:b w:val="0"/>
                <w:bCs/>
                <w:color w:val="auto"/>
                <w:sz w:val="24"/>
                <w:szCs w:val="24"/>
                <w:highlight w:val="none"/>
                <w:lang w:val="en-US" w:eastAsia="zh-CN"/>
              </w:rPr>
              <w:t>只/d计，则医疗废物年产生量为</w:t>
            </w:r>
            <w:r>
              <w:rPr>
                <w:rFonts w:hint="eastAsia" w:cs="Times New Roman"/>
                <w:b w:val="0"/>
                <w:bCs/>
                <w:color w:val="auto"/>
                <w:sz w:val="24"/>
                <w:szCs w:val="24"/>
                <w:highlight w:val="none"/>
                <w:lang w:val="en-US" w:eastAsia="zh-CN"/>
              </w:rPr>
              <w:t>0.72</w:t>
            </w:r>
            <w:r>
              <w:rPr>
                <w:rFonts w:hint="default" w:ascii="Times New Roman" w:hAnsi="Times New Roman" w:eastAsia="宋体" w:cs="Times New Roman"/>
                <w:b w:val="0"/>
                <w:bCs/>
                <w:color w:val="auto"/>
                <w:sz w:val="24"/>
                <w:szCs w:val="24"/>
                <w:highlight w:val="none"/>
                <w:lang w:val="en-US" w:eastAsia="zh-CN"/>
              </w:rPr>
              <w:t>t/a。项目产生的危险废物，分类收集，暂存于危废间内，定期交由有资质的单位清运处置。</w:t>
            </w:r>
          </w:p>
          <w:p w14:paraId="0BF63204">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污水处理污泥</w:t>
            </w:r>
          </w:p>
          <w:p w14:paraId="270FFA94">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项目</w:t>
            </w:r>
            <w:r>
              <w:rPr>
                <w:rFonts w:hint="eastAsia" w:ascii="Times New Roman" w:hAnsi="Times New Roman" w:eastAsia="宋体" w:cs="Times New Roman"/>
                <w:color w:val="auto"/>
                <w:szCs w:val="24"/>
                <w:highlight w:val="none"/>
                <w:lang w:val="en-US" w:eastAsia="zh-CN"/>
              </w:rPr>
              <w:t>消毒设备</w:t>
            </w:r>
            <w:r>
              <w:rPr>
                <w:rFonts w:hint="default" w:ascii="Times New Roman" w:hAnsi="Times New Roman" w:eastAsia="宋体" w:cs="Times New Roman"/>
                <w:color w:val="auto"/>
                <w:szCs w:val="24"/>
                <w:highlight w:val="none"/>
              </w:rPr>
              <w:t>产生的污泥含有病原微生物</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医院</w:t>
            </w:r>
            <w:r>
              <w:rPr>
                <w:rFonts w:hint="eastAsia" w:ascii="Times New Roman" w:hAnsi="Times New Roman" w:eastAsia="宋体" w:cs="Times New Roman"/>
                <w:color w:val="auto"/>
                <w:szCs w:val="24"/>
                <w:highlight w:val="none"/>
                <w:lang w:eastAsia="zh-CN"/>
              </w:rPr>
              <w:t>消毒设备</w:t>
            </w:r>
            <w:r>
              <w:rPr>
                <w:rFonts w:hint="default" w:ascii="Times New Roman" w:hAnsi="Times New Roman" w:eastAsia="宋体" w:cs="Times New Roman"/>
                <w:color w:val="auto"/>
                <w:szCs w:val="24"/>
                <w:highlight w:val="none"/>
              </w:rPr>
              <w:t>处理的污水量为</w:t>
            </w:r>
            <w:r>
              <w:rPr>
                <w:rFonts w:hint="eastAsia" w:ascii="Times New Roman" w:hAnsi="Times New Roman" w:eastAsia="宋体" w:cs="Times New Roman"/>
                <w:color w:val="auto"/>
                <w:szCs w:val="24"/>
                <w:highlight w:val="none"/>
                <w:lang w:val="en-US" w:eastAsia="zh-CN"/>
              </w:rPr>
              <w:t>216.36</w:t>
            </w:r>
            <w:r>
              <w:rPr>
                <w:rFonts w:hint="default" w:ascii="Times New Roman" w:hAnsi="Times New Roman" w:eastAsia="宋体" w:cs="Times New Roman"/>
                <w:color w:val="auto"/>
                <w:szCs w:val="24"/>
                <w:highlight w:val="none"/>
              </w:rPr>
              <w:t>t/a，污泥产生系数按0.1</w:t>
            </w:r>
            <w:r>
              <w:rPr>
                <w:rFonts w:hint="eastAsia" w:ascii="Times New Roman" w:hAnsi="Times New Roman" w:eastAsia="宋体" w:cs="Times New Roman"/>
                <w:color w:val="auto"/>
                <w:szCs w:val="24"/>
                <w:highlight w:val="none"/>
                <w:lang w:val="en-US" w:eastAsia="zh-CN"/>
              </w:rPr>
              <w:t>0</w:t>
            </w:r>
            <w:r>
              <w:rPr>
                <w:rFonts w:hint="default" w:ascii="Times New Roman" w:hAnsi="Times New Roman" w:eastAsia="宋体" w:cs="Times New Roman"/>
                <w:color w:val="auto"/>
                <w:szCs w:val="24"/>
                <w:highlight w:val="none"/>
              </w:rPr>
              <w:t>kg污泥/t废水计，则该医院污泥产生量约为</w:t>
            </w:r>
            <w:r>
              <w:rPr>
                <w:rFonts w:hint="eastAsia" w:ascii="Times New Roman" w:hAnsi="Times New Roman" w:eastAsia="宋体" w:cs="Times New Roman"/>
                <w:color w:val="auto"/>
                <w:szCs w:val="24"/>
                <w:highlight w:val="none"/>
                <w:lang w:val="en-US" w:eastAsia="zh-CN"/>
              </w:rPr>
              <w:t>0.02164</w:t>
            </w:r>
            <w:r>
              <w:rPr>
                <w:rFonts w:hint="default" w:ascii="Times New Roman" w:hAnsi="Times New Roman" w:eastAsia="宋体" w:cs="Times New Roman"/>
                <w:color w:val="auto"/>
                <w:szCs w:val="24"/>
                <w:highlight w:val="none"/>
              </w:rPr>
              <w:t>t/a，属于《国家危险废物名录（2021年版）》中的危废（HW01危废代码：831-001-01），</w:t>
            </w:r>
            <w:r>
              <w:rPr>
                <w:rFonts w:hint="eastAsia" w:ascii="Times New Roman" w:hAnsi="Times New Roman" w:eastAsia="宋体" w:cs="Times New Roman"/>
                <w:color w:val="auto"/>
                <w:szCs w:val="24"/>
                <w:highlight w:val="none"/>
                <w:lang w:val="en-US" w:eastAsia="zh-CN"/>
              </w:rPr>
              <w:t>每3天～5天</w:t>
            </w:r>
            <w:r>
              <w:rPr>
                <w:rFonts w:hint="eastAsia" w:ascii="Times New Roman" w:hAnsi="Times New Roman" w:eastAsia="宋体" w:cs="Times New Roman"/>
                <w:color w:val="auto"/>
                <w:szCs w:val="24"/>
                <w:highlight w:val="none"/>
                <w:lang w:eastAsia="zh-CN"/>
              </w:rPr>
              <w:t>排渣一次</w:t>
            </w:r>
            <w:r>
              <w:rPr>
                <w:rFonts w:hint="default" w:ascii="Times New Roman" w:hAnsi="Times New Roman" w:eastAsia="宋体" w:cs="Times New Roman"/>
                <w:color w:val="auto"/>
                <w:szCs w:val="24"/>
                <w:highlight w:val="none"/>
              </w:rPr>
              <w:t>，交由有资质的单位安全处置。</w:t>
            </w:r>
          </w:p>
          <w:p w14:paraId="1E95B344">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危险废物汇总表详见表4-</w:t>
            </w:r>
            <w:r>
              <w:rPr>
                <w:rFonts w:hint="eastAsia" w:ascii="Times New Roman" w:hAnsi="Times New Roman" w:eastAsia="宋体" w:cs="Times New Roman"/>
                <w:color w:val="auto"/>
                <w:szCs w:val="24"/>
                <w:highlight w:val="none"/>
                <w:lang w:val="en-US" w:eastAsia="zh-CN"/>
              </w:rPr>
              <w:t>5</w:t>
            </w:r>
            <w:r>
              <w:rPr>
                <w:rFonts w:hint="default" w:ascii="Times New Roman" w:hAnsi="Times New Roman" w:eastAsia="宋体" w:cs="Times New Roman"/>
                <w:color w:val="auto"/>
                <w:szCs w:val="24"/>
                <w:highlight w:val="none"/>
              </w:rPr>
              <w:t>，项目危险废物贮存场所（设施）基本情况详见4</w:t>
            </w:r>
            <w:r>
              <w:rPr>
                <w:rFonts w:hint="eastAsia" w:ascii="Times New Roman" w:hAnsi="Times New Roman" w:eastAsia="宋体" w:cs="Times New Roman"/>
                <w:color w:val="auto"/>
                <w:szCs w:val="24"/>
                <w:highlight w:val="none"/>
                <w:lang w:val="en-US" w:eastAsia="zh-CN"/>
              </w:rPr>
              <w:t>-6</w:t>
            </w:r>
            <w:r>
              <w:rPr>
                <w:rFonts w:hint="default" w:ascii="Times New Roman" w:hAnsi="Times New Roman" w:eastAsia="宋体" w:cs="Times New Roman"/>
                <w:color w:val="auto"/>
                <w:szCs w:val="24"/>
                <w:highlight w:val="none"/>
              </w:rPr>
              <w:t>。</w:t>
            </w:r>
          </w:p>
          <w:p w14:paraId="6846FD18">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固体废物产生及处置情况一览表见表4-</w:t>
            </w:r>
            <w:r>
              <w:rPr>
                <w:rFonts w:hint="eastAsia" w:ascii="Times New Roman" w:hAnsi="Times New Roman" w:eastAsia="宋体" w:cs="Times New Roman"/>
                <w:color w:val="auto"/>
                <w:szCs w:val="24"/>
                <w:highlight w:val="none"/>
                <w:lang w:val="en-US" w:eastAsia="zh-CN"/>
              </w:rPr>
              <w:t>7</w:t>
            </w:r>
            <w:r>
              <w:rPr>
                <w:rFonts w:hint="default" w:ascii="Times New Roman" w:hAnsi="Times New Roman" w:eastAsia="宋体" w:cs="Times New Roman"/>
                <w:color w:val="auto"/>
                <w:szCs w:val="24"/>
                <w:highlight w:val="none"/>
              </w:rPr>
              <w:t>。</w:t>
            </w:r>
          </w:p>
          <w:p w14:paraId="57A79185">
            <w:pPr>
              <w:pStyle w:val="198"/>
              <w:keepNext w:val="0"/>
              <w:keepLines w:val="0"/>
              <w:pageBreakBefore w:val="0"/>
              <w:widowControl w:val="0"/>
              <w:kinsoku/>
              <w:wordWrap/>
              <w:overflowPunct/>
              <w:topLinePunct w:val="0"/>
              <w:autoSpaceDE/>
              <w:autoSpaceDN/>
              <w:bidi w:val="0"/>
              <w:adjustRightInd/>
              <w:snapToGrid/>
              <w:spacing w:before="185" w:beforeLines="50" w:after="185" w:afterLines="50" w:line="240" w:lineRule="auto"/>
              <w:jc w:val="center"/>
              <w:textAlignment w:val="auto"/>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表4-</w:t>
            </w:r>
            <w:r>
              <w:rPr>
                <w:rFonts w:hint="eastAsia" w:ascii="Times New Roman" w:hAnsi="Times New Roman" w:cs="Times New Roman"/>
                <w:color w:val="auto"/>
                <w:szCs w:val="32"/>
                <w:highlight w:val="none"/>
                <w:lang w:val="en-US" w:eastAsia="zh-CN"/>
              </w:rPr>
              <w:t>5</w:t>
            </w:r>
            <w:r>
              <w:rPr>
                <w:rFonts w:hint="default" w:ascii="Times New Roman" w:hAnsi="Times New Roman" w:cs="Times New Roman"/>
                <w:color w:val="auto"/>
                <w:szCs w:val="32"/>
                <w:highlight w:val="none"/>
              </w:rPr>
              <w:t xml:space="preserve"> 项目危险废物汇总表</w:t>
            </w:r>
          </w:p>
          <w:tbl>
            <w:tblPr>
              <w:tblStyle w:val="50"/>
              <w:tblpPr w:leftFromText="180" w:rightFromText="180" w:vertAnchor="text" w:horzAnchor="page" w:tblpX="74" w:tblpY="439"/>
              <w:tblOverlap w:val="never"/>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63"/>
              <w:gridCol w:w="786"/>
              <w:gridCol w:w="1197"/>
              <w:gridCol w:w="899"/>
              <w:gridCol w:w="748"/>
              <w:gridCol w:w="636"/>
              <w:gridCol w:w="698"/>
              <w:gridCol w:w="636"/>
              <w:gridCol w:w="431"/>
              <w:gridCol w:w="640"/>
              <w:gridCol w:w="788"/>
            </w:tblGrid>
            <w:tr w14:paraId="336DAF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8" w:hRule="atLeast"/>
              </w:trPr>
              <w:tc>
                <w:tcPr>
                  <w:tcW w:w="258" w:type="pct"/>
                  <w:vAlign w:val="center"/>
                </w:tcPr>
                <w:p w14:paraId="438D848D">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序号</w:t>
                  </w:r>
                </w:p>
              </w:tc>
              <w:tc>
                <w:tcPr>
                  <w:tcW w:w="283" w:type="pct"/>
                  <w:vAlign w:val="center"/>
                </w:tcPr>
                <w:p w14:paraId="67E1097D">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名称</w:t>
                  </w:r>
                </w:p>
              </w:tc>
              <w:tc>
                <w:tcPr>
                  <w:tcW w:w="475" w:type="pct"/>
                  <w:vAlign w:val="center"/>
                </w:tcPr>
                <w:p w14:paraId="7E75EBF5">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危险废物类别</w:t>
                  </w:r>
                </w:p>
              </w:tc>
              <w:tc>
                <w:tcPr>
                  <w:tcW w:w="721" w:type="pct"/>
                  <w:vAlign w:val="center"/>
                </w:tcPr>
                <w:p w14:paraId="4F3702D5">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危险废物代码</w:t>
                  </w:r>
                </w:p>
              </w:tc>
              <w:tc>
                <w:tcPr>
                  <w:tcW w:w="541" w:type="pct"/>
                  <w:vAlign w:val="center"/>
                </w:tcPr>
                <w:p w14:paraId="16EA3E3F">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产生量t/a</w:t>
                  </w:r>
                </w:p>
              </w:tc>
              <w:tc>
                <w:tcPr>
                  <w:tcW w:w="453" w:type="pct"/>
                  <w:vAlign w:val="center"/>
                </w:tcPr>
                <w:p w14:paraId="7EB6C77E">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产生工序及装置</w:t>
                  </w:r>
                </w:p>
              </w:tc>
              <w:tc>
                <w:tcPr>
                  <w:tcW w:w="333" w:type="pct"/>
                  <w:vAlign w:val="center"/>
                </w:tcPr>
                <w:p w14:paraId="25896217">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形态</w:t>
                  </w:r>
                </w:p>
              </w:tc>
              <w:tc>
                <w:tcPr>
                  <w:tcW w:w="422" w:type="pct"/>
                  <w:vAlign w:val="center"/>
                </w:tcPr>
                <w:p w14:paraId="1FC986B5">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主要成分</w:t>
                  </w:r>
                </w:p>
              </w:tc>
              <w:tc>
                <w:tcPr>
                  <w:tcW w:w="383" w:type="pct"/>
                  <w:vAlign w:val="center"/>
                </w:tcPr>
                <w:p w14:paraId="6173C25D">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有害</w:t>
                  </w:r>
                </w:p>
                <w:p w14:paraId="256144AD">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成分</w:t>
                  </w:r>
                </w:p>
              </w:tc>
              <w:tc>
                <w:tcPr>
                  <w:tcW w:w="264" w:type="pct"/>
                  <w:vAlign w:val="center"/>
                </w:tcPr>
                <w:p w14:paraId="58D67018">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产废周期</w:t>
                  </w:r>
                </w:p>
              </w:tc>
              <w:tc>
                <w:tcPr>
                  <w:tcW w:w="387" w:type="pct"/>
                  <w:vAlign w:val="center"/>
                </w:tcPr>
                <w:p w14:paraId="5A51ED91">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危险特性</w:t>
                  </w:r>
                </w:p>
              </w:tc>
              <w:tc>
                <w:tcPr>
                  <w:tcW w:w="476" w:type="pct"/>
                  <w:vAlign w:val="center"/>
                </w:tcPr>
                <w:p w14:paraId="1746E86D">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污染防治措施</w:t>
                  </w:r>
                </w:p>
              </w:tc>
            </w:tr>
            <w:tr w14:paraId="63D38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1" w:hRule="atLeast"/>
              </w:trPr>
              <w:tc>
                <w:tcPr>
                  <w:tcW w:w="258" w:type="pct"/>
                  <w:vAlign w:val="center"/>
                </w:tcPr>
                <w:p w14:paraId="5516A4AE">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1</w:t>
                  </w:r>
                </w:p>
              </w:tc>
              <w:tc>
                <w:tcPr>
                  <w:tcW w:w="283" w:type="pct"/>
                  <w:vAlign w:val="center"/>
                </w:tcPr>
                <w:p w14:paraId="70358DF3">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医疗废物</w:t>
                  </w:r>
                </w:p>
              </w:tc>
              <w:tc>
                <w:tcPr>
                  <w:tcW w:w="475" w:type="pct"/>
                  <w:vAlign w:val="center"/>
                </w:tcPr>
                <w:p w14:paraId="721124CB">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HW01</w:t>
                  </w:r>
                </w:p>
              </w:tc>
              <w:tc>
                <w:tcPr>
                  <w:tcW w:w="721" w:type="pct"/>
                  <w:vAlign w:val="center"/>
                </w:tcPr>
                <w:p w14:paraId="127EA722">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详见表</w:t>
                  </w:r>
                  <w:r>
                    <w:rPr>
                      <w:rFonts w:hint="eastAsia" w:ascii="Times New Roman" w:hAnsi="Times New Roman" w:eastAsia="宋体" w:cs="Times New Roman"/>
                      <w:color w:val="auto"/>
                      <w:highlight w:val="none"/>
                      <w:lang w:val="en-US" w:eastAsia="zh-CN"/>
                    </w:rPr>
                    <w:t>4-7</w:t>
                  </w:r>
                </w:p>
              </w:tc>
              <w:tc>
                <w:tcPr>
                  <w:tcW w:w="541" w:type="pct"/>
                  <w:vAlign w:val="center"/>
                </w:tcPr>
                <w:p w14:paraId="51419926">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rPr>
                  </w:pPr>
                  <w:r>
                    <w:rPr>
                      <w:rFonts w:hint="eastAsia" w:ascii="Times New Roman" w:hAnsi="Times New Roman" w:eastAsia="宋体" w:cs="Times New Roman"/>
                      <w:color w:val="auto"/>
                      <w:szCs w:val="24"/>
                      <w:highlight w:val="none"/>
                      <w:lang w:val="en-US" w:eastAsia="zh-CN"/>
                    </w:rPr>
                    <w:t>0.72</w:t>
                  </w:r>
                </w:p>
              </w:tc>
              <w:tc>
                <w:tcPr>
                  <w:tcW w:w="453" w:type="pct"/>
                  <w:vAlign w:val="center"/>
                </w:tcPr>
                <w:p w14:paraId="48BB4B84">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诊疗过程</w:t>
                  </w:r>
                </w:p>
              </w:tc>
              <w:tc>
                <w:tcPr>
                  <w:tcW w:w="333" w:type="pct"/>
                  <w:vAlign w:val="center"/>
                </w:tcPr>
                <w:p w14:paraId="38CDDA45">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固态、液体</w:t>
                  </w:r>
                </w:p>
              </w:tc>
              <w:tc>
                <w:tcPr>
                  <w:tcW w:w="422" w:type="pct"/>
                  <w:vAlign w:val="center"/>
                </w:tcPr>
                <w:p w14:paraId="419C4D41">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锐器、药物废物、细胞毒废物、化</w:t>
                  </w:r>
                </w:p>
                <w:p w14:paraId="0498E516">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学性废物、医疗病理性废物等</w:t>
                  </w:r>
                </w:p>
              </w:tc>
              <w:tc>
                <w:tcPr>
                  <w:tcW w:w="383" w:type="pct"/>
                  <w:vAlign w:val="center"/>
                </w:tcPr>
                <w:p w14:paraId="494C8A80">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病菌、</w:t>
                  </w:r>
                </w:p>
                <w:p w14:paraId="229C729F">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病毒</w:t>
                  </w:r>
                </w:p>
                <w:p w14:paraId="77277C18">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p>
              </w:tc>
              <w:tc>
                <w:tcPr>
                  <w:tcW w:w="264" w:type="pct"/>
                  <w:vAlign w:val="center"/>
                </w:tcPr>
                <w:p w14:paraId="56AA6060">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工作日</w:t>
                  </w:r>
                </w:p>
              </w:tc>
              <w:tc>
                <w:tcPr>
                  <w:tcW w:w="387" w:type="pct"/>
                  <w:vAlign w:val="center"/>
                </w:tcPr>
                <w:p w14:paraId="4F53E425">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感染</w:t>
                  </w:r>
                </w:p>
                <w:p w14:paraId="58A3687F">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性、</w:t>
                  </w:r>
                </w:p>
                <w:p w14:paraId="22FC0FF5">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毒性</w:t>
                  </w:r>
                </w:p>
              </w:tc>
              <w:tc>
                <w:tcPr>
                  <w:tcW w:w="476" w:type="pct"/>
                  <w:vAlign w:val="center"/>
                </w:tcPr>
                <w:p w14:paraId="5BD151A4">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统一收集后储存于危险废物暂存间，定期委托由资质的单位进行规范处置</w:t>
                  </w:r>
                </w:p>
              </w:tc>
            </w:tr>
            <w:tr w14:paraId="65E73E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8" w:hRule="atLeast"/>
              </w:trPr>
              <w:tc>
                <w:tcPr>
                  <w:tcW w:w="258" w:type="pct"/>
                  <w:vAlign w:val="center"/>
                </w:tcPr>
                <w:p w14:paraId="4CCEDCAB">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283" w:type="pct"/>
                  <w:vAlign w:val="center"/>
                </w:tcPr>
                <w:p w14:paraId="0ADF0B2F">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污水处理污泥</w:t>
                  </w:r>
                </w:p>
              </w:tc>
              <w:tc>
                <w:tcPr>
                  <w:tcW w:w="475" w:type="pct"/>
                  <w:vAlign w:val="center"/>
                </w:tcPr>
                <w:p w14:paraId="5AB6E1F3">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HW01</w:t>
                  </w:r>
                </w:p>
              </w:tc>
              <w:tc>
                <w:tcPr>
                  <w:tcW w:w="721" w:type="pct"/>
                  <w:vAlign w:val="center"/>
                </w:tcPr>
                <w:p w14:paraId="6EF680EA">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831-001-01</w:t>
                  </w:r>
                </w:p>
              </w:tc>
              <w:tc>
                <w:tcPr>
                  <w:tcW w:w="541" w:type="pct"/>
                  <w:vAlign w:val="center"/>
                </w:tcPr>
                <w:p w14:paraId="43144B7B">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0.02</w:t>
                  </w:r>
                  <w:r>
                    <w:rPr>
                      <w:rFonts w:hint="eastAsia" w:ascii="Times New Roman" w:hAnsi="Times New Roman" w:eastAsia="宋体" w:cs="Times New Roman"/>
                      <w:color w:val="auto"/>
                      <w:highlight w:val="none"/>
                      <w:lang w:val="en-US" w:eastAsia="zh-CN"/>
                    </w:rPr>
                    <w:t>164</w:t>
                  </w:r>
                </w:p>
              </w:tc>
              <w:tc>
                <w:tcPr>
                  <w:tcW w:w="453" w:type="pct"/>
                  <w:vAlign w:val="center"/>
                </w:tcPr>
                <w:p w14:paraId="64E9A051">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消毒、杀菌</w:t>
                  </w:r>
                </w:p>
              </w:tc>
              <w:tc>
                <w:tcPr>
                  <w:tcW w:w="333" w:type="pct"/>
                  <w:vAlign w:val="center"/>
                </w:tcPr>
                <w:p w14:paraId="0A6E3612">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固态</w:t>
                  </w:r>
                </w:p>
              </w:tc>
              <w:tc>
                <w:tcPr>
                  <w:tcW w:w="422" w:type="pct"/>
                  <w:vAlign w:val="center"/>
                </w:tcPr>
                <w:p w14:paraId="34CD7978">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病原微生物和寄生虫卵等</w:t>
                  </w:r>
                </w:p>
              </w:tc>
              <w:tc>
                <w:tcPr>
                  <w:tcW w:w="383" w:type="pct"/>
                  <w:vAlign w:val="center"/>
                </w:tcPr>
                <w:p w14:paraId="5A25CB26">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病菌、</w:t>
                  </w:r>
                </w:p>
                <w:p w14:paraId="30C11C1E">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病毒</w:t>
                  </w:r>
                </w:p>
                <w:p w14:paraId="790FB192">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p>
              </w:tc>
              <w:tc>
                <w:tcPr>
                  <w:tcW w:w="264" w:type="pct"/>
                  <w:vAlign w:val="center"/>
                </w:tcPr>
                <w:p w14:paraId="71E724CD">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消毒时</w:t>
                  </w:r>
                </w:p>
              </w:tc>
              <w:tc>
                <w:tcPr>
                  <w:tcW w:w="387" w:type="pct"/>
                  <w:vAlign w:val="center"/>
                </w:tcPr>
                <w:p w14:paraId="5E7FF9F1">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感染</w:t>
                  </w:r>
                </w:p>
                <w:p w14:paraId="172B6037">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性</w:t>
                  </w:r>
                </w:p>
              </w:tc>
              <w:tc>
                <w:tcPr>
                  <w:tcW w:w="476" w:type="pct"/>
                  <w:vMerge w:val="restart"/>
                  <w:vAlign w:val="center"/>
                </w:tcPr>
                <w:p w14:paraId="0BEB30F7">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zh-CN"/>
                    </w:rPr>
                    <w:t>委托有危险废物处置资质单位进行处理</w:t>
                  </w:r>
                  <w:r>
                    <w:rPr>
                      <w:rFonts w:hint="eastAsia" w:ascii="Times New Roman" w:hAnsi="Times New Roman" w:eastAsia="宋体" w:cs="Times New Roman"/>
                      <w:color w:val="auto"/>
                      <w:highlight w:val="none"/>
                      <w:lang w:val="en-US" w:eastAsia="zh-CN"/>
                    </w:rPr>
                    <w:t>并清运</w:t>
                  </w:r>
                </w:p>
              </w:tc>
            </w:tr>
            <w:tr w14:paraId="317B73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8" w:hRule="atLeast"/>
              </w:trPr>
              <w:tc>
                <w:tcPr>
                  <w:tcW w:w="258" w:type="pct"/>
                  <w:vAlign w:val="center"/>
                </w:tcPr>
                <w:p w14:paraId="5FD5F5D3">
                  <w:pPr>
                    <w:pStyle w:val="189"/>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3</w:t>
                  </w:r>
                </w:p>
              </w:tc>
              <w:tc>
                <w:tcPr>
                  <w:tcW w:w="283" w:type="pct"/>
                  <w:vAlign w:val="center"/>
                </w:tcPr>
                <w:p w14:paraId="6423A5A9">
                  <w:pPr>
                    <w:pStyle w:val="189"/>
                    <w:rPr>
                      <w:rFonts w:hint="default" w:ascii="Times New Roman" w:hAnsi="Times New Roman" w:eastAsia="宋体" w:cs="Times New Roman"/>
                      <w:iCs/>
                      <w:color w:val="auto"/>
                      <w:kern w:val="2"/>
                      <w:sz w:val="21"/>
                      <w:szCs w:val="21"/>
                      <w:highlight w:val="none"/>
                      <w:lang w:val="zh-CN" w:eastAsia="zh-CN" w:bidi="ar-SA"/>
                    </w:rPr>
                  </w:pPr>
                  <w:r>
                    <w:rPr>
                      <w:rFonts w:hint="eastAsia" w:ascii="Times New Roman" w:hAnsi="Times New Roman" w:eastAsia="宋体" w:cs="Times New Roman"/>
                      <w:color w:val="auto"/>
                      <w:lang w:val="en-US" w:eastAsia="zh-CN"/>
                    </w:rPr>
                    <w:t>检验设备头道清洗废水</w:t>
                  </w:r>
                </w:p>
              </w:tc>
              <w:tc>
                <w:tcPr>
                  <w:tcW w:w="475" w:type="pct"/>
                  <w:vAlign w:val="center"/>
                </w:tcPr>
                <w:p w14:paraId="327C137C">
                  <w:pPr>
                    <w:pStyle w:val="191"/>
                    <w:rPr>
                      <w:rFonts w:hint="default" w:ascii="Times New Roman" w:hAnsi="Times New Roman" w:eastAsia="宋体" w:cs="Times New Roman"/>
                      <w:color w:val="auto"/>
                      <w:kern w:val="2"/>
                      <w:position w:val="-10"/>
                      <w:sz w:val="21"/>
                      <w:szCs w:val="24"/>
                      <w:highlight w:val="none"/>
                      <w:lang w:val="en-US" w:eastAsia="zh-CN" w:bidi="ar-SA"/>
                    </w:rPr>
                  </w:pPr>
                  <w:r>
                    <w:rPr>
                      <w:rFonts w:hint="default" w:ascii="Times New Roman" w:hAnsi="Times New Roman" w:eastAsia="宋体" w:cs="Times New Roman"/>
                      <w:color w:val="auto"/>
                      <w:highlight w:val="none"/>
                    </w:rPr>
                    <w:t>HW49</w:t>
                  </w:r>
                </w:p>
              </w:tc>
              <w:tc>
                <w:tcPr>
                  <w:tcW w:w="721" w:type="pct"/>
                  <w:vAlign w:val="center"/>
                </w:tcPr>
                <w:p w14:paraId="04C1D872">
                  <w:pPr>
                    <w:pStyle w:val="191"/>
                    <w:rPr>
                      <w:rFonts w:hint="default" w:ascii="Times New Roman" w:hAnsi="Times New Roman" w:eastAsia="宋体" w:cs="Times New Roman"/>
                      <w:color w:val="auto"/>
                      <w:kern w:val="2"/>
                      <w:position w:val="-10"/>
                      <w:sz w:val="21"/>
                      <w:szCs w:val="24"/>
                      <w:highlight w:val="none"/>
                      <w:lang w:val="zh-CN" w:eastAsia="zh-CN" w:bidi="ar-SA"/>
                    </w:rPr>
                  </w:pPr>
                  <w:r>
                    <w:rPr>
                      <w:rFonts w:hint="default" w:ascii="Times New Roman" w:hAnsi="Times New Roman" w:eastAsia="宋体" w:cs="Times New Roman"/>
                      <w:color w:val="auto"/>
                      <w:highlight w:val="none"/>
                    </w:rPr>
                    <w:t>900-047-49</w:t>
                  </w:r>
                </w:p>
              </w:tc>
              <w:tc>
                <w:tcPr>
                  <w:tcW w:w="541" w:type="pct"/>
                  <w:vAlign w:val="center"/>
                </w:tcPr>
                <w:p w14:paraId="30DA0C6C">
                  <w:pPr>
                    <w:pStyle w:val="189"/>
                    <w:rPr>
                      <w:rFonts w:hint="eastAsia"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0.</w:t>
                  </w:r>
                  <w:r>
                    <w:rPr>
                      <w:rFonts w:hint="eastAsia"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lang w:val="en-US" w:eastAsia="zh-CN"/>
                    </w:rPr>
                    <w:t>2</w:t>
                  </w:r>
                </w:p>
              </w:tc>
              <w:tc>
                <w:tcPr>
                  <w:tcW w:w="453" w:type="pct"/>
                  <w:vAlign w:val="center"/>
                </w:tcPr>
                <w:p w14:paraId="519F2453">
                  <w:pPr>
                    <w:pStyle w:val="189"/>
                    <w:rPr>
                      <w:rFonts w:hint="default" w:ascii="Times New Roman" w:hAnsi="Times New Roman" w:eastAsia="宋体" w:cs="Times New Roman"/>
                      <w:iCs/>
                      <w:color w:val="auto"/>
                      <w:kern w:val="2"/>
                      <w:sz w:val="21"/>
                      <w:szCs w:val="21"/>
                      <w:highlight w:val="none"/>
                      <w:lang w:val="zh-CN" w:eastAsia="zh-CN" w:bidi="ar-SA"/>
                    </w:rPr>
                  </w:pPr>
                  <w:r>
                    <w:rPr>
                      <w:rFonts w:hint="default" w:ascii="Times New Roman" w:hAnsi="Times New Roman" w:eastAsia="宋体" w:cs="Times New Roman"/>
                      <w:color w:val="auto"/>
                      <w:highlight w:val="none"/>
                      <w:lang w:val="en-US" w:eastAsia="zh-CN"/>
                    </w:rPr>
                    <w:t>化验</w:t>
                  </w:r>
                </w:p>
              </w:tc>
              <w:tc>
                <w:tcPr>
                  <w:tcW w:w="333" w:type="pct"/>
                  <w:vAlign w:val="center"/>
                </w:tcPr>
                <w:p w14:paraId="724F3007">
                  <w:pPr>
                    <w:pStyle w:val="189"/>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液态</w:t>
                  </w:r>
                </w:p>
              </w:tc>
              <w:tc>
                <w:tcPr>
                  <w:tcW w:w="422" w:type="pct"/>
                  <w:vAlign w:val="center"/>
                </w:tcPr>
                <w:p w14:paraId="7B41C09A">
                  <w:pPr>
                    <w:pStyle w:val="189"/>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lang w:val="zh-CN"/>
                    </w:rPr>
                    <w:t>医疗病理性废物等</w:t>
                  </w:r>
                </w:p>
              </w:tc>
              <w:tc>
                <w:tcPr>
                  <w:tcW w:w="383" w:type="pct"/>
                  <w:vAlign w:val="center"/>
                </w:tcPr>
                <w:p w14:paraId="00B32DFF">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病菌、</w:t>
                  </w:r>
                </w:p>
                <w:p w14:paraId="21CE6DF3">
                  <w:pPr>
                    <w:pStyle w:val="18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病毒</w:t>
                  </w:r>
                </w:p>
                <w:p w14:paraId="30CF6FFD">
                  <w:pPr>
                    <w:pStyle w:val="189"/>
                    <w:rPr>
                      <w:rFonts w:hint="default" w:ascii="Times New Roman" w:hAnsi="Times New Roman" w:eastAsia="宋体" w:cs="Times New Roman"/>
                      <w:iCs/>
                      <w:color w:val="auto"/>
                      <w:kern w:val="2"/>
                      <w:sz w:val="21"/>
                      <w:szCs w:val="21"/>
                      <w:highlight w:val="none"/>
                      <w:lang w:val="zh-CN" w:eastAsia="zh-CN" w:bidi="ar-SA"/>
                    </w:rPr>
                  </w:pPr>
                </w:p>
              </w:tc>
              <w:tc>
                <w:tcPr>
                  <w:tcW w:w="264" w:type="pct"/>
                  <w:vAlign w:val="center"/>
                </w:tcPr>
                <w:p w14:paraId="6F6784F8">
                  <w:pPr>
                    <w:pStyle w:val="189"/>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化验</w:t>
                  </w:r>
                  <w:r>
                    <w:rPr>
                      <w:rFonts w:hint="eastAsia" w:ascii="Times New Roman" w:hAnsi="Times New Roman" w:eastAsia="宋体" w:cs="Times New Roman"/>
                      <w:color w:val="auto"/>
                      <w:highlight w:val="none"/>
                      <w:lang w:val="en-US" w:eastAsia="zh-CN"/>
                    </w:rPr>
                    <w:t>后</w:t>
                  </w:r>
                </w:p>
              </w:tc>
              <w:tc>
                <w:tcPr>
                  <w:tcW w:w="387" w:type="pct"/>
                  <w:vAlign w:val="center"/>
                </w:tcPr>
                <w:p w14:paraId="751919B2">
                  <w:pPr>
                    <w:pStyle w:val="189"/>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感染</w:t>
                  </w:r>
                </w:p>
                <w:p w14:paraId="07FAA0E2">
                  <w:pPr>
                    <w:pStyle w:val="189"/>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性、</w:t>
                  </w:r>
                </w:p>
                <w:p w14:paraId="65F2D9EF">
                  <w:pPr>
                    <w:pStyle w:val="189"/>
                    <w:rPr>
                      <w:rFonts w:hint="default" w:ascii="Times New Roman" w:hAnsi="Times New Roman" w:eastAsia="宋体" w:cs="Times New Roman"/>
                      <w:iCs/>
                      <w:color w:val="auto"/>
                      <w:kern w:val="2"/>
                      <w:sz w:val="21"/>
                      <w:szCs w:val="21"/>
                      <w:highlight w:val="none"/>
                      <w:lang w:val="zh-CN" w:eastAsia="zh-CN" w:bidi="ar-SA"/>
                    </w:rPr>
                  </w:pPr>
                  <w:r>
                    <w:rPr>
                      <w:rFonts w:hint="default" w:ascii="Times New Roman" w:hAnsi="Times New Roman" w:eastAsia="宋体" w:cs="Times New Roman"/>
                      <w:color w:val="auto"/>
                      <w:highlight w:val="none"/>
                      <w:lang w:val="zh-CN"/>
                    </w:rPr>
                    <w:t>毒性</w:t>
                  </w:r>
                </w:p>
              </w:tc>
              <w:tc>
                <w:tcPr>
                  <w:tcW w:w="476" w:type="pct"/>
                  <w:vMerge w:val="continue"/>
                  <w:vAlign w:val="center"/>
                </w:tcPr>
                <w:p w14:paraId="2770B131">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p>
              </w:tc>
            </w:tr>
          </w:tbl>
          <w:p w14:paraId="37E87DCA">
            <w:pPr>
              <w:pStyle w:val="198"/>
              <w:keepNext w:val="0"/>
              <w:keepLines w:val="0"/>
              <w:pageBreakBefore w:val="0"/>
              <w:widowControl w:val="0"/>
              <w:kinsoku/>
              <w:wordWrap/>
              <w:overflowPunct/>
              <w:topLinePunct w:val="0"/>
              <w:autoSpaceDE/>
              <w:autoSpaceDN/>
              <w:bidi w:val="0"/>
              <w:adjustRightInd/>
              <w:snapToGrid/>
              <w:spacing w:before="185" w:beforeLines="50" w:after="185" w:afterLines="50" w:line="240" w:lineRule="auto"/>
              <w:jc w:val="center"/>
              <w:textAlignment w:val="auto"/>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表4-</w:t>
            </w:r>
            <w:r>
              <w:rPr>
                <w:rFonts w:hint="eastAsia" w:ascii="Times New Roman" w:hAnsi="Times New Roman" w:cs="Times New Roman"/>
                <w:color w:val="auto"/>
                <w:szCs w:val="32"/>
                <w:highlight w:val="none"/>
                <w:lang w:val="en-US" w:eastAsia="zh-CN"/>
              </w:rPr>
              <w:t>6</w:t>
            </w:r>
            <w:r>
              <w:rPr>
                <w:rFonts w:hint="default" w:ascii="Times New Roman" w:hAnsi="Times New Roman" w:cs="Times New Roman"/>
                <w:color w:val="auto"/>
                <w:szCs w:val="32"/>
                <w:highlight w:val="none"/>
              </w:rPr>
              <w:t xml:space="preserve">  建设项目危险废物贮存场所（设施）基本情况样表</w:t>
            </w:r>
          </w:p>
          <w:tbl>
            <w:tblPr>
              <w:tblStyle w:val="50"/>
              <w:tblW w:w="810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79"/>
              <w:gridCol w:w="1775"/>
              <w:gridCol w:w="1147"/>
              <w:gridCol w:w="1477"/>
              <w:gridCol w:w="1121"/>
              <w:gridCol w:w="1099"/>
              <w:gridCol w:w="906"/>
            </w:tblGrid>
            <w:tr w14:paraId="5DFE2C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9" w:type="dxa"/>
                  <w:vAlign w:val="center"/>
                </w:tcPr>
                <w:p w14:paraId="3B354A30">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序号</w:t>
                  </w:r>
                </w:p>
              </w:tc>
              <w:tc>
                <w:tcPr>
                  <w:tcW w:w="1775" w:type="dxa"/>
                  <w:vAlign w:val="center"/>
                </w:tcPr>
                <w:p w14:paraId="0762F406">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危险废物名称</w:t>
                  </w:r>
                </w:p>
              </w:tc>
              <w:tc>
                <w:tcPr>
                  <w:tcW w:w="1147" w:type="dxa"/>
                  <w:vAlign w:val="center"/>
                </w:tcPr>
                <w:p w14:paraId="7EC31396">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危险废物类别</w:t>
                  </w:r>
                </w:p>
              </w:tc>
              <w:tc>
                <w:tcPr>
                  <w:tcW w:w="1477" w:type="dxa"/>
                  <w:vAlign w:val="center"/>
                </w:tcPr>
                <w:p w14:paraId="095F43F2">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危险废物代码</w:t>
                  </w:r>
                </w:p>
              </w:tc>
              <w:tc>
                <w:tcPr>
                  <w:tcW w:w="1121" w:type="dxa"/>
                  <w:vAlign w:val="center"/>
                </w:tcPr>
                <w:p w14:paraId="7727CFD5">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贮存场所</w:t>
                  </w:r>
                </w:p>
              </w:tc>
              <w:tc>
                <w:tcPr>
                  <w:tcW w:w="1099" w:type="dxa"/>
                  <w:vAlign w:val="center"/>
                </w:tcPr>
                <w:p w14:paraId="5C62A042">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占地面积</w:t>
                  </w:r>
                </w:p>
              </w:tc>
              <w:tc>
                <w:tcPr>
                  <w:tcW w:w="906" w:type="dxa"/>
                  <w:vAlign w:val="center"/>
                </w:tcPr>
                <w:p w14:paraId="21F5C48B">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贮存周期</w:t>
                  </w:r>
                </w:p>
              </w:tc>
            </w:tr>
            <w:tr w14:paraId="134E7B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9" w:type="dxa"/>
                  <w:vAlign w:val="center"/>
                </w:tcPr>
                <w:p w14:paraId="2BB33F4C">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1</w:t>
                  </w:r>
                </w:p>
              </w:tc>
              <w:tc>
                <w:tcPr>
                  <w:tcW w:w="1775" w:type="dxa"/>
                  <w:vAlign w:val="center"/>
                </w:tcPr>
                <w:p w14:paraId="1DAB4923">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医疗废物</w:t>
                  </w:r>
                </w:p>
              </w:tc>
              <w:tc>
                <w:tcPr>
                  <w:tcW w:w="1147" w:type="dxa"/>
                  <w:vAlign w:val="center"/>
                </w:tcPr>
                <w:p w14:paraId="60DF39F3">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HW01</w:t>
                  </w:r>
                </w:p>
              </w:tc>
              <w:tc>
                <w:tcPr>
                  <w:tcW w:w="1477" w:type="dxa"/>
                  <w:vAlign w:val="center"/>
                </w:tcPr>
                <w:p w14:paraId="51D559C9">
                  <w:pPr>
                    <w:pStyle w:val="189"/>
                    <w:pageBreakBefore w:val="0"/>
                    <w:kinsoku/>
                    <w:overflowPunct/>
                    <w:autoSpaceDE/>
                    <w:autoSpaceDN/>
                    <w:bidi w:val="0"/>
                    <w:spacing w:line="240" w:lineRule="auto"/>
                    <w:jc w:val="center"/>
                    <w:rPr>
                      <w:rFonts w:hint="eastAsia"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rPr>
                    <w:t>详见表4-</w:t>
                  </w:r>
                  <w:r>
                    <w:rPr>
                      <w:rFonts w:hint="eastAsia" w:ascii="Times New Roman" w:hAnsi="Times New Roman" w:eastAsia="宋体" w:cs="Times New Roman"/>
                      <w:color w:val="auto"/>
                      <w:highlight w:val="none"/>
                      <w:lang w:val="en-US" w:eastAsia="zh-CN"/>
                    </w:rPr>
                    <w:t>7</w:t>
                  </w:r>
                </w:p>
              </w:tc>
              <w:tc>
                <w:tcPr>
                  <w:tcW w:w="1121" w:type="dxa"/>
                  <w:vAlign w:val="center"/>
                </w:tcPr>
                <w:p w14:paraId="06AAB323">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危废间</w:t>
                  </w:r>
                </w:p>
              </w:tc>
              <w:tc>
                <w:tcPr>
                  <w:tcW w:w="1099" w:type="dxa"/>
                  <w:vAlign w:val="center"/>
                </w:tcPr>
                <w:p w14:paraId="525C9F1E">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zh-CN"/>
                    </w:rPr>
                    <w:t>m</w:t>
                  </w:r>
                  <w:r>
                    <w:rPr>
                      <w:rFonts w:hint="default" w:ascii="Times New Roman" w:hAnsi="Times New Roman" w:eastAsia="宋体" w:cs="Times New Roman"/>
                      <w:color w:val="auto"/>
                      <w:highlight w:val="none"/>
                      <w:vertAlign w:val="superscript"/>
                      <w:lang w:val="zh-CN"/>
                    </w:rPr>
                    <w:t>2</w:t>
                  </w:r>
                </w:p>
              </w:tc>
              <w:tc>
                <w:tcPr>
                  <w:tcW w:w="906" w:type="dxa"/>
                  <w:vAlign w:val="center"/>
                </w:tcPr>
                <w:p w14:paraId="6A5DD656">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2天</w:t>
                  </w:r>
                  <w:r>
                    <w:rPr>
                      <w:rFonts w:hint="default" w:ascii="Times New Roman" w:hAnsi="Times New Roman" w:eastAsia="宋体" w:cs="Times New Roman"/>
                      <w:color w:val="auto"/>
                      <w:szCs w:val="24"/>
                      <w:highlight w:val="none"/>
                    </w:rPr>
                    <w:t>～</w:t>
                  </w:r>
                  <w:r>
                    <w:rPr>
                      <w:rFonts w:hint="eastAsia" w:ascii="Times New Roman" w:hAnsi="Times New Roman" w:eastAsia="宋体" w:cs="Times New Roman"/>
                      <w:color w:val="auto"/>
                      <w:highlight w:val="none"/>
                      <w:lang w:val="en-US" w:eastAsia="zh-CN"/>
                    </w:rPr>
                    <w:t>3天</w:t>
                  </w:r>
                </w:p>
              </w:tc>
            </w:tr>
            <w:tr w14:paraId="4712C2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9" w:type="dxa"/>
                  <w:vAlign w:val="center"/>
                </w:tcPr>
                <w:p w14:paraId="063DFE7C">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775" w:type="dxa"/>
                  <w:vAlign w:val="center"/>
                </w:tcPr>
                <w:p w14:paraId="74A0A556">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污水处理污泥</w:t>
                  </w:r>
                </w:p>
              </w:tc>
              <w:tc>
                <w:tcPr>
                  <w:tcW w:w="1147" w:type="dxa"/>
                  <w:vAlign w:val="center"/>
                </w:tcPr>
                <w:p w14:paraId="583A973E">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HW01</w:t>
                  </w:r>
                </w:p>
              </w:tc>
              <w:tc>
                <w:tcPr>
                  <w:tcW w:w="1477" w:type="dxa"/>
                  <w:vAlign w:val="center"/>
                </w:tcPr>
                <w:p w14:paraId="6A8B3BC1">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831-001-01</w:t>
                  </w:r>
                </w:p>
              </w:tc>
              <w:tc>
                <w:tcPr>
                  <w:tcW w:w="1121" w:type="dxa"/>
                  <w:vAlign w:val="center"/>
                </w:tcPr>
                <w:p w14:paraId="49DD5345">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危废间</w:t>
                  </w:r>
                </w:p>
              </w:tc>
              <w:tc>
                <w:tcPr>
                  <w:tcW w:w="1099" w:type="dxa"/>
                  <w:vAlign w:val="center"/>
                </w:tcPr>
                <w:p w14:paraId="11B5C7F9">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906" w:type="dxa"/>
                  <w:vAlign w:val="center"/>
                </w:tcPr>
                <w:p w14:paraId="43CEF02D">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3天～5天</w:t>
                  </w:r>
                </w:p>
              </w:tc>
            </w:tr>
            <w:tr w14:paraId="70F7CE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9" w:type="dxa"/>
                  <w:vAlign w:val="center"/>
                </w:tcPr>
                <w:p w14:paraId="7F169161">
                  <w:pPr>
                    <w:pStyle w:val="189"/>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3</w:t>
                  </w:r>
                </w:p>
              </w:tc>
              <w:tc>
                <w:tcPr>
                  <w:tcW w:w="1775" w:type="dxa"/>
                  <w:vAlign w:val="center"/>
                </w:tcPr>
                <w:p w14:paraId="0146D918">
                  <w:pPr>
                    <w:pStyle w:val="189"/>
                    <w:pageBreakBefore w:val="0"/>
                    <w:kinsoku/>
                    <w:overflowPunct/>
                    <w:autoSpaceDE/>
                    <w:autoSpaceDN/>
                    <w:bidi w:val="0"/>
                    <w:spacing w:line="240" w:lineRule="auto"/>
                    <w:jc w:val="center"/>
                    <w:rPr>
                      <w:rFonts w:hint="default" w:ascii="Times New Roman" w:hAnsi="Times New Roman" w:eastAsia="宋体" w:cs="Times New Roman"/>
                      <w:iCs/>
                      <w:color w:val="auto"/>
                      <w:kern w:val="2"/>
                      <w:sz w:val="21"/>
                      <w:szCs w:val="21"/>
                      <w:highlight w:val="none"/>
                      <w:lang w:val="zh-CN" w:eastAsia="zh-CN" w:bidi="ar-SA"/>
                    </w:rPr>
                  </w:pPr>
                  <w:r>
                    <w:rPr>
                      <w:rFonts w:hint="default" w:ascii="Times New Roman" w:hAnsi="Times New Roman" w:eastAsia="宋体" w:cs="Times New Roman"/>
                      <w:iCs/>
                      <w:color w:val="auto"/>
                      <w:kern w:val="2"/>
                      <w:sz w:val="21"/>
                      <w:szCs w:val="21"/>
                      <w:highlight w:val="none"/>
                      <w:lang w:val="zh-CN" w:eastAsia="zh-CN" w:bidi="ar-SA"/>
                    </w:rPr>
                    <w:t>检验设备头道清洗废水</w:t>
                  </w:r>
                </w:p>
              </w:tc>
              <w:tc>
                <w:tcPr>
                  <w:tcW w:w="1147" w:type="dxa"/>
                  <w:vAlign w:val="center"/>
                </w:tcPr>
                <w:p w14:paraId="0C40C636">
                  <w:pPr>
                    <w:pStyle w:val="191"/>
                    <w:rPr>
                      <w:rFonts w:hint="default" w:ascii="Times New Roman" w:hAnsi="Times New Roman" w:eastAsia="宋体" w:cs="Times New Roman"/>
                      <w:color w:val="auto"/>
                      <w:kern w:val="2"/>
                      <w:position w:val="-10"/>
                      <w:sz w:val="21"/>
                      <w:szCs w:val="24"/>
                      <w:highlight w:val="none"/>
                      <w:lang w:val="en-US" w:eastAsia="zh-CN" w:bidi="ar-SA"/>
                    </w:rPr>
                  </w:pPr>
                  <w:r>
                    <w:rPr>
                      <w:rFonts w:hint="default" w:ascii="Times New Roman" w:hAnsi="Times New Roman" w:eastAsia="宋体" w:cs="Times New Roman"/>
                      <w:color w:val="auto"/>
                      <w:highlight w:val="none"/>
                    </w:rPr>
                    <w:t>HW49</w:t>
                  </w:r>
                </w:p>
              </w:tc>
              <w:tc>
                <w:tcPr>
                  <w:tcW w:w="1477" w:type="dxa"/>
                  <w:vAlign w:val="center"/>
                </w:tcPr>
                <w:p w14:paraId="260DFF2B">
                  <w:pPr>
                    <w:pStyle w:val="191"/>
                    <w:rPr>
                      <w:rFonts w:hint="default" w:ascii="Times New Roman" w:hAnsi="Times New Roman" w:eastAsia="宋体" w:cs="Times New Roman"/>
                      <w:color w:val="auto"/>
                      <w:kern w:val="2"/>
                      <w:position w:val="-10"/>
                      <w:sz w:val="21"/>
                      <w:szCs w:val="24"/>
                      <w:highlight w:val="none"/>
                      <w:lang w:val="zh-CN" w:eastAsia="zh-CN" w:bidi="ar-SA"/>
                    </w:rPr>
                  </w:pPr>
                  <w:r>
                    <w:rPr>
                      <w:rFonts w:hint="default" w:ascii="Times New Roman" w:hAnsi="Times New Roman" w:eastAsia="宋体" w:cs="Times New Roman"/>
                      <w:color w:val="auto"/>
                      <w:highlight w:val="none"/>
                    </w:rPr>
                    <w:t>900-047-49</w:t>
                  </w:r>
                </w:p>
              </w:tc>
              <w:tc>
                <w:tcPr>
                  <w:tcW w:w="1121" w:type="dxa"/>
                  <w:vAlign w:val="center"/>
                </w:tcPr>
                <w:p w14:paraId="5524A822">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专用废水收集袋</w:t>
                  </w:r>
                </w:p>
              </w:tc>
              <w:tc>
                <w:tcPr>
                  <w:tcW w:w="1099" w:type="dxa"/>
                  <w:vAlign w:val="center"/>
                </w:tcPr>
                <w:p w14:paraId="7F5E7554">
                  <w:pPr>
                    <w:pStyle w:val="189"/>
                    <w:pageBreakBefore w:val="0"/>
                    <w:kinsoku/>
                    <w:overflowPunct/>
                    <w:autoSpaceDE/>
                    <w:autoSpaceDN/>
                    <w:bidi w:val="0"/>
                    <w:spacing w:line="240" w:lineRule="auto"/>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w:t>
                  </w:r>
                </w:p>
              </w:tc>
              <w:tc>
                <w:tcPr>
                  <w:tcW w:w="906" w:type="dxa"/>
                  <w:vAlign w:val="center"/>
                </w:tcPr>
                <w:p w14:paraId="1CAA9636">
                  <w:pPr>
                    <w:pStyle w:val="189"/>
                    <w:pageBreakBefore w:val="0"/>
                    <w:kinsoku/>
                    <w:overflowPunct/>
                    <w:autoSpaceDE/>
                    <w:autoSpaceDN/>
                    <w:bidi w:val="0"/>
                    <w:spacing w:line="240" w:lineRule="auto"/>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2天</w:t>
                  </w:r>
                  <w:r>
                    <w:rPr>
                      <w:rFonts w:hint="default" w:ascii="Times New Roman" w:hAnsi="Times New Roman" w:eastAsia="宋体" w:cs="Times New Roman"/>
                      <w:color w:val="auto"/>
                      <w:szCs w:val="24"/>
                      <w:highlight w:val="none"/>
                    </w:rPr>
                    <w:t>～</w:t>
                  </w:r>
                  <w:r>
                    <w:rPr>
                      <w:rFonts w:hint="eastAsia" w:ascii="Times New Roman" w:hAnsi="Times New Roman" w:eastAsia="宋体" w:cs="Times New Roman"/>
                      <w:color w:val="auto"/>
                      <w:highlight w:val="none"/>
                      <w:lang w:val="en-US" w:eastAsia="zh-CN"/>
                    </w:rPr>
                    <w:t>3天</w:t>
                  </w:r>
                </w:p>
              </w:tc>
            </w:tr>
          </w:tbl>
          <w:p w14:paraId="14AD9F0A">
            <w:pPr>
              <w:pStyle w:val="198"/>
              <w:keepNext w:val="0"/>
              <w:keepLines w:val="0"/>
              <w:pageBreakBefore w:val="0"/>
              <w:widowControl w:val="0"/>
              <w:kinsoku/>
              <w:wordWrap/>
              <w:overflowPunct/>
              <w:topLinePunct w:val="0"/>
              <w:autoSpaceDE/>
              <w:autoSpaceDN/>
              <w:bidi w:val="0"/>
              <w:adjustRightInd/>
              <w:snapToGrid/>
              <w:spacing w:before="185" w:beforeLines="50" w:after="185" w:afterLines="50" w:line="240" w:lineRule="auto"/>
              <w:jc w:val="center"/>
              <w:textAlignment w:val="auto"/>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表4-</w:t>
            </w:r>
            <w:r>
              <w:rPr>
                <w:rFonts w:hint="eastAsia" w:ascii="Times New Roman" w:hAnsi="Times New Roman" w:cs="Times New Roman"/>
                <w:color w:val="auto"/>
                <w:szCs w:val="32"/>
                <w:highlight w:val="none"/>
                <w:lang w:val="en-US" w:eastAsia="zh-CN"/>
              </w:rPr>
              <w:t xml:space="preserve">7 </w:t>
            </w:r>
            <w:r>
              <w:rPr>
                <w:rFonts w:hint="default" w:ascii="Times New Roman" w:hAnsi="Times New Roman" w:cs="Times New Roman"/>
                <w:color w:val="auto"/>
                <w:szCs w:val="32"/>
                <w:highlight w:val="none"/>
              </w:rPr>
              <w:t xml:space="preserve"> 固体废物产生及处置情况一览表</w:t>
            </w:r>
          </w:p>
          <w:tbl>
            <w:tblPr>
              <w:tblStyle w:val="50"/>
              <w:tblW w:w="8140"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645"/>
              <w:gridCol w:w="1627"/>
              <w:gridCol w:w="1194"/>
              <w:gridCol w:w="1393"/>
              <w:gridCol w:w="3281"/>
            </w:tblGrid>
            <w:tr w14:paraId="416EC742">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93" w:hRule="atLeast"/>
              </w:trPr>
              <w:tc>
                <w:tcPr>
                  <w:tcW w:w="645" w:type="dxa"/>
                  <w:vAlign w:val="center"/>
                </w:tcPr>
                <w:p w14:paraId="700DAC8F">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序号</w:t>
                  </w:r>
                </w:p>
              </w:tc>
              <w:tc>
                <w:tcPr>
                  <w:tcW w:w="1627" w:type="dxa"/>
                  <w:vAlign w:val="center"/>
                </w:tcPr>
                <w:p w14:paraId="7D814FC5">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类别</w:t>
                  </w:r>
                </w:p>
              </w:tc>
              <w:tc>
                <w:tcPr>
                  <w:tcW w:w="1194" w:type="dxa"/>
                  <w:vAlign w:val="center"/>
                </w:tcPr>
                <w:p w14:paraId="4385D0EE">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固废类型</w:t>
                  </w:r>
                </w:p>
              </w:tc>
              <w:tc>
                <w:tcPr>
                  <w:tcW w:w="1393" w:type="dxa"/>
                  <w:vAlign w:val="center"/>
                </w:tcPr>
                <w:p w14:paraId="79C93222">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产生量t/a</w:t>
                  </w:r>
                </w:p>
              </w:tc>
              <w:tc>
                <w:tcPr>
                  <w:tcW w:w="3281" w:type="dxa"/>
                  <w:vAlign w:val="center"/>
                </w:tcPr>
                <w:p w14:paraId="37B19AD7">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处理措施</w:t>
                  </w:r>
                </w:p>
              </w:tc>
            </w:tr>
            <w:tr w14:paraId="7033FBF7">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53" w:hRule="atLeast"/>
              </w:trPr>
              <w:tc>
                <w:tcPr>
                  <w:tcW w:w="645" w:type="dxa"/>
                  <w:tcBorders>
                    <w:top w:val="single" w:color="auto" w:sz="4" w:space="0"/>
                  </w:tcBorders>
                  <w:vAlign w:val="center"/>
                </w:tcPr>
                <w:p w14:paraId="5FBE8B96">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627" w:type="dxa"/>
                  <w:tcBorders>
                    <w:top w:val="single" w:color="auto" w:sz="4" w:space="0"/>
                  </w:tcBorders>
                  <w:vAlign w:val="center"/>
                </w:tcPr>
                <w:p w14:paraId="32A0F022">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zh-CN"/>
                    </w:rPr>
                    <w:t>生活垃圾</w:t>
                  </w:r>
                </w:p>
              </w:tc>
              <w:tc>
                <w:tcPr>
                  <w:tcW w:w="1194" w:type="dxa"/>
                  <w:tcBorders>
                    <w:top w:val="single" w:color="auto" w:sz="4" w:space="0"/>
                  </w:tcBorders>
                  <w:vAlign w:val="center"/>
                </w:tcPr>
                <w:p w14:paraId="6E8B409C">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一般固废</w:t>
                  </w:r>
                </w:p>
              </w:tc>
              <w:tc>
                <w:tcPr>
                  <w:tcW w:w="1393" w:type="dxa"/>
                  <w:vAlign w:val="center"/>
                </w:tcPr>
                <w:p w14:paraId="185E150E">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highlight w:val="none"/>
                      <w:lang w:val="en-US" w:eastAsia="zh-CN"/>
                    </w:rPr>
                  </w:pPr>
                  <w:r>
                    <w:rPr>
                      <w:rFonts w:hint="eastAsia" w:ascii="Times New Roman" w:hAnsi="Times New Roman" w:eastAsia="宋体" w:cs="Times New Roman"/>
                      <w:color w:val="auto"/>
                      <w:highlight w:val="none"/>
                      <w:lang w:val="en-US" w:eastAsia="zh-CN"/>
                    </w:rPr>
                    <w:t>0.90</w:t>
                  </w:r>
                </w:p>
              </w:tc>
              <w:tc>
                <w:tcPr>
                  <w:tcW w:w="3281" w:type="dxa"/>
                  <w:vAlign w:val="center"/>
                </w:tcPr>
                <w:p w14:paraId="1E13A79F">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环卫收集转运</w:t>
                  </w:r>
                </w:p>
              </w:tc>
            </w:tr>
            <w:tr w14:paraId="33C1F16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7" w:hRule="atLeast"/>
              </w:trPr>
              <w:tc>
                <w:tcPr>
                  <w:tcW w:w="645" w:type="dxa"/>
                  <w:tcBorders>
                    <w:top w:val="single" w:color="auto" w:sz="4" w:space="0"/>
                  </w:tcBorders>
                  <w:vAlign w:val="center"/>
                </w:tcPr>
                <w:p w14:paraId="40BD1176">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p>
              </w:tc>
              <w:tc>
                <w:tcPr>
                  <w:tcW w:w="1627" w:type="dxa"/>
                  <w:tcBorders>
                    <w:top w:val="single" w:color="auto" w:sz="4" w:space="0"/>
                  </w:tcBorders>
                  <w:vAlign w:val="center"/>
                </w:tcPr>
                <w:p w14:paraId="32559C6B">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医疗</w:t>
                  </w:r>
                  <w:r>
                    <w:rPr>
                      <w:rFonts w:hint="default" w:ascii="Times New Roman" w:hAnsi="Times New Roman" w:eastAsia="宋体" w:cs="Times New Roman"/>
                      <w:color w:val="auto"/>
                      <w:highlight w:val="none"/>
                    </w:rPr>
                    <w:t>废物</w:t>
                  </w:r>
                </w:p>
              </w:tc>
              <w:tc>
                <w:tcPr>
                  <w:tcW w:w="1194" w:type="dxa"/>
                  <w:vMerge w:val="restart"/>
                  <w:tcBorders>
                    <w:top w:val="single" w:color="auto" w:sz="4" w:space="0"/>
                  </w:tcBorders>
                  <w:vAlign w:val="center"/>
                </w:tcPr>
                <w:p w14:paraId="0BA283D1">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危险废物</w:t>
                  </w:r>
                </w:p>
              </w:tc>
              <w:tc>
                <w:tcPr>
                  <w:tcW w:w="1393" w:type="dxa"/>
                  <w:vAlign w:val="center"/>
                </w:tcPr>
                <w:p w14:paraId="62844CA3">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szCs w:val="24"/>
                      <w:highlight w:val="none"/>
                      <w:lang w:val="en-US" w:eastAsia="zh-CN"/>
                    </w:rPr>
                    <w:t>0.72</w:t>
                  </w:r>
                </w:p>
              </w:tc>
              <w:tc>
                <w:tcPr>
                  <w:tcW w:w="3281" w:type="dxa"/>
                  <w:vAlign w:val="center"/>
                </w:tcPr>
                <w:p w14:paraId="7994F1B7">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color w:val="auto"/>
                      <w:highlight w:val="none"/>
                      <w:lang w:val="zh-CN"/>
                    </w:rPr>
                    <w:t>统一收集后储存于危险废物暂存间，委托有资质单位安全处置</w:t>
                  </w:r>
                </w:p>
              </w:tc>
            </w:tr>
            <w:tr w14:paraId="194263D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2" w:hRule="atLeast"/>
              </w:trPr>
              <w:tc>
                <w:tcPr>
                  <w:tcW w:w="645" w:type="dxa"/>
                  <w:vAlign w:val="center"/>
                </w:tcPr>
                <w:p w14:paraId="3223121F">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highlight w:val="none"/>
                      <w:lang w:eastAsia="zh-CN"/>
                    </w:rPr>
                  </w:pPr>
                  <w:r>
                    <w:rPr>
                      <w:rFonts w:hint="eastAsia" w:ascii="Times New Roman" w:hAnsi="Times New Roman" w:cs="Times New Roman"/>
                      <w:color w:val="auto"/>
                      <w:highlight w:val="none"/>
                      <w:lang w:val="en-US" w:eastAsia="zh-CN"/>
                    </w:rPr>
                    <w:t>3</w:t>
                  </w:r>
                </w:p>
              </w:tc>
              <w:tc>
                <w:tcPr>
                  <w:tcW w:w="1627" w:type="dxa"/>
                  <w:vAlign w:val="center"/>
                </w:tcPr>
                <w:p w14:paraId="23C4682D">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污水处理污泥</w:t>
                  </w:r>
                </w:p>
              </w:tc>
              <w:tc>
                <w:tcPr>
                  <w:tcW w:w="1194" w:type="dxa"/>
                  <w:vMerge w:val="continue"/>
                  <w:vAlign w:val="center"/>
                </w:tcPr>
                <w:p w14:paraId="3D62FC42">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p>
              </w:tc>
              <w:tc>
                <w:tcPr>
                  <w:tcW w:w="1393" w:type="dxa"/>
                  <w:vAlign w:val="center"/>
                </w:tcPr>
                <w:p w14:paraId="1BF18750">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0.02164</w:t>
                  </w:r>
                </w:p>
              </w:tc>
              <w:tc>
                <w:tcPr>
                  <w:tcW w:w="3281" w:type="dxa"/>
                  <w:vMerge w:val="restart"/>
                  <w:vAlign w:val="center"/>
                </w:tcPr>
                <w:p w14:paraId="1F2C5E1C">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lang w:val="zh-CN"/>
                    </w:rPr>
                  </w:pPr>
                  <w:r>
                    <w:rPr>
                      <w:rFonts w:hint="default" w:ascii="Times New Roman" w:hAnsi="Times New Roman" w:eastAsia="宋体" w:cs="Times New Roman"/>
                      <w:color w:val="auto"/>
                      <w:highlight w:val="none"/>
                      <w:lang w:val="zh-CN"/>
                    </w:rPr>
                    <w:t>委托有资质单位进行处理</w:t>
                  </w:r>
                  <w:r>
                    <w:rPr>
                      <w:rFonts w:hint="eastAsia" w:ascii="Times New Roman" w:hAnsi="Times New Roman" w:eastAsia="宋体" w:cs="Times New Roman"/>
                      <w:color w:val="auto"/>
                      <w:highlight w:val="none"/>
                      <w:lang w:val="en-US" w:eastAsia="zh-CN"/>
                    </w:rPr>
                    <w:t>并清运</w:t>
                  </w:r>
                </w:p>
              </w:tc>
            </w:tr>
            <w:tr w14:paraId="713A24D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2" w:hRule="atLeast"/>
              </w:trPr>
              <w:tc>
                <w:tcPr>
                  <w:tcW w:w="645" w:type="dxa"/>
                  <w:vAlign w:val="center"/>
                </w:tcPr>
                <w:p w14:paraId="07E7CAD1">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w:t>
                  </w:r>
                </w:p>
              </w:tc>
              <w:tc>
                <w:tcPr>
                  <w:tcW w:w="1627" w:type="dxa"/>
                  <w:vAlign w:val="center"/>
                </w:tcPr>
                <w:p w14:paraId="6E0F301A">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color w:val="000000" w:themeColor="text1"/>
                      <w:lang w:val="en-US" w:eastAsia="zh-CN"/>
                      <w14:textFill>
                        <w14:solidFill>
                          <w14:schemeClr w14:val="tx1"/>
                        </w14:solidFill>
                      </w14:textFill>
                    </w:rPr>
                    <w:t>检验设备头道清洗废水</w:t>
                  </w:r>
                </w:p>
              </w:tc>
              <w:tc>
                <w:tcPr>
                  <w:tcW w:w="1194" w:type="dxa"/>
                  <w:vMerge w:val="continue"/>
                  <w:vAlign w:val="center"/>
                </w:tcPr>
                <w:p w14:paraId="2F2F16EA">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zh-CN"/>
                    </w:rPr>
                  </w:pPr>
                </w:p>
              </w:tc>
              <w:tc>
                <w:tcPr>
                  <w:tcW w:w="1393" w:type="dxa"/>
                  <w:vAlign w:val="center"/>
                </w:tcPr>
                <w:p w14:paraId="689F4F61">
                  <w:pPr>
                    <w:pStyle w:val="18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0.02</w:t>
                  </w:r>
                </w:p>
              </w:tc>
              <w:tc>
                <w:tcPr>
                  <w:tcW w:w="3281" w:type="dxa"/>
                  <w:vMerge w:val="continue"/>
                  <w:vAlign w:val="center"/>
                </w:tcPr>
                <w:p w14:paraId="73F3DEAB">
                  <w:pPr>
                    <w:pStyle w:val="189"/>
                    <w:pageBreakBefore w:val="0"/>
                    <w:kinsoku/>
                    <w:overflowPunct/>
                    <w:autoSpaceDE/>
                    <w:autoSpaceDN/>
                    <w:bidi w:val="0"/>
                    <w:jc w:val="center"/>
                    <w:rPr>
                      <w:rFonts w:hint="default" w:ascii="Times New Roman" w:hAnsi="Times New Roman" w:eastAsia="宋体" w:cs="Times New Roman"/>
                      <w:color w:val="auto"/>
                      <w:highlight w:val="none"/>
                      <w:lang w:val="zh-CN"/>
                    </w:rPr>
                  </w:pPr>
                </w:p>
              </w:tc>
            </w:tr>
          </w:tbl>
          <w:p w14:paraId="3CFCD07B">
            <w:pPr>
              <w:pStyle w:val="4"/>
              <w:keepNext/>
              <w:keepLines/>
              <w:pageBreakBefore w:val="0"/>
              <w:widowControl w:val="0"/>
              <w:numPr>
                <w:ilvl w:val="0"/>
                <w:numId w:val="0"/>
              </w:numPr>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4.5.1</w:t>
            </w:r>
            <w:r>
              <w:rPr>
                <w:rFonts w:hint="default" w:ascii="Times New Roman" w:hAnsi="Times New Roman" w:cs="Times New Roman"/>
                <w:color w:val="auto"/>
                <w:highlight w:val="none"/>
              </w:rPr>
              <w:t>固体废物</w:t>
            </w:r>
            <w:r>
              <w:rPr>
                <w:rFonts w:hint="default" w:ascii="Times New Roman" w:hAnsi="Times New Roman" w:cs="Times New Roman"/>
                <w:color w:val="auto"/>
                <w:highlight w:val="none"/>
                <w:lang w:val="en-US" w:eastAsia="zh-CN"/>
              </w:rPr>
              <w:t>管理要求</w:t>
            </w:r>
          </w:p>
          <w:p w14:paraId="3D24120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lang w:val="en-US"/>
              </w:rPr>
            </w:pPr>
            <w:r>
              <w:rPr>
                <w:rFonts w:hint="default"/>
                <w:lang w:val="en-US" w:eastAsia="zh-CN"/>
              </w:rPr>
              <w:t>（1）</w:t>
            </w:r>
            <w:r>
              <w:rPr>
                <w:rFonts w:hint="eastAsia"/>
                <w:lang w:val="en-US" w:eastAsia="zh-CN"/>
              </w:rPr>
              <w:t>医疗废物</w:t>
            </w:r>
          </w:p>
          <w:p w14:paraId="28C80676">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医疗废物</w:t>
            </w:r>
            <w:r>
              <w:rPr>
                <w:rFonts w:hint="eastAsia" w:ascii="Times New Roman" w:hAnsi="Times New Roman" w:eastAsia="宋体" w:cs="Times New Roman"/>
                <w:color w:val="auto"/>
                <w:szCs w:val="24"/>
                <w:highlight w:val="none"/>
                <w:lang w:val="en-US" w:eastAsia="zh-CN"/>
              </w:rPr>
              <w:t>和</w:t>
            </w:r>
            <w:r>
              <w:rPr>
                <w:rFonts w:hint="default" w:ascii="Times New Roman" w:hAnsi="Times New Roman" w:eastAsia="宋体" w:cs="Times New Roman"/>
                <w:color w:val="auto"/>
                <w:highlight w:val="none"/>
                <w:lang w:val="zh-CN"/>
              </w:rPr>
              <w:t>污水处理污泥</w:t>
            </w:r>
            <w:r>
              <w:rPr>
                <w:rFonts w:hint="default" w:ascii="Times New Roman" w:hAnsi="Times New Roman" w:eastAsia="宋体" w:cs="Times New Roman"/>
                <w:color w:val="auto"/>
                <w:szCs w:val="24"/>
                <w:highlight w:val="none"/>
              </w:rPr>
              <w:t>属于《国家危险废物名录（2021年版）》中的危废（HW01），</w:t>
            </w:r>
            <w:r>
              <w:rPr>
                <w:rFonts w:ascii="Times New Roman" w:hAnsi="Times New Roman" w:eastAsia="宋体" w:cs="Times New Roman"/>
                <w:color w:val="auto"/>
                <w:szCs w:val="24"/>
                <w:highlight w:val="none"/>
              </w:rPr>
              <w:t>贮存和转运应严格按照《危险废物贮存污染控制标准》</w:t>
            </w:r>
            <w:r>
              <w:rPr>
                <w:rFonts w:hint="eastAsia" w:ascii="Times New Roman" w:hAnsi="Times New Roman" w:eastAsia="宋体" w:cs="Times New Roman"/>
                <w:color w:val="auto"/>
                <w:szCs w:val="24"/>
                <w:highlight w:val="none"/>
                <w:lang w:eastAsia="zh-CN"/>
              </w:rPr>
              <w:t>（</w:t>
            </w:r>
            <w:r>
              <w:rPr>
                <w:rFonts w:ascii="Times New Roman" w:hAnsi="Times New Roman" w:eastAsia="宋体" w:cs="Times New Roman"/>
                <w:color w:val="auto"/>
                <w:szCs w:val="24"/>
                <w:highlight w:val="none"/>
              </w:rPr>
              <w:t>GB18597-2023</w:t>
            </w:r>
            <w:r>
              <w:rPr>
                <w:rFonts w:hint="eastAsia" w:ascii="Times New Roman" w:hAnsi="Times New Roman" w:eastAsia="宋体" w:cs="Times New Roman"/>
                <w:color w:val="auto"/>
                <w:szCs w:val="24"/>
                <w:highlight w:val="none"/>
                <w:lang w:eastAsia="zh-CN"/>
              </w:rPr>
              <w:t>）</w:t>
            </w:r>
            <w:r>
              <w:rPr>
                <w:rFonts w:ascii="Times New Roman" w:hAnsi="Times New Roman" w:eastAsia="宋体" w:cs="Times New Roman"/>
                <w:color w:val="auto"/>
                <w:szCs w:val="24"/>
                <w:highlight w:val="none"/>
              </w:rPr>
              <w:t>和《危险废物转移联单管理办法》执行。</w:t>
            </w:r>
            <w:r>
              <w:rPr>
                <w:rFonts w:hint="eastAsia" w:ascii="Times New Roman" w:hAnsi="Times New Roman" w:eastAsia="宋体" w:cs="Times New Roman"/>
                <w:color w:val="auto"/>
                <w:szCs w:val="24"/>
                <w:highlight w:val="none"/>
                <w:lang w:val="en-US" w:eastAsia="zh-CN"/>
              </w:rPr>
              <w:t>项目</w:t>
            </w:r>
            <w:r>
              <w:rPr>
                <w:rFonts w:ascii="Times New Roman" w:hAnsi="Times New Roman" w:eastAsia="宋体" w:cs="Times New Roman"/>
                <w:color w:val="auto"/>
                <w:highlight w:val="none"/>
              </w:rPr>
              <w:t>设置有危废</w:t>
            </w:r>
            <w:r>
              <w:rPr>
                <w:rFonts w:hint="eastAsia" w:ascii="Times New Roman" w:hAnsi="Times New Roman" w:eastAsia="宋体" w:cs="Times New Roman"/>
                <w:color w:val="auto"/>
                <w:highlight w:val="none"/>
              </w:rPr>
              <w:t>间</w:t>
            </w:r>
            <w:r>
              <w:rPr>
                <w:rFonts w:hint="eastAsia" w:ascii="Times New Roman" w:hAnsi="Times New Roman" w:eastAsia="宋体" w:cs="Times New Roman"/>
                <w:color w:val="auto"/>
                <w:highlight w:val="none"/>
                <w:lang w:eastAsia="zh-CN"/>
              </w:rPr>
              <w:t>，</w:t>
            </w:r>
            <w:r>
              <w:rPr>
                <w:rFonts w:hint="eastAsia" w:ascii="宋体" w:hAnsi="宋体" w:eastAsia="宋体" w:cs="宋体"/>
                <w:color w:val="auto"/>
                <w:highlight w:val="none"/>
              </w:rPr>
              <w:t>院内产生的医疗废物采用危废垃圾桶收集</w:t>
            </w:r>
            <w:r>
              <w:rPr>
                <w:rFonts w:hint="eastAsia" w:ascii="宋体" w:hAnsi="宋体" w:eastAsia="宋体" w:cs="宋体"/>
                <w:color w:val="auto"/>
                <w:highlight w:val="none"/>
                <w:lang w:eastAsia="zh-CN"/>
              </w:rPr>
              <w:t>，</w:t>
            </w:r>
            <w:r>
              <w:rPr>
                <w:rFonts w:hint="default" w:ascii="Times New Roman" w:hAnsi="Times New Roman" w:eastAsia="宋体" w:cs="Times New Roman"/>
                <w:color w:val="auto"/>
                <w:szCs w:val="24"/>
                <w:highlight w:val="none"/>
              </w:rPr>
              <w:t>暂存于危废间</w:t>
            </w:r>
            <w:r>
              <w:rPr>
                <w:rFonts w:hint="eastAsia" w:ascii="Times New Roman" w:hAnsi="Times New Roman" w:eastAsia="宋体" w:cs="Times New Roman"/>
                <w:color w:val="auto"/>
                <w:szCs w:val="24"/>
                <w:highlight w:val="none"/>
                <w:lang w:eastAsia="zh-CN"/>
              </w:rPr>
              <w:t>。</w:t>
            </w:r>
            <w:r>
              <w:rPr>
                <w:rFonts w:hint="eastAsia" w:ascii="Times New Roman" w:hAnsi="Times New Roman" w:eastAsia="宋体" w:cs="Times New Roman"/>
                <w:color w:val="auto"/>
                <w:szCs w:val="24"/>
                <w:highlight w:val="none"/>
                <w:lang w:val="en-US" w:eastAsia="zh-CN"/>
              </w:rPr>
              <w:t>医疗废物和</w:t>
            </w:r>
            <w:r>
              <w:rPr>
                <w:rFonts w:hint="default" w:ascii="Times New Roman" w:hAnsi="Times New Roman" w:eastAsia="宋体" w:cs="Times New Roman"/>
                <w:color w:val="auto"/>
                <w:highlight w:val="none"/>
                <w:lang w:val="zh-CN"/>
              </w:rPr>
              <w:t>污水处理污泥</w:t>
            </w:r>
            <w:r>
              <w:rPr>
                <w:rFonts w:hint="default" w:ascii="Times New Roman" w:hAnsi="Times New Roman" w:eastAsia="宋体" w:cs="Times New Roman"/>
                <w:color w:val="auto"/>
                <w:szCs w:val="24"/>
                <w:highlight w:val="none"/>
              </w:rPr>
              <w:t>由有资质的单位统一回收处置。</w:t>
            </w:r>
          </w:p>
          <w:p w14:paraId="625E0E8E">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同时，</w:t>
            </w:r>
            <w:r>
              <w:rPr>
                <w:rFonts w:hint="eastAsia" w:ascii="Times New Roman" w:hAnsi="Times New Roman" w:eastAsia="宋体" w:cs="Times New Roman"/>
                <w:color w:val="auto"/>
                <w:highlight w:val="none"/>
                <w:lang w:val="en-US" w:eastAsia="zh-CN"/>
              </w:rPr>
              <w:t>医院</w:t>
            </w:r>
            <w:r>
              <w:rPr>
                <w:rFonts w:hint="default" w:ascii="Times New Roman" w:hAnsi="Times New Roman" w:eastAsia="宋体" w:cs="Times New Roman"/>
                <w:color w:val="auto"/>
                <w:highlight w:val="none"/>
              </w:rPr>
              <w:t>对危险废物的收集、储存、转运和处置，需严格按照</w:t>
            </w:r>
            <w:r>
              <w:rPr>
                <w:rFonts w:ascii="Times New Roman" w:hAnsi="Times New Roman" w:eastAsia="宋体" w:cs="Times New Roman"/>
                <w:color w:val="auto"/>
                <w:szCs w:val="24"/>
                <w:highlight w:val="none"/>
              </w:rPr>
              <w:t>《医疗废物管理条例</w:t>
            </w:r>
            <w:r>
              <w:rPr>
                <w:rFonts w:hint="eastAsia" w:ascii="Times New Roman" w:hAnsi="Times New Roman" w:eastAsia="宋体" w:cs="Times New Roman"/>
                <w:color w:val="auto"/>
                <w:szCs w:val="24"/>
                <w:highlight w:val="none"/>
                <w:lang w:eastAsia="zh-CN"/>
              </w:rPr>
              <w:t>（</w:t>
            </w:r>
            <w:r>
              <w:rPr>
                <w:rFonts w:hint="eastAsia" w:ascii="Times New Roman" w:hAnsi="Times New Roman" w:eastAsia="宋体" w:cs="Times New Roman"/>
                <w:color w:val="auto"/>
                <w:szCs w:val="24"/>
                <w:highlight w:val="none"/>
                <w:lang w:val="en-US" w:eastAsia="zh-CN"/>
              </w:rPr>
              <w:t>2021年版</w:t>
            </w:r>
            <w:r>
              <w:rPr>
                <w:rFonts w:hint="eastAsia" w:ascii="Times New Roman" w:hAnsi="Times New Roman" w:eastAsia="宋体" w:cs="Times New Roman"/>
                <w:color w:val="auto"/>
                <w:szCs w:val="24"/>
                <w:highlight w:val="none"/>
                <w:lang w:eastAsia="zh-CN"/>
              </w:rPr>
              <w:t>）</w:t>
            </w:r>
            <w:r>
              <w:rPr>
                <w:rFonts w:ascii="Times New Roman" w:hAnsi="Times New Roman" w:eastAsia="宋体" w:cs="Times New Roman"/>
                <w:color w:val="auto"/>
                <w:szCs w:val="24"/>
                <w:highlight w:val="none"/>
              </w:rPr>
              <w:t>》</w:t>
            </w:r>
            <w:r>
              <w:rPr>
                <w:rFonts w:hint="eastAsia" w:ascii="Times New Roman" w:hAnsi="Times New Roman" w:eastAsia="宋体" w:cs="Times New Roman"/>
                <w:color w:val="auto"/>
                <w:szCs w:val="24"/>
                <w:highlight w:val="none"/>
                <w:lang w:val="en-US" w:eastAsia="zh-CN"/>
              </w:rPr>
              <w:t>和</w:t>
            </w:r>
            <w:r>
              <w:rPr>
                <w:rFonts w:hint="default" w:ascii="Times New Roman" w:hAnsi="Times New Roman" w:eastAsia="宋体" w:cs="Times New Roman"/>
                <w:color w:val="auto"/>
                <w:highlight w:val="none"/>
              </w:rPr>
              <w:t>《危险废物贮存污染控制标准》（GB18597-2023）执行相关措施：</w:t>
            </w:r>
          </w:p>
          <w:p w14:paraId="23D4904B">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1）危险废物收集措施</w:t>
            </w:r>
          </w:p>
          <w:p w14:paraId="7A713648">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医疗废物采用</w:t>
            </w:r>
            <w:r>
              <w:rPr>
                <w:rFonts w:hint="eastAsia" w:ascii="Times New Roman" w:hAnsi="Times New Roman" w:eastAsia="宋体" w:cs="Times New Roman"/>
                <w:color w:val="auto"/>
                <w:highlight w:val="none"/>
                <w:lang w:val="en-US" w:eastAsia="zh-CN"/>
              </w:rPr>
              <w:t>专用医疗废物垃圾桶分类</w:t>
            </w:r>
            <w:r>
              <w:rPr>
                <w:rFonts w:hint="default" w:ascii="Times New Roman" w:hAnsi="Times New Roman" w:eastAsia="宋体" w:cs="Times New Roman"/>
                <w:color w:val="auto"/>
                <w:highlight w:val="none"/>
              </w:rPr>
              <w:t>收集</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临时</w:t>
            </w:r>
            <w:r>
              <w:rPr>
                <w:rFonts w:hint="eastAsia" w:ascii="Times New Roman" w:hAnsi="Times New Roman" w:eastAsia="宋体" w:cs="Times New Roman"/>
                <w:color w:val="auto"/>
                <w:highlight w:val="none"/>
                <w:lang w:val="en-US" w:eastAsia="zh-CN"/>
              </w:rPr>
              <w:t>贮存</w:t>
            </w:r>
            <w:r>
              <w:rPr>
                <w:rFonts w:hint="default" w:ascii="Times New Roman" w:hAnsi="Times New Roman" w:eastAsia="宋体" w:cs="Times New Roman"/>
                <w:color w:val="auto"/>
                <w:highlight w:val="none"/>
              </w:rPr>
              <w:t>在</w:t>
            </w:r>
            <w:r>
              <w:rPr>
                <w:rFonts w:hint="eastAsia" w:ascii="Times New Roman" w:hAnsi="Times New Roman" w:eastAsia="宋体" w:cs="Times New Roman"/>
                <w:color w:val="auto"/>
                <w:highlight w:val="none"/>
                <w:lang w:eastAsia="zh-CN"/>
              </w:rPr>
              <w:t>危废间</w:t>
            </w:r>
            <w:r>
              <w:rPr>
                <w:rFonts w:hint="default" w:ascii="Times New Roman" w:hAnsi="Times New Roman" w:eastAsia="宋体" w:cs="Times New Roman"/>
                <w:color w:val="auto"/>
                <w:highlight w:val="none"/>
              </w:rPr>
              <w:t>内。</w:t>
            </w:r>
          </w:p>
          <w:p w14:paraId="01406C10">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）危险废物转运措施</w:t>
            </w:r>
          </w:p>
          <w:p w14:paraId="61C384F5">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危险废物运输应由持有危险废物经营许可证的单位按照其许可证的经营范围组织实施，承担危险废物运输的单位应获得交通运输部门颁发的危险货物运输资质。运输单位承运危险废物时，应在危险废物包装上按照</w:t>
            </w:r>
            <w:r>
              <w:rPr>
                <w:rFonts w:ascii="Times New Roman" w:hAnsi="Times New Roman" w:eastAsia="宋体" w:cs="Times New Roman"/>
                <w:color w:val="auto"/>
                <w:szCs w:val="24"/>
                <w:highlight w:val="none"/>
              </w:rPr>
              <w:t>《危险废物贮存污染控制标准》</w:t>
            </w:r>
            <w:r>
              <w:rPr>
                <w:rFonts w:hint="eastAsia" w:ascii="Times New Roman" w:hAnsi="Times New Roman" w:eastAsia="宋体" w:cs="Times New Roman"/>
                <w:color w:val="auto"/>
                <w:szCs w:val="24"/>
                <w:highlight w:val="none"/>
                <w:lang w:eastAsia="zh-CN"/>
              </w:rPr>
              <w:t>（</w:t>
            </w:r>
            <w:r>
              <w:rPr>
                <w:rFonts w:ascii="Times New Roman" w:hAnsi="Times New Roman" w:eastAsia="宋体" w:cs="Times New Roman"/>
                <w:color w:val="auto"/>
                <w:szCs w:val="24"/>
                <w:highlight w:val="none"/>
              </w:rPr>
              <w:t>GB18597-2023</w:t>
            </w:r>
            <w:r>
              <w:rPr>
                <w:rFonts w:hint="eastAsia"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highlight w:val="none"/>
              </w:rPr>
              <w:t>附录A设置标志危险废物公路运输时，运输车辆应按《道路运输危险货物车辆标志》GB13392设置车辆标志。</w:t>
            </w:r>
          </w:p>
          <w:p w14:paraId="0BCC479F">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）危险废物处置措施</w:t>
            </w:r>
          </w:p>
          <w:p w14:paraId="3FACE084">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具体可参照如下措施执行：</w:t>
            </w:r>
          </w:p>
          <w:p w14:paraId="6E1286AD">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①危险废物应与其他固体废物严格隔离，禁止一般固废和生活垃圾混入；同时也禁止危险废物混入一般固废和生活垃圾中。</w:t>
            </w:r>
          </w:p>
          <w:p w14:paraId="1C1967D6">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②强化配套设施的配备。危险废物应当使用符合标准的容器分类盛装；禁止将不相容（相互反应）的危险废物在同一容器内混装；盛装危险废物的容器上必须粘贴符合标准的标签。</w:t>
            </w:r>
          </w:p>
          <w:p w14:paraId="4CDCB789">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③装载液体、半固体危险废物的容器内须留足够空间，容器顶部与液体表面之间保留100mm以上的空间。</w:t>
            </w:r>
          </w:p>
          <w:p w14:paraId="01ABA24E">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④检查</w:t>
            </w:r>
            <w:r>
              <w:rPr>
                <w:rFonts w:hint="eastAsia" w:ascii="Times New Roman" w:hAnsi="Times New Roman" w:eastAsia="宋体" w:cs="Times New Roman"/>
                <w:color w:val="auto"/>
                <w:highlight w:val="none"/>
                <w:lang w:val="en-US" w:eastAsia="zh-CN"/>
              </w:rPr>
              <w:t>医院</w:t>
            </w:r>
            <w:r>
              <w:rPr>
                <w:rFonts w:hint="default" w:ascii="Times New Roman" w:hAnsi="Times New Roman" w:eastAsia="宋体" w:cs="Times New Roman"/>
                <w:color w:val="auto"/>
                <w:highlight w:val="none"/>
              </w:rPr>
              <w:t>内的通讯设备、照明设施、安全防护服装及工具，检查应急防护设施。</w:t>
            </w:r>
          </w:p>
          <w:p w14:paraId="04ECC0CF">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⑤完善维护制度，定期检查维护危废贮存箱等设施，发现有损坏可能或异常，应及时采取必要措施，以保障正常使用。</w:t>
            </w:r>
          </w:p>
          <w:p w14:paraId="5CDFBE1F">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⑥项目产生的固体废物</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拟采取的处置措施及去向按《中华人民共和国传染病防治法》和《中华人民共和国固体废物污染环境防治法》的规定向</w:t>
            </w:r>
            <w:r>
              <w:rPr>
                <w:rFonts w:hint="eastAsia" w:ascii="Times New Roman" w:hAnsi="Times New Roman" w:eastAsia="宋体" w:cs="Times New Roman"/>
                <w:color w:val="auto"/>
                <w:highlight w:val="none"/>
                <w:lang w:val="en-US" w:eastAsia="zh-CN"/>
              </w:rPr>
              <w:t>生态环境局</w:t>
            </w:r>
            <w:r>
              <w:rPr>
                <w:rFonts w:hint="default" w:ascii="Times New Roman" w:hAnsi="Times New Roman" w:eastAsia="宋体" w:cs="Times New Roman"/>
                <w:color w:val="auto"/>
                <w:highlight w:val="none"/>
              </w:rPr>
              <w:t>申报，填报危险废物转移五联单，按要求对项目产生的固体废物特别是危险废物进行全过程严格管理和安全处置。在采取了严格的控制措施后，</w:t>
            </w: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危险废物处置率为100%，无外排，则不会对环境产生影响。</w:t>
            </w:r>
          </w:p>
          <w:p w14:paraId="30B7BF6C">
            <w:pPr>
              <w:pStyle w:val="157"/>
              <w:ind w:firstLine="48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4</w:t>
            </w:r>
            <w:r>
              <w:rPr>
                <w:rFonts w:ascii="Times New Roman" w:hAnsi="Times New Roman" w:eastAsia="宋体" w:cs="Times New Roman"/>
                <w:color w:val="auto"/>
                <w:highlight w:val="none"/>
              </w:rPr>
              <w:t>）</w:t>
            </w:r>
            <w:r>
              <w:rPr>
                <w:rFonts w:ascii="Times New Roman" w:hAnsi="Times New Roman" w:eastAsia="宋体" w:cs="Times New Roman"/>
                <w:color w:val="auto"/>
                <w:szCs w:val="24"/>
                <w:highlight w:val="none"/>
              </w:rPr>
              <w:t xml:space="preserve">医疗废物储存相关要求 </w:t>
            </w:r>
          </w:p>
          <w:p w14:paraId="6D2FEE1B">
            <w:pPr>
              <w:pStyle w:val="157"/>
              <w:ind w:firstLine="480"/>
              <w:rPr>
                <w:rFonts w:hint="default" w:ascii="Times New Roman" w:hAnsi="Times New Roman" w:eastAsia="宋体" w:cs="Times New Roman"/>
                <w:color w:val="auto"/>
                <w:highlight w:val="none"/>
              </w:rPr>
            </w:pPr>
            <w:r>
              <w:rPr>
                <w:rFonts w:ascii="Times New Roman" w:hAnsi="Times New Roman" w:eastAsia="宋体" w:cs="Times New Roman"/>
                <w:color w:val="auto"/>
                <w:highlight w:val="none"/>
              </w:rPr>
              <w:t>现有</w:t>
            </w:r>
            <w:r>
              <w:rPr>
                <w:rFonts w:hint="eastAsia" w:ascii="Times New Roman" w:hAnsi="Times New Roman" w:eastAsia="宋体" w:cs="Times New Roman"/>
                <w:color w:val="auto"/>
                <w:highlight w:val="none"/>
              </w:rPr>
              <w:t>危废间</w:t>
            </w:r>
            <w:r>
              <w:rPr>
                <w:rFonts w:ascii="Times New Roman" w:hAnsi="Times New Roman" w:eastAsia="宋体" w:cs="Times New Roman"/>
                <w:color w:val="auto"/>
                <w:highlight w:val="none"/>
              </w:rPr>
              <w:t>做到防风、防雨、防晒、防渗。</w:t>
            </w:r>
            <w:r>
              <w:rPr>
                <w:rFonts w:ascii="Times New Roman" w:hAnsi="Times New Roman" w:eastAsia="宋体" w:cs="Times New Roman"/>
                <w:color w:val="auto"/>
                <w:szCs w:val="24"/>
                <w:highlight w:val="none"/>
              </w:rPr>
              <w:t>根据《医疗废物集中处置技术规范</w:t>
            </w:r>
            <w:r>
              <w:rPr>
                <w:rFonts w:hint="eastAsia" w:ascii="Times New Roman" w:hAnsi="Times New Roman" w:eastAsia="宋体" w:cs="Times New Roman"/>
                <w:color w:val="auto"/>
                <w:szCs w:val="24"/>
                <w:highlight w:val="none"/>
              </w:rPr>
              <w:t>（</w:t>
            </w:r>
            <w:r>
              <w:rPr>
                <w:rFonts w:ascii="Times New Roman" w:hAnsi="Times New Roman" w:eastAsia="宋体" w:cs="Times New Roman"/>
                <w:color w:val="auto"/>
                <w:szCs w:val="24"/>
                <w:highlight w:val="none"/>
              </w:rPr>
              <w:t>试行</w:t>
            </w:r>
            <w:r>
              <w:rPr>
                <w:rFonts w:hint="eastAsia" w:ascii="Times New Roman" w:hAnsi="Times New Roman" w:eastAsia="宋体" w:cs="Times New Roman"/>
                <w:color w:val="auto"/>
                <w:szCs w:val="24"/>
                <w:highlight w:val="none"/>
              </w:rPr>
              <w:t>）</w:t>
            </w:r>
            <w:r>
              <w:rPr>
                <w:rFonts w:ascii="Times New Roman" w:hAnsi="Times New Roman" w:eastAsia="宋体" w:cs="Times New Roman"/>
                <w:color w:val="auto"/>
                <w:szCs w:val="24"/>
                <w:highlight w:val="none"/>
              </w:rPr>
              <w:t>》和《医疗废物管理条例</w:t>
            </w:r>
            <w:r>
              <w:rPr>
                <w:rFonts w:hint="eastAsia" w:ascii="Times New Roman" w:hAnsi="Times New Roman" w:eastAsia="宋体" w:cs="Times New Roman"/>
                <w:color w:val="auto"/>
                <w:szCs w:val="24"/>
                <w:highlight w:val="none"/>
                <w:lang w:eastAsia="zh-CN"/>
              </w:rPr>
              <w:t>（</w:t>
            </w:r>
            <w:r>
              <w:rPr>
                <w:rFonts w:hint="eastAsia" w:ascii="Times New Roman" w:hAnsi="Times New Roman" w:eastAsia="宋体" w:cs="Times New Roman"/>
                <w:color w:val="auto"/>
                <w:szCs w:val="24"/>
                <w:highlight w:val="none"/>
                <w:lang w:val="en-US" w:eastAsia="zh-CN"/>
              </w:rPr>
              <w:t>2021年版</w:t>
            </w:r>
            <w:r>
              <w:rPr>
                <w:rFonts w:hint="eastAsia" w:ascii="Times New Roman" w:hAnsi="Times New Roman" w:eastAsia="宋体" w:cs="Times New Roman"/>
                <w:color w:val="auto"/>
                <w:szCs w:val="24"/>
                <w:highlight w:val="none"/>
                <w:lang w:eastAsia="zh-CN"/>
              </w:rPr>
              <w:t>）</w:t>
            </w:r>
            <w:r>
              <w:rPr>
                <w:rFonts w:ascii="Times New Roman" w:hAnsi="Times New Roman" w:eastAsia="宋体" w:cs="Times New Roman"/>
                <w:color w:val="auto"/>
                <w:szCs w:val="24"/>
                <w:highlight w:val="none"/>
              </w:rPr>
              <w:t>》要求。建设单位应当对医疗废物进行登记，登记内容应当包括医疗废物的来源、种类、重量或者数量、交接时间、处置方法、最终去向以及经办人签名等项目，登记资料至少保存3年；医疗废物的暂时贮存设施、设备，按专用医疗废物警示标识要求，在暂存间外的明显处同时设置医疗废物的警示标识；应有严密的封闭措施，设专人管理，避免非工作人员进出，以及防鼠、防蚊蝇、防蟑螂、防盗以及预防儿童接触等安全措施。医院应制定医疗废物暂时贮存管理的有关规章制度、工作程序及应急处理措施</w:t>
            </w:r>
            <w:r>
              <w:rPr>
                <w:rFonts w:hint="eastAsia" w:ascii="Times New Roman" w:hAnsi="Times New Roman" w:eastAsia="宋体" w:cs="Times New Roman"/>
                <w:color w:val="auto"/>
                <w:szCs w:val="24"/>
                <w:highlight w:val="none"/>
              </w:rPr>
              <w:t>，</w:t>
            </w:r>
            <w:r>
              <w:rPr>
                <w:rFonts w:ascii="Times New Roman" w:hAnsi="Times New Roman" w:eastAsia="宋体" w:cs="Times New Roman"/>
                <w:color w:val="auto"/>
                <w:szCs w:val="24"/>
                <w:highlight w:val="none"/>
              </w:rPr>
              <w:t>接受当地</w:t>
            </w:r>
            <w:r>
              <w:rPr>
                <w:rFonts w:hint="eastAsia" w:ascii="Times New Roman" w:hAnsi="Times New Roman" w:eastAsia="宋体" w:cs="Times New Roman"/>
                <w:color w:val="auto"/>
                <w:szCs w:val="24"/>
                <w:highlight w:val="none"/>
                <w:lang w:val="en-US" w:eastAsia="zh-CN"/>
              </w:rPr>
              <w:t>生态环境主管部门</w:t>
            </w:r>
            <w:r>
              <w:rPr>
                <w:rFonts w:ascii="Times New Roman" w:hAnsi="Times New Roman" w:eastAsia="宋体" w:cs="Times New Roman"/>
                <w:color w:val="auto"/>
                <w:szCs w:val="24"/>
                <w:highlight w:val="none"/>
              </w:rPr>
              <w:t xml:space="preserve">和卫生主管部门的监督检查。 </w:t>
            </w:r>
          </w:p>
          <w:p w14:paraId="26073585">
            <w:pPr>
              <w:pStyle w:val="4"/>
              <w:numPr>
                <w:ilvl w:val="0"/>
                <w:numId w:val="0"/>
              </w:numPr>
              <w:ind w:firstLine="480" w:firstLineChars="200"/>
              <w:jc w:val="both"/>
              <w:rPr>
                <w:b w:val="0"/>
                <w:bCs w:val="0"/>
                <w:color w:val="auto"/>
                <w:highlight w:val="none"/>
              </w:rPr>
            </w:pPr>
            <w:r>
              <w:rPr>
                <w:b w:val="0"/>
                <w:bCs w:val="0"/>
                <w:color w:val="auto"/>
                <w:highlight w:val="none"/>
              </w:rPr>
              <w:t>（2）生活垃圾</w:t>
            </w:r>
          </w:p>
          <w:p w14:paraId="02DA7F07">
            <w:pPr>
              <w:pStyle w:val="4"/>
              <w:numPr>
                <w:ilvl w:val="0"/>
                <w:numId w:val="0"/>
              </w:numPr>
              <w:ind w:firstLine="480" w:firstLineChars="200"/>
              <w:jc w:val="both"/>
              <w:rPr>
                <w:b w:val="0"/>
                <w:bCs w:val="0"/>
                <w:color w:val="auto"/>
                <w:highlight w:val="none"/>
              </w:rPr>
            </w:pPr>
            <w:r>
              <w:rPr>
                <w:rFonts w:hint="eastAsia"/>
                <w:b w:val="0"/>
                <w:bCs w:val="0"/>
                <w:color w:val="auto"/>
                <w:highlight w:val="none"/>
              </w:rPr>
              <w:t>院内</w:t>
            </w:r>
            <w:r>
              <w:rPr>
                <w:b w:val="0"/>
                <w:bCs w:val="0"/>
                <w:color w:val="auto"/>
                <w:highlight w:val="none"/>
              </w:rPr>
              <w:t>设置垃圾桶，生活垃圾由环卫部门统一外运处置。</w:t>
            </w:r>
          </w:p>
          <w:p w14:paraId="162C3D80">
            <w:pPr>
              <w:numPr>
                <w:ilvl w:val="-1"/>
                <w:numId w:val="0"/>
              </w:numPr>
              <w:spacing w:line="360" w:lineRule="auto"/>
              <w:ind w:firstLine="480" w:firstLineChars="200"/>
              <w:rPr>
                <w:color w:val="auto"/>
                <w:highlight w:val="none"/>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w:t>
            </w:r>
            <w:r>
              <w:rPr>
                <w:rFonts w:hint="eastAsia"/>
                <w:color w:val="auto"/>
                <w:highlight w:val="none"/>
              </w:rPr>
              <w:t>污水处理污泥</w:t>
            </w:r>
          </w:p>
          <w:p w14:paraId="718833EF">
            <w:pPr>
              <w:spacing w:line="360" w:lineRule="auto"/>
              <w:ind w:firstLine="480" w:firstLineChars="200"/>
              <w:rPr>
                <w:color w:val="auto"/>
                <w:highlight w:val="none"/>
              </w:rPr>
            </w:pPr>
            <w:r>
              <w:rPr>
                <w:rFonts w:hint="eastAsia"/>
                <w:color w:val="auto"/>
                <w:highlight w:val="none"/>
                <w:lang w:eastAsia="zh-CN"/>
              </w:rPr>
              <w:t>消毒设备</w:t>
            </w:r>
            <w:r>
              <w:rPr>
                <w:color w:val="auto"/>
                <w:highlight w:val="none"/>
              </w:rPr>
              <w:t>产生的污泥含有病原微生物。医院</w:t>
            </w:r>
            <w:r>
              <w:rPr>
                <w:rFonts w:hint="eastAsia"/>
                <w:color w:val="auto"/>
                <w:highlight w:val="none"/>
                <w:lang w:eastAsia="zh-CN"/>
              </w:rPr>
              <w:t>消毒设备</w:t>
            </w:r>
            <w:r>
              <w:rPr>
                <w:color w:val="auto"/>
                <w:highlight w:val="none"/>
              </w:rPr>
              <w:t>处理的污水量为</w:t>
            </w:r>
            <w:r>
              <w:rPr>
                <w:rFonts w:hint="eastAsia"/>
                <w:color w:val="auto"/>
                <w:highlight w:val="none"/>
                <w:lang w:val="en-US" w:eastAsia="zh-CN"/>
              </w:rPr>
              <w:t>216.36</w:t>
            </w:r>
            <w:r>
              <w:rPr>
                <w:color w:val="auto"/>
                <w:highlight w:val="none"/>
              </w:rPr>
              <w:t>t/a，污泥产生系数按0.1</w:t>
            </w:r>
            <w:r>
              <w:rPr>
                <w:rFonts w:hint="eastAsia"/>
                <w:color w:val="auto"/>
                <w:highlight w:val="none"/>
                <w:lang w:val="en-US" w:eastAsia="zh-CN"/>
              </w:rPr>
              <w:t>0</w:t>
            </w:r>
            <w:r>
              <w:rPr>
                <w:color w:val="auto"/>
                <w:highlight w:val="none"/>
              </w:rPr>
              <w:t>kg 污泥/t废水计，则该医院污泥产生约为</w:t>
            </w:r>
            <w:r>
              <w:rPr>
                <w:rFonts w:hint="eastAsia"/>
                <w:color w:val="auto"/>
                <w:highlight w:val="none"/>
                <w:lang w:eastAsia="zh-CN"/>
              </w:rPr>
              <w:t>0.02164</w:t>
            </w:r>
            <w:r>
              <w:rPr>
                <w:color w:val="auto"/>
                <w:highlight w:val="none"/>
              </w:rPr>
              <w:t>t/a，属于HW01医疗废物（废物代码 831-001-01），</w:t>
            </w:r>
            <w:r>
              <w:rPr>
                <w:rFonts w:hint="eastAsia"/>
                <w:color w:val="auto"/>
                <w:highlight w:val="none"/>
                <w:lang w:val="en-US" w:eastAsia="zh-CN"/>
              </w:rPr>
              <w:t>3天～5天</w:t>
            </w:r>
            <w:r>
              <w:rPr>
                <w:rFonts w:hint="eastAsia"/>
                <w:color w:val="auto"/>
                <w:highlight w:val="none"/>
                <w:lang w:eastAsia="zh-CN"/>
              </w:rPr>
              <w:t>排渣一次</w:t>
            </w:r>
            <w:r>
              <w:rPr>
                <w:color w:val="auto"/>
                <w:highlight w:val="none"/>
              </w:rPr>
              <w:t>，交由</w:t>
            </w:r>
            <w:r>
              <w:rPr>
                <w:rFonts w:hint="eastAsia"/>
                <w:color w:val="auto"/>
                <w:highlight w:val="none"/>
                <w:lang w:eastAsia="zh-CN"/>
              </w:rPr>
              <w:t>有资质</w:t>
            </w:r>
            <w:r>
              <w:rPr>
                <w:rFonts w:hint="eastAsia"/>
                <w:color w:val="auto"/>
                <w:highlight w:val="none"/>
                <w:lang w:val="en-US" w:eastAsia="zh-CN"/>
              </w:rPr>
              <w:t>的</w:t>
            </w:r>
            <w:r>
              <w:rPr>
                <w:rFonts w:hint="eastAsia"/>
                <w:color w:val="auto"/>
                <w:highlight w:val="none"/>
                <w:lang w:eastAsia="zh-CN"/>
              </w:rPr>
              <w:t>单位</w:t>
            </w:r>
            <w:r>
              <w:rPr>
                <w:color w:val="auto"/>
                <w:highlight w:val="none"/>
              </w:rPr>
              <w:t>安全处置。</w:t>
            </w:r>
          </w:p>
          <w:p w14:paraId="19D0BD6E">
            <w:pPr>
              <w:numPr>
                <w:ilvl w:val="0"/>
                <w:numId w:val="0"/>
              </w:numPr>
              <w:spacing w:line="360" w:lineRule="auto"/>
              <w:ind w:leftChars="20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）检验设备头道清洗废水</w:t>
            </w:r>
          </w:p>
          <w:p w14:paraId="139D3557">
            <w:pPr>
              <w:pStyle w:val="490"/>
              <w:keepNext w:val="0"/>
              <w:keepLines w:val="0"/>
              <w:pageBreakBefore w:val="0"/>
              <w:widowControl w:val="0"/>
              <w:kinsoku/>
              <w:wordWrap w:val="0"/>
              <w:overflowPunct/>
              <w:topLinePunct w:val="0"/>
              <w:autoSpaceDE w:val="0"/>
              <w:autoSpaceDN w:val="0"/>
              <w:bidi w:val="0"/>
              <w:adjustRightInd w:val="0"/>
              <w:snapToGrid w:val="0"/>
              <w:ind w:left="0" w:leftChars="0" w:firstLine="480" w:firstLineChars="200"/>
              <w:jc w:val="both"/>
              <w:textAlignment w:val="auto"/>
              <w:rPr>
                <w:rFonts w:hint="eastAsia"/>
                <w:color w:val="FF0000"/>
                <w:lang w:eastAsia="zh-CN"/>
              </w:rPr>
            </w:pPr>
            <w:r>
              <w:rPr>
                <w:rFonts w:hint="eastAsia" w:cs="Times New Roman"/>
                <w:b w:val="0"/>
                <w:bCs/>
                <w:color w:val="auto"/>
                <w:kern w:val="2"/>
                <w:sz w:val="24"/>
                <w:szCs w:val="32"/>
                <w:highlight w:val="none"/>
                <w:lang w:val="en-US" w:eastAsia="zh-CN"/>
              </w:rPr>
              <w:t>本</w:t>
            </w:r>
            <w:r>
              <w:rPr>
                <w:rFonts w:hint="eastAsia" w:ascii="Times New Roman" w:hAnsi="Times New Roman" w:eastAsia="宋体" w:cs="Times New Roman"/>
                <w:b w:val="0"/>
                <w:bCs/>
                <w:color w:val="auto"/>
                <w:kern w:val="2"/>
                <w:sz w:val="24"/>
                <w:szCs w:val="32"/>
                <w:highlight w:val="none"/>
                <w:lang w:val="en-US" w:eastAsia="zh-CN"/>
              </w:rPr>
              <w:t>项目检验设备清洗过程中产生废水，清洗</w:t>
            </w:r>
            <w:r>
              <w:rPr>
                <w:rFonts w:hint="eastAsia"/>
                <w:color w:val="auto"/>
                <w:highlight w:val="none"/>
                <w:lang w:val="en-US" w:eastAsia="zh-CN"/>
              </w:rPr>
              <w:t>检验设备用水量约为0.4t/a，头道检验设备清洗废水产生量约为0.04t/a，检验设备头道清洗废水属于HW49类别危险废物，专用废水袋收集并由有资质单位定期清运。</w:t>
            </w:r>
          </w:p>
          <w:p w14:paraId="352CD591">
            <w:pPr>
              <w:pStyle w:val="4"/>
              <w:keepNext/>
              <w:keepLines/>
              <w:pageBreakBefore w:val="0"/>
              <w:widowControl w:val="0"/>
              <w:numPr>
                <w:ilvl w:val="0"/>
                <w:numId w:val="0"/>
              </w:numPr>
              <w:kinsoku/>
              <w:wordWrap/>
              <w:overflowPunct/>
              <w:topLinePunct w:val="0"/>
              <w:autoSpaceDE/>
              <w:autoSpaceDN/>
              <w:bidi w:val="0"/>
              <w:adjustRightInd w:val="0"/>
              <w:snapToGrid w:val="0"/>
              <w:jc w:val="both"/>
              <w:textAlignment w:val="auto"/>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4.</w:t>
            </w:r>
            <w:r>
              <w:rPr>
                <w:rFonts w:hint="default" w:ascii="Times New Roman" w:hAnsi="Times New Roman" w:cs="Times New Roman"/>
                <w:color w:val="auto"/>
                <w:sz w:val="28"/>
                <w:szCs w:val="28"/>
                <w:highlight w:val="none"/>
                <w:lang w:val="en-US" w:eastAsia="zh-CN"/>
              </w:rPr>
              <w:t>6</w:t>
            </w:r>
            <w:r>
              <w:rPr>
                <w:rFonts w:hint="default" w:ascii="Times New Roman" w:hAnsi="Times New Roman" w:cs="Times New Roman"/>
                <w:color w:val="auto"/>
                <w:sz w:val="28"/>
                <w:szCs w:val="28"/>
                <w:highlight w:val="none"/>
              </w:rPr>
              <w:t>电磁辐射</w:t>
            </w:r>
          </w:p>
          <w:p w14:paraId="7C0C1297">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设有一台</w:t>
            </w:r>
            <w:r>
              <w:rPr>
                <w:rFonts w:hint="eastAsia" w:ascii="Times New Roman" w:hAnsi="Times New Roman" w:eastAsia="宋体" w:cs="Times New Roman"/>
                <w:color w:val="auto"/>
                <w:szCs w:val="24"/>
                <w:highlight w:val="none"/>
                <w:lang w:val="en-US" w:eastAsia="zh-CN"/>
              </w:rPr>
              <w:t>兽用</w:t>
            </w:r>
            <w:r>
              <w:rPr>
                <w:rFonts w:hint="default" w:ascii="Times New Roman" w:hAnsi="Times New Roman" w:eastAsia="宋体" w:cs="Times New Roman"/>
                <w:color w:val="auto"/>
                <w:szCs w:val="24"/>
                <w:highlight w:val="none"/>
              </w:rPr>
              <w:t>诊断</w:t>
            </w:r>
            <w:r>
              <w:rPr>
                <w:rFonts w:hint="default" w:ascii="Times New Roman" w:hAnsi="Times New Roman" w:eastAsia="宋体" w:cs="Times New Roman"/>
                <w:color w:val="auto"/>
                <w:szCs w:val="24"/>
                <w:highlight w:val="none"/>
                <w:lang w:val="en-US" w:eastAsia="zh-CN"/>
              </w:rPr>
              <w:t>X射线机</w:t>
            </w:r>
            <w:r>
              <w:rPr>
                <w:rFonts w:hint="default" w:ascii="Times New Roman" w:hAnsi="Times New Roman" w:eastAsia="宋体" w:cs="Times New Roman"/>
                <w:color w:val="auto"/>
                <w:szCs w:val="24"/>
                <w:highlight w:val="none"/>
              </w:rPr>
              <w:t>，其使用时会排放X射线，对环境会造成一定的辐射危害。辐射是以电磁波的形式向外放散的。Y射线、X射线、紫外线、可见光、红外线，超短波和长波无线电波都属于电磁波的范围。</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X光机诊断照射会产生X射线辐射。X线的应用可以给医疗诊断带来好处（如放射诊断、放射治疗等），但是应用中如果不注意防护或使用不当，也可造成一定的危害（如个体受到损伤或人群中癌症发病率增高等）。</w:t>
            </w:r>
          </w:p>
          <w:p w14:paraId="14BB4CE5">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X光机属于Ⅲ类射线装置，应按有关规定进行登记，另行报福州市生态环境局备案，不在本次评价范围内。</w:t>
            </w:r>
          </w:p>
          <w:p w14:paraId="32F86DAB">
            <w:pPr>
              <w:pStyle w:val="4"/>
              <w:pageBreakBefore w:val="0"/>
              <w:numPr>
                <w:ilvl w:val="0"/>
                <w:numId w:val="0"/>
              </w:numPr>
              <w:kinsoku/>
              <w:overflowPunct/>
              <w:autoSpaceDE/>
              <w:autoSpaceDN/>
              <w:bidi w:val="0"/>
              <w:jc w:val="both"/>
              <w:rPr>
                <w:rFonts w:hint="default" w:ascii="Times New Roman" w:hAnsi="Times New Roman" w:cs="Times New Roman"/>
                <w:color w:val="auto"/>
                <w:sz w:val="28"/>
                <w:szCs w:val="28"/>
                <w:highlight w:val="none"/>
              </w:rPr>
            </w:pPr>
            <w:bookmarkStart w:id="93" w:name="_Toc19940"/>
            <w:r>
              <w:rPr>
                <w:rFonts w:hint="default" w:ascii="Times New Roman" w:hAnsi="Times New Roman" w:cs="Times New Roman"/>
                <w:color w:val="auto"/>
                <w:sz w:val="28"/>
                <w:szCs w:val="28"/>
                <w:highlight w:val="none"/>
                <w:lang w:val="en-US" w:eastAsia="zh-CN"/>
              </w:rPr>
              <w:t>4.7</w:t>
            </w:r>
            <w:r>
              <w:rPr>
                <w:rFonts w:hint="default" w:ascii="Times New Roman" w:hAnsi="Times New Roman" w:cs="Times New Roman"/>
                <w:color w:val="auto"/>
                <w:sz w:val="28"/>
                <w:szCs w:val="28"/>
                <w:highlight w:val="none"/>
              </w:rPr>
              <w:t>污染物汇总</w:t>
            </w:r>
            <w:bookmarkEnd w:id="93"/>
          </w:p>
          <w:p w14:paraId="3EBD10A7">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污染物汇总详见表4-</w:t>
            </w:r>
            <w:r>
              <w:rPr>
                <w:rFonts w:hint="eastAsia" w:ascii="Times New Roman" w:hAnsi="Times New Roman" w:eastAsia="宋体" w:cs="Times New Roman"/>
                <w:color w:val="auto"/>
                <w:szCs w:val="24"/>
                <w:highlight w:val="none"/>
                <w:lang w:val="en-US" w:eastAsia="zh-CN"/>
              </w:rPr>
              <w:t>8</w:t>
            </w:r>
            <w:r>
              <w:rPr>
                <w:rFonts w:hint="default" w:ascii="Times New Roman" w:hAnsi="Times New Roman" w:eastAsia="宋体" w:cs="Times New Roman"/>
                <w:color w:val="auto"/>
                <w:szCs w:val="24"/>
                <w:highlight w:val="none"/>
              </w:rPr>
              <w:t>。</w:t>
            </w:r>
          </w:p>
          <w:p w14:paraId="75F5EFEF">
            <w:pPr>
              <w:pStyle w:val="198"/>
              <w:pageBreakBefore w:val="0"/>
              <w:kinsoku/>
              <w:overflowPunct/>
              <w:autoSpaceDE/>
              <w:autoSpaceDN/>
              <w:bidi w:val="0"/>
              <w:spacing w:line="240" w:lineRule="auto"/>
              <w:jc w:val="center"/>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表4-</w:t>
            </w:r>
            <w:r>
              <w:rPr>
                <w:rFonts w:hint="eastAsia" w:ascii="Times New Roman" w:hAnsi="Times New Roman" w:cs="Times New Roman"/>
                <w:color w:val="auto"/>
                <w:szCs w:val="32"/>
                <w:highlight w:val="none"/>
                <w:lang w:val="en-US" w:eastAsia="zh-CN"/>
              </w:rPr>
              <w:t>8</w:t>
            </w:r>
            <w:r>
              <w:rPr>
                <w:rFonts w:hint="default" w:ascii="Times New Roman" w:hAnsi="Times New Roman" w:cs="Times New Roman"/>
                <w:color w:val="auto"/>
                <w:szCs w:val="32"/>
                <w:highlight w:val="none"/>
              </w:rPr>
              <w:t xml:space="preserve"> </w:t>
            </w:r>
            <w:r>
              <w:rPr>
                <w:rFonts w:hint="eastAsia" w:ascii="Times New Roman" w:hAnsi="Times New Roman" w:cs="Times New Roman"/>
                <w:color w:val="auto"/>
                <w:szCs w:val="32"/>
                <w:highlight w:val="none"/>
                <w:lang w:eastAsia="zh-CN"/>
              </w:rPr>
              <w:t>项目</w:t>
            </w:r>
            <w:r>
              <w:rPr>
                <w:rFonts w:hint="default" w:ascii="Times New Roman" w:hAnsi="Times New Roman" w:cs="Times New Roman"/>
                <w:color w:val="auto"/>
                <w:szCs w:val="32"/>
                <w:highlight w:val="none"/>
              </w:rPr>
              <w:t>污染物汇总一览表</w:t>
            </w:r>
          </w:p>
          <w:tbl>
            <w:tblPr>
              <w:tblStyle w:val="5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3"/>
              <w:gridCol w:w="975"/>
              <w:gridCol w:w="1556"/>
              <w:gridCol w:w="1217"/>
              <w:gridCol w:w="1368"/>
              <w:gridCol w:w="1268"/>
              <w:gridCol w:w="1268"/>
            </w:tblGrid>
            <w:tr w14:paraId="2EB610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31" w:type="pct"/>
                  <w:gridSpan w:val="3"/>
                  <w:vAlign w:val="center"/>
                </w:tcPr>
                <w:p w14:paraId="7CFA8770">
                  <w:pPr>
                    <w:pStyle w:val="189"/>
                    <w:pageBreakBefore w:val="0"/>
                    <w:kinsoku/>
                    <w:overflowPunct/>
                    <w:autoSpaceDE/>
                    <w:autoSpaceDN/>
                    <w:bidi w:val="0"/>
                    <w:jc w:val="center"/>
                    <w:rPr>
                      <w:rFonts w:hint="default" w:ascii="Times New Roman" w:hAnsi="Times New Roman" w:eastAsia="宋体" w:cs="Times New Roman"/>
                      <w:color w:val="auto"/>
                      <w:highlight w:val="none"/>
                    </w:rPr>
                  </w:pPr>
                  <w:bookmarkStart w:id="94" w:name="_Toc4838"/>
                  <w:bookmarkStart w:id="95" w:name="_Toc133251551"/>
                  <w:bookmarkStart w:id="96" w:name="_Toc32635"/>
                  <w:r>
                    <w:rPr>
                      <w:rFonts w:hint="default" w:ascii="Times New Roman" w:hAnsi="Times New Roman" w:eastAsia="宋体" w:cs="Times New Roman"/>
                      <w:color w:val="auto"/>
                      <w:highlight w:val="none"/>
                    </w:rPr>
                    <w:t>污染物</w:t>
                  </w:r>
                </w:p>
              </w:tc>
              <w:tc>
                <w:tcPr>
                  <w:tcW w:w="729" w:type="pct"/>
                  <w:vAlign w:val="center"/>
                </w:tcPr>
                <w:p w14:paraId="6D7345FA">
                  <w:pPr>
                    <w:pStyle w:val="189"/>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产生量（t/a）</w:t>
                  </w:r>
                </w:p>
              </w:tc>
              <w:tc>
                <w:tcPr>
                  <w:tcW w:w="819" w:type="pct"/>
                  <w:vAlign w:val="center"/>
                </w:tcPr>
                <w:p w14:paraId="73C8A425">
                  <w:pPr>
                    <w:pStyle w:val="189"/>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削减量（t/a）</w:t>
                  </w:r>
                </w:p>
              </w:tc>
              <w:tc>
                <w:tcPr>
                  <w:tcW w:w="759" w:type="pct"/>
                  <w:vAlign w:val="center"/>
                </w:tcPr>
                <w:p w14:paraId="03E5254C">
                  <w:pPr>
                    <w:pStyle w:val="189"/>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排放量（t/a）</w:t>
                  </w:r>
                </w:p>
              </w:tc>
              <w:tc>
                <w:tcPr>
                  <w:tcW w:w="759" w:type="pct"/>
                  <w:vAlign w:val="center"/>
                </w:tcPr>
                <w:p w14:paraId="643EEC44">
                  <w:pPr>
                    <w:pStyle w:val="189"/>
                    <w:pageBreakBefore w:val="0"/>
                    <w:kinsoku/>
                    <w:overflowPunct/>
                    <w:autoSpaceDE/>
                    <w:autoSpaceDN/>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备注</w:t>
                  </w:r>
                </w:p>
              </w:tc>
            </w:tr>
            <w:tr w14:paraId="1BC0BE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Merge w:val="restart"/>
                  <w:vAlign w:val="center"/>
                </w:tcPr>
                <w:p w14:paraId="271AC373">
                  <w:pPr>
                    <w:pStyle w:val="189"/>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584" w:type="pct"/>
                  <w:vMerge w:val="restart"/>
                  <w:vAlign w:val="center"/>
                </w:tcPr>
                <w:p w14:paraId="745D2126">
                  <w:pPr>
                    <w:pStyle w:val="189"/>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综合废水</w:t>
                  </w:r>
                </w:p>
              </w:tc>
              <w:tc>
                <w:tcPr>
                  <w:tcW w:w="932" w:type="pct"/>
                  <w:vAlign w:val="center"/>
                </w:tcPr>
                <w:p w14:paraId="11EA3DF2">
                  <w:pPr>
                    <w:pStyle w:val="189"/>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水量</w:t>
                  </w:r>
                </w:p>
              </w:tc>
              <w:tc>
                <w:tcPr>
                  <w:tcW w:w="729" w:type="pct"/>
                  <w:vAlign w:val="center"/>
                </w:tcPr>
                <w:p w14:paraId="4E720F51">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297.32 </w:t>
                  </w:r>
                </w:p>
              </w:tc>
              <w:tc>
                <w:tcPr>
                  <w:tcW w:w="819" w:type="pct"/>
                  <w:vAlign w:val="center"/>
                </w:tcPr>
                <w:p w14:paraId="09B21BF4">
                  <w:pPr>
                    <w:keepNext w:val="0"/>
                    <w:keepLines w:val="0"/>
                    <w:widowControl/>
                    <w:suppressLineNumbers w:val="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 xml:space="preserve">0 </w:t>
                  </w:r>
                </w:p>
              </w:tc>
              <w:tc>
                <w:tcPr>
                  <w:tcW w:w="759" w:type="pct"/>
                  <w:vAlign w:val="center"/>
                </w:tcPr>
                <w:p w14:paraId="3DC59FCD">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297.32 </w:t>
                  </w:r>
                </w:p>
              </w:tc>
              <w:tc>
                <w:tcPr>
                  <w:tcW w:w="759" w:type="pct"/>
                  <w:vAlign w:val="center"/>
                </w:tcPr>
                <w:p w14:paraId="3C07E21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w:t>
                  </w:r>
                </w:p>
              </w:tc>
            </w:tr>
            <w:tr w14:paraId="0F6A5C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Merge w:val="continue"/>
                  <w:vAlign w:val="center"/>
                </w:tcPr>
                <w:p w14:paraId="169E1AF0">
                  <w:pPr>
                    <w:pStyle w:val="189"/>
                    <w:pageBreakBefore w:val="0"/>
                    <w:kinsoku/>
                    <w:overflowPunct/>
                    <w:autoSpaceDE/>
                    <w:autoSpaceDN/>
                    <w:bidi w:val="0"/>
                    <w:jc w:val="center"/>
                    <w:rPr>
                      <w:rFonts w:hint="default" w:ascii="Times New Roman" w:hAnsi="Times New Roman" w:eastAsia="宋体" w:cs="Times New Roman"/>
                      <w:color w:val="auto"/>
                      <w:highlight w:val="none"/>
                    </w:rPr>
                  </w:pPr>
                </w:p>
              </w:tc>
              <w:tc>
                <w:tcPr>
                  <w:tcW w:w="584" w:type="pct"/>
                  <w:vMerge w:val="continue"/>
                  <w:vAlign w:val="center"/>
                </w:tcPr>
                <w:p w14:paraId="6FDF2A23">
                  <w:pPr>
                    <w:pStyle w:val="189"/>
                    <w:pageBreakBefore w:val="0"/>
                    <w:kinsoku/>
                    <w:overflowPunct/>
                    <w:autoSpaceDE/>
                    <w:autoSpaceDN/>
                    <w:bidi w:val="0"/>
                    <w:jc w:val="center"/>
                    <w:rPr>
                      <w:rFonts w:hint="default" w:ascii="Times New Roman" w:hAnsi="Times New Roman" w:eastAsia="宋体" w:cs="Times New Roman"/>
                      <w:color w:val="auto"/>
                      <w:highlight w:val="none"/>
                    </w:rPr>
                  </w:pPr>
                </w:p>
              </w:tc>
              <w:tc>
                <w:tcPr>
                  <w:tcW w:w="932" w:type="pct"/>
                  <w:vAlign w:val="center"/>
                </w:tcPr>
                <w:p w14:paraId="015B7DE3">
                  <w:pPr>
                    <w:pStyle w:val="189"/>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COD</w:t>
                  </w:r>
                  <w:r>
                    <w:rPr>
                      <w:rFonts w:hint="eastAsia" w:ascii="Times New Roman" w:hAnsi="Times New Roman" w:eastAsia="宋体" w:cs="Times New Roman"/>
                      <w:b w:val="0"/>
                      <w:bCs w:val="0"/>
                      <w:color w:val="auto"/>
                      <w:kern w:val="2"/>
                      <w:sz w:val="21"/>
                      <w:szCs w:val="21"/>
                      <w:highlight w:val="none"/>
                      <w:vertAlign w:val="subscript"/>
                      <w:lang w:val="en-US" w:eastAsia="zh-CN"/>
                    </w:rPr>
                    <w:t>Cr</w:t>
                  </w:r>
                </w:p>
              </w:tc>
              <w:tc>
                <w:tcPr>
                  <w:tcW w:w="729" w:type="pct"/>
                  <w:vAlign w:val="center"/>
                </w:tcPr>
                <w:p w14:paraId="2AAAE88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0.0865 </w:t>
                  </w:r>
                </w:p>
              </w:tc>
              <w:tc>
                <w:tcPr>
                  <w:tcW w:w="819" w:type="pct"/>
                  <w:vAlign w:val="center"/>
                </w:tcPr>
                <w:p w14:paraId="60E50F4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 xml:space="preserve">0.0130 </w:t>
                  </w:r>
                </w:p>
              </w:tc>
              <w:tc>
                <w:tcPr>
                  <w:tcW w:w="759" w:type="pct"/>
                  <w:vAlign w:val="center"/>
                </w:tcPr>
                <w:p w14:paraId="7ACFB930">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0.0735 </w:t>
                  </w:r>
                </w:p>
              </w:tc>
              <w:tc>
                <w:tcPr>
                  <w:tcW w:w="759" w:type="pct"/>
                  <w:vAlign w:val="center"/>
                </w:tcPr>
                <w:p w14:paraId="251E6E1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w:t>
                  </w:r>
                </w:p>
              </w:tc>
            </w:tr>
            <w:tr w14:paraId="5D4B18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Merge w:val="continue"/>
                  <w:vAlign w:val="center"/>
                </w:tcPr>
                <w:p w14:paraId="58F7C5DD">
                  <w:pPr>
                    <w:pStyle w:val="189"/>
                    <w:pageBreakBefore w:val="0"/>
                    <w:kinsoku/>
                    <w:overflowPunct/>
                    <w:autoSpaceDE/>
                    <w:autoSpaceDN/>
                    <w:bidi w:val="0"/>
                    <w:jc w:val="center"/>
                    <w:rPr>
                      <w:rFonts w:hint="default" w:ascii="Times New Roman" w:hAnsi="Times New Roman" w:eastAsia="宋体" w:cs="Times New Roman"/>
                      <w:color w:val="auto"/>
                      <w:highlight w:val="none"/>
                    </w:rPr>
                  </w:pPr>
                </w:p>
              </w:tc>
              <w:tc>
                <w:tcPr>
                  <w:tcW w:w="584" w:type="pct"/>
                  <w:vMerge w:val="continue"/>
                  <w:vAlign w:val="center"/>
                </w:tcPr>
                <w:p w14:paraId="2AE7516C">
                  <w:pPr>
                    <w:pStyle w:val="189"/>
                    <w:pageBreakBefore w:val="0"/>
                    <w:kinsoku/>
                    <w:overflowPunct/>
                    <w:autoSpaceDE/>
                    <w:autoSpaceDN/>
                    <w:bidi w:val="0"/>
                    <w:jc w:val="center"/>
                    <w:rPr>
                      <w:rFonts w:hint="default" w:ascii="Times New Roman" w:hAnsi="Times New Roman" w:eastAsia="宋体" w:cs="Times New Roman"/>
                      <w:color w:val="auto"/>
                      <w:highlight w:val="none"/>
                    </w:rPr>
                  </w:pPr>
                </w:p>
              </w:tc>
              <w:tc>
                <w:tcPr>
                  <w:tcW w:w="932" w:type="pct"/>
                  <w:vAlign w:val="center"/>
                </w:tcPr>
                <w:p w14:paraId="5546D8BA">
                  <w:pPr>
                    <w:pStyle w:val="189"/>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BOD</w:t>
                  </w:r>
                  <w:r>
                    <w:rPr>
                      <w:rFonts w:hint="default" w:ascii="Times New Roman" w:hAnsi="Times New Roman" w:eastAsia="宋体" w:cs="Times New Roman"/>
                      <w:color w:val="auto"/>
                      <w:highlight w:val="none"/>
                      <w:vertAlign w:val="subscript"/>
                    </w:rPr>
                    <w:t>5</w:t>
                  </w:r>
                </w:p>
              </w:tc>
              <w:tc>
                <w:tcPr>
                  <w:tcW w:w="729" w:type="pct"/>
                  <w:vAlign w:val="center"/>
                </w:tcPr>
                <w:p w14:paraId="6D8A3FC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0.0357 </w:t>
                  </w:r>
                </w:p>
              </w:tc>
              <w:tc>
                <w:tcPr>
                  <w:tcW w:w="819" w:type="pct"/>
                  <w:vAlign w:val="center"/>
                </w:tcPr>
                <w:p w14:paraId="0B4257C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0.0032 </w:t>
                  </w:r>
                </w:p>
              </w:tc>
              <w:tc>
                <w:tcPr>
                  <w:tcW w:w="759" w:type="pct"/>
                  <w:vAlign w:val="center"/>
                </w:tcPr>
                <w:p w14:paraId="3CF6FB8A">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0.0325 </w:t>
                  </w:r>
                </w:p>
              </w:tc>
              <w:tc>
                <w:tcPr>
                  <w:tcW w:w="759" w:type="pct"/>
                  <w:vAlign w:val="center"/>
                </w:tcPr>
                <w:p w14:paraId="34FAAD5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r>
            <w:tr w14:paraId="1DF09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Merge w:val="continue"/>
                  <w:vAlign w:val="center"/>
                </w:tcPr>
                <w:p w14:paraId="102A4945">
                  <w:pPr>
                    <w:pStyle w:val="189"/>
                    <w:pageBreakBefore w:val="0"/>
                    <w:kinsoku/>
                    <w:overflowPunct/>
                    <w:autoSpaceDE/>
                    <w:autoSpaceDN/>
                    <w:bidi w:val="0"/>
                    <w:jc w:val="center"/>
                    <w:rPr>
                      <w:rFonts w:hint="default" w:ascii="Times New Roman" w:hAnsi="Times New Roman" w:eastAsia="宋体" w:cs="Times New Roman"/>
                      <w:color w:val="auto"/>
                      <w:highlight w:val="none"/>
                    </w:rPr>
                  </w:pPr>
                </w:p>
              </w:tc>
              <w:tc>
                <w:tcPr>
                  <w:tcW w:w="584" w:type="pct"/>
                  <w:vMerge w:val="continue"/>
                  <w:vAlign w:val="center"/>
                </w:tcPr>
                <w:p w14:paraId="3DC83B95">
                  <w:pPr>
                    <w:pStyle w:val="189"/>
                    <w:pageBreakBefore w:val="0"/>
                    <w:kinsoku/>
                    <w:overflowPunct/>
                    <w:autoSpaceDE/>
                    <w:autoSpaceDN/>
                    <w:bidi w:val="0"/>
                    <w:jc w:val="center"/>
                    <w:rPr>
                      <w:rFonts w:hint="default" w:ascii="Times New Roman" w:hAnsi="Times New Roman" w:eastAsia="宋体" w:cs="Times New Roman"/>
                      <w:color w:val="auto"/>
                      <w:highlight w:val="none"/>
                    </w:rPr>
                  </w:pPr>
                </w:p>
              </w:tc>
              <w:tc>
                <w:tcPr>
                  <w:tcW w:w="932" w:type="pct"/>
                  <w:vAlign w:val="center"/>
                </w:tcPr>
                <w:p w14:paraId="70BD5C11">
                  <w:pPr>
                    <w:pStyle w:val="189"/>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SS</w:t>
                  </w:r>
                </w:p>
              </w:tc>
              <w:tc>
                <w:tcPr>
                  <w:tcW w:w="729" w:type="pct"/>
                  <w:vAlign w:val="center"/>
                </w:tcPr>
                <w:p w14:paraId="0ADC0021">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0.0351 </w:t>
                  </w:r>
                </w:p>
              </w:tc>
              <w:tc>
                <w:tcPr>
                  <w:tcW w:w="819" w:type="pct"/>
                  <w:vAlign w:val="center"/>
                </w:tcPr>
                <w:p w14:paraId="5BFE722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0.0105 </w:t>
                  </w:r>
                </w:p>
              </w:tc>
              <w:tc>
                <w:tcPr>
                  <w:tcW w:w="759" w:type="pct"/>
                  <w:vAlign w:val="center"/>
                </w:tcPr>
                <w:p w14:paraId="3DED5C9F">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0.0246 </w:t>
                  </w:r>
                </w:p>
              </w:tc>
              <w:tc>
                <w:tcPr>
                  <w:tcW w:w="759" w:type="pct"/>
                  <w:vAlign w:val="center"/>
                </w:tcPr>
                <w:p w14:paraId="728265B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r>
            <w:tr w14:paraId="0590E1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Merge w:val="continue"/>
                  <w:vAlign w:val="center"/>
                </w:tcPr>
                <w:p w14:paraId="46B6E3B9">
                  <w:pPr>
                    <w:pStyle w:val="189"/>
                    <w:pageBreakBefore w:val="0"/>
                    <w:kinsoku/>
                    <w:overflowPunct/>
                    <w:autoSpaceDE/>
                    <w:autoSpaceDN/>
                    <w:bidi w:val="0"/>
                    <w:jc w:val="center"/>
                    <w:rPr>
                      <w:rFonts w:hint="default" w:ascii="Times New Roman" w:hAnsi="Times New Roman" w:eastAsia="宋体" w:cs="Times New Roman"/>
                      <w:color w:val="auto"/>
                      <w:highlight w:val="none"/>
                    </w:rPr>
                  </w:pPr>
                </w:p>
              </w:tc>
              <w:tc>
                <w:tcPr>
                  <w:tcW w:w="584" w:type="pct"/>
                  <w:vMerge w:val="continue"/>
                  <w:vAlign w:val="center"/>
                </w:tcPr>
                <w:p w14:paraId="20DE6F4E">
                  <w:pPr>
                    <w:pStyle w:val="189"/>
                    <w:pageBreakBefore w:val="0"/>
                    <w:kinsoku/>
                    <w:overflowPunct/>
                    <w:autoSpaceDE/>
                    <w:autoSpaceDN/>
                    <w:bidi w:val="0"/>
                    <w:jc w:val="center"/>
                    <w:rPr>
                      <w:rFonts w:hint="default" w:ascii="Times New Roman" w:hAnsi="Times New Roman" w:eastAsia="宋体" w:cs="Times New Roman"/>
                      <w:color w:val="auto"/>
                      <w:highlight w:val="none"/>
                    </w:rPr>
                  </w:pPr>
                </w:p>
              </w:tc>
              <w:tc>
                <w:tcPr>
                  <w:tcW w:w="932" w:type="pct"/>
                  <w:vAlign w:val="center"/>
                </w:tcPr>
                <w:p w14:paraId="5BEB2C51">
                  <w:pPr>
                    <w:pStyle w:val="189"/>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-N</w:t>
                  </w:r>
                </w:p>
              </w:tc>
              <w:tc>
                <w:tcPr>
                  <w:tcW w:w="729" w:type="pct"/>
                  <w:vAlign w:val="center"/>
                </w:tcPr>
                <w:p w14:paraId="4360B64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0.0095 </w:t>
                  </w:r>
                </w:p>
              </w:tc>
              <w:tc>
                <w:tcPr>
                  <w:tcW w:w="819" w:type="pct"/>
                  <w:vAlign w:val="center"/>
                </w:tcPr>
                <w:p w14:paraId="43B97DD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0.0003 </w:t>
                  </w:r>
                </w:p>
              </w:tc>
              <w:tc>
                <w:tcPr>
                  <w:tcW w:w="759" w:type="pct"/>
                  <w:vAlign w:val="center"/>
                </w:tcPr>
                <w:p w14:paraId="1DA9BD89">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0.0092 </w:t>
                  </w:r>
                </w:p>
              </w:tc>
              <w:tc>
                <w:tcPr>
                  <w:tcW w:w="759" w:type="pct"/>
                  <w:vAlign w:val="center"/>
                </w:tcPr>
                <w:p w14:paraId="6F20645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p>
              </w:tc>
            </w:tr>
            <w:tr w14:paraId="62877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Merge w:val="continue"/>
                  <w:vAlign w:val="center"/>
                </w:tcPr>
                <w:p w14:paraId="47B92316">
                  <w:pPr>
                    <w:pStyle w:val="189"/>
                    <w:pageBreakBefore w:val="0"/>
                    <w:kinsoku/>
                    <w:overflowPunct/>
                    <w:autoSpaceDE/>
                    <w:autoSpaceDN/>
                    <w:bidi w:val="0"/>
                    <w:jc w:val="center"/>
                    <w:rPr>
                      <w:rFonts w:hint="default" w:ascii="Times New Roman" w:hAnsi="Times New Roman" w:eastAsia="宋体" w:cs="Times New Roman"/>
                      <w:color w:val="auto"/>
                      <w:highlight w:val="none"/>
                    </w:rPr>
                  </w:pPr>
                </w:p>
              </w:tc>
              <w:tc>
                <w:tcPr>
                  <w:tcW w:w="1516" w:type="pct"/>
                  <w:gridSpan w:val="2"/>
                  <w:vAlign w:val="center"/>
                </w:tcPr>
                <w:p w14:paraId="1B6F1FAB">
                  <w:pPr>
                    <w:pStyle w:val="189"/>
                    <w:pageBreakBefore w:val="0"/>
                    <w:kinsoku/>
                    <w:overflowPunct/>
                    <w:autoSpaceDE/>
                    <w:autoSpaceDN/>
                    <w:bidi w:val="0"/>
                    <w:jc w:val="center"/>
                    <w:rPr>
                      <w:rFonts w:hint="default"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color w:val="auto"/>
                      <w:szCs w:val="24"/>
                      <w:highlight w:val="none"/>
                      <w:lang w:val="en-US" w:eastAsia="zh-CN"/>
                    </w:rPr>
                    <w:t>检验设备头道清洗废水</w:t>
                  </w:r>
                </w:p>
              </w:tc>
              <w:tc>
                <w:tcPr>
                  <w:tcW w:w="729" w:type="pct"/>
                  <w:vAlign w:val="center"/>
                </w:tcPr>
                <w:p w14:paraId="3570836C">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0.02 </w:t>
                  </w:r>
                </w:p>
              </w:tc>
              <w:tc>
                <w:tcPr>
                  <w:tcW w:w="819" w:type="pct"/>
                  <w:vAlign w:val="center"/>
                </w:tcPr>
                <w:p w14:paraId="3C3BC37A">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0</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 </w:t>
                  </w:r>
                </w:p>
              </w:tc>
              <w:tc>
                <w:tcPr>
                  <w:tcW w:w="759" w:type="pct"/>
                  <w:vAlign w:val="center"/>
                </w:tcPr>
                <w:p w14:paraId="139839DF">
                  <w:pPr>
                    <w:keepNext w:val="0"/>
                    <w:keepLines w:val="0"/>
                    <w:widowControl/>
                    <w:suppressLineNumbers w:val="0"/>
                    <w:jc w:val="center"/>
                    <w:textAlignment w:val="center"/>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0.02 </w:t>
                  </w:r>
                </w:p>
              </w:tc>
              <w:tc>
                <w:tcPr>
                  <w:tcW w:w="759" w:type="pct"/>
                  <w:vMerge w:val="restart"/>
                  <w:vAlign w:val="center"/>
                </w:tcPr>
                <w:p w14:paraId="6E26FB6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委托有资质单位处理</w:t>
                  </w:r>
                </w:p>
              </w:tc>
            </w:tr>
            <w:tr w14:paraId="5B1BFD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Merge w:val="restart"/>
                  <w:vAlign w:val="center"/>
                </w:tcPr>
                <w:p w14:paraId="700185E5">
                  <w:pPr>
                    <w:pStyle w:val="189"/>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w:t>
                  </w:r>
                </w:p>
              </w:tc>
              <w:tc>
                <w:tcPr>
                  <w:tcW w:w="584" w:type="pct"/>
                  <w:vMerge w:val="restart"/>
                  <w:vAlign w:val="center"/>
                </w:tcPr>
                <w:p w14:paraId="4E5AA86F">
                  <w:pPr>
                    <w:pStyle w:val="189"/>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危险废物</w:t>
                  </w:r>
                </w:p>
              </w:tc>
              <w:tc>
                <w:tcPr>
                  <w:tcW w:w="932" w:type="pct"/>
                  <w:vAlign w:val="center"/>
                </w:tcPr>
                <w:p w14:paraId="3A3BBB03">
                  <w:pPr>
                    <w:pStyle w:val="189"/>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zh-CN"/>
                    </w:rPr>
                    <w:t>医疗废物</w:t>
                  </w:r>
                </w:p>
              </w:tc>
              <w:tc>
                <w:tcPr>
                  <w:tcW w:w="729" w:type="pct"/>
                  <w:vAlign w:val="center"/>
                </w:tcPr>
                <w:p w14:paraId="6F08AC79">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0.72 </w:t>
                  </w:r>
                </w:p>
              </w:tc>
              <w:tc>
                <w:tcPr>
                  <w:tcW w:w="819" w:type="pct"/>
                  <w:vAlign w:val="center"/>
                </w:tcPr>
                <w:p w14:paraId="26E12430">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0</w:t>
                  </w:r>
                </w:p>
              </w:tc>
              <w:tc>
                <w:tcPr>
                  <w:tcW w:w="759" w:type="pct"/>
                  <w:vAlign w:val="center"/>
                </w:tcPr>
                <w:p w14:paraId="396CF3BE">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0.72 </w:t>
                  </w:r>
                </w:p>
              </w:tc>
              <w:tc>
                <w:tcPr>
                  <w:tcW w:w="759" w:type="pct"/>
                  <w:vMerge w:val="continue"/>
                  <w:vAlign w:val="center"/>
                </w:tcPr>
                <w:p w14:paraId="7F5B2E7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p>
              </w:tc>
            </w:tr>
            <w:tr w14:paraId="09678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Merge w:val="continue"/>
                  <w:vAlign w:val="center"/>
                </w:tcPr>
                <w:p w14:paraId="4B7EB4B4">
                  <w:pPr>
                    <w:pStyle w:val="189"/>
                    <w:pageBreakBefore w:val="0"/>
                    <w:kinsoku/>
                    <w:overflowPunct/>
                    <w:autoSpaceDE/>
                    <w:autoSpaceDN/>
                    <w:bidi w:val="0"/>
                    <w:jc w:val="center"/>
                    <w:rPr>
                      <w:rFonts w:hint="default" w:ascii="Times New Roman" w:hAnsi="Times New Roman" w:eastAsia="宋体" w:cs="Times New Roman"/>
                      <w:color w:val="auto"/>
                      <w:highlight w:val="none"/>
                    </w:rPr>
                  </w:pPr>
                </w:p>
              </w:tc>
              <w:tc>
                <w:tcPr>
                  <w:tcW w:w="584" w:type="pct"/>
                  <w:vMerge w:val="continue"/>
                  <w:vAlign w:val="center"/>
                </w:tcPr>
                <w:p w14:paraId="58D56115">
                  <w:pPr>
                    <w:pStyle w:val="189"/>
                    <w:pageBreakBefore w:val="0"/>
                    <w:kinsoku/>
                    <w:overflowPunct/>
                    <w:autoSpaceDE/>
                    <w:autoSpaceDN/>
                    <w:bidi w:val="0"/>
                    <w:jc w:val="center"/>
                    <w:rPr>
                      <w:rFonts w:hint="default" w:ascii="Times New Roman" w:hAnsi="Times New Roman" w:eastAsia="宋体" w:cs="Times New Roman"/>
                      <w:color w:val="auto"/>
                      <w:highlight w:val="none"/>
                    </w:rPr>
                  </w:pPr>
                </w:p>
              </w:tc>
              <w:tc>
                <w:tcPr>
                  <w:tcW w:w="932" w:type="pct"/>
                  <w:vAlign w:val="center"/>
                </w:tcPr>
                <w:p w14:paraId="2CE608E8">
                  <w:pPr>
                    <w:pStyle w:val="189"/>
                    <w:pageBreakBefore w:val="0"/>
                    <w:kinsoku/>
                    <w:overflowPunct/>
                    <w:autoSpaceDE/>
                    <w:autoSpaceDN/>
                    <w:bidi w:val="0"/>
                    <w:jc w:val="center"/>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污水处理污泥</w:t>
                  </w:r>
                </w:p>
              </w:tc>
              <w:tc>
                <w:tcPr>
                  <w:tcW w:w="729" w:type="pct"/>
                  <w:vAlign w:val="center"/>
                </w:tcPr>
                <w:p w14:paraId="38BEAB99">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0.02164 </w:t>
                  </w:r>
                </w:p>
              </w:tc>
              <w:tc>
                <w:tcPr>
                  <w:tcW w:w="819" w:type="pct"/>
                  <w:vAlign w:val="center"/>
                </w:tcPr>
                <w:p w14:paraId="1FC27A63">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0</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 </w:t>
                  </w:r>
                </w:p>
              </w:tc>
              <w:tc>
                <w:tcPr>
                  <w:tcW w:w="759" w:type="pct"/>
                  <w:vAlign w:val="center"/>
                </w:tcPr>
                <w:p w14:paraId="5D0EE225">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0.02164 </w:t>
                  </w:r>
                </w:p>
              </w:tc>
              <w:tc>
                <w:tcPr>
                  <w:tcW w:w="759" w:type="pct"/>
                  <w:vMerge w:val="continue"/>
                  <w:vAlign w:val="center"/>
                </w:tcPr>
                <w:p w14:paraId="1781162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p>
              </w:tc>
            </w:tr>
            <w:tr w14:paraId="627712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5" w:type="pct"/>
                  <w:vMerge w:val="continue"/>
                  <w:vAlign w:val="center"/>
                </w:tcPr>
                <w:p w14:paraId="0547F46A">
                  <w:pPr>
                    <w:pStyle w:val="189"/>
                    <w:pageBreakBefore w:val="0"/>
                    <w:kinsoku/>
                    <w:overflowPunct/>
                    <w:autoSpaceDE/>
                    <w:autoSpaceDN/>
                    <w:bidi w:val="0"/>
                    <w:jc w:val="center"/>
                    <w:rPr>
                      <w:rFonts w:hint="default" w:ascii="Times New Roman" w:hAnsi="Times New Roman" w:eastAsia="宋体" w:cs="Times New Roman"/>
                      <w:color w:val="auto"/>
                      <w:highlight w:val="none"/>
                    </w:rPr>
                  </w:pPr>
                </w:p>
              </w:tc>
              <w:tc>
                <w:tcPr>
                  <w:tcW w:w="1516" w:type="pct"/>
                  <w:gridSpan w:val="2"/>
                  <w:vAlign w:val="center"/>
                </w:tcPr>
                <w:p w14:paraId="470AD892">
                  <w:pPr>
                    <w:pStyle w:val="189"/>
                    <w:pageBreakBefore w:val="0"/>
                    <w:kinsoku/>
                    <w:overflowPunct/>
                    <w:autoSpaceDE/>
                    <w:autoSpaceDN/>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生活垃圾</w:t>
                  </w:r>
                </w:p>
              </w:tc>
              <w:tc>
                <w:tcPr>
                  <w:tcW w:w="729" w:type="pct"/>
                  <w:vAlign w:val="center"/>
                </w:tcPr>
                <w:p w14:paraId="055D1AC1">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0.90 </w:t>
                  </w:r>
                </w:p>
              </w:tc>
              <w:tc>
                <w:tcPr>
                  <w:tcW w:w="819" w:type="pct"/>
                  <w:vAlign w:val="center"/>
                </w:tcPr>
                <w:p w14:paraId="26305494">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0</w:t>
                  </w:r>
                </w:p>
              </w:tc>
              <w:tc>
                <w:tcPr>
                  <w:tcW w:w="759" w:type="pct"/>
                  <w:vAlign w:val="center"/>
                </w:tcPr>
                <w:p w14:paraId="37D1E5E6">
                  <w:pPr>
                    <w:keepNext w:val="0"/>
                    <w:keepLines w:val="0"/>
                    <w:widowControl/>
                    <w:suppressLineNumbers w:val="0"/>
                    <w:jc w:val="center"/>
                    <w:textAlignment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0.90 </w:t>
                  </w:r>
                </w:p>
              </w:tc>
              <w:tc>
                <w:tcPr>
                  <w:tcW w:w="759" w:type="pct"/>
                  <w:vAlign w:val="center"/>
                </w:tcPr>
                <w:p w14:paraId="72D3DFD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环卫部门统一外运处置</w:t>
                  </w:r>
                </w:p>
              </w:tc>
            </w:tr>
            <w:bookmarkEnd w:id="94"/>
            <w:bookmarkEnd w:id="95"/>
            <w:bookmarkEnd w:id="96"/>
          </w:tbl>
          <w:p w14:paraId="22DC3D58">
            <w:pPr>
              <w:pStyle w:val="3"/>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97" w:name="_Toc22132"/>
            <w:bookmarkStart w:id="98" w:name="_Toc17575"/>
            <w:bookmarkStart w:id="99" w:name="_Toc27941"/>
            <w:bookmarkStart w:id="100" w:name="_Toc1383"/>
            <w:bookmarkStart w:id="101" w:name="_Toc3294"/>
            <w:bookmarkStart w:id="102" w:name="_Toc30457"/>
            <w:bookmarkStart w:id="103" w:name="_Toc133251553"/>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退役期环境影响分析</w:t>
            </w:r>
            <w:bookmarkEnd w:id="97"/>
            <w:bookmarkEnd w:id="98"/>
            <w:bookmarkEnd w:id="99"/>
            <w:bookmarkEnd w:id="100"/>
            <w:bookmarkEnd w:id="101"/>
            <w:bookmarkEnd w:id="102"/>
            <w:bookmarkEnd w:id="103"/>
          </w:p>
          <w:p w14:paraId="0018D029">
            <w:pPr>
              <w:pageBreakBefore w:val="0"/>
              <w:kinsoku/>
              <w:overflowPunct/>
              <w:autoSpaceDE/>
              <w:autoSpaceDN/>
              <w:bidi w:val="0"/>
              <w:adjustRightInd w:val="0"/>
              <w:snapToGrid w:val="0"/>
              <w:spacing w:line="360" w:lineRule="auto"/>
              <w:ind w:firstLine="465"/>
              <w:jc w:val="both"/>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该建设项目在退役期时，建筑物可改造利用或转租他用，一般不会对环境产生不良影响。</w:t>
            </w:r>
          </w:p>
          <w:p w14:paraId="3D9E6E2E">
            <w:pPr>
              <w:pStyle w:val="4"/>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104" w:name="_Toc2255"/>
            <w:bookmarkStart w:id="105" w:name="_Toc10896"/>
            <w:bookmarkStart w:id="106" w:name="_Toc10173"/>
            <w:bookmarkStart w:id="107" w:name="_Toc2254"/>
            <w:bookmarkStart w:id="108" w:name="_Toc13369"/>
            <w:bookmarkStart w:id="109" w:name="_Toc31715"/>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.1未用完药品的处置</w:t>
            </w:r>
            <w:bookmarkEnd w:id="104"/>
            <w:bookmarkEnd w:id="105"/>
            <w:bookmarkEnd w:id="106"/>
            <w:bookmarkEnd w:id="107"/>
            <w:bookmarkEnd w:id="108"/>
            <w:bookmarkEnd w:id="109"/>
          </w:p>
          <w:p w14:paraId="71E6F4EB">
            <w:pPr>
              <w:pageBreakBefore w:val="0"/>
              <w:kinsoku/>
              <w:overflowPunct/>
              <w:autoSpaceDE/>
              <w:autoSpaceDN/>
              <w:bidi w:val="0"/>
              <w:adjustRightInd w:val="0"/>
              <w:snapToGrid w:val="0"/>
              <w:spacing w:line="360" w:lineRule="auto"/>
              <w:ind w:firstLine="465"/>
              <w:jc w:val="both"/>
              <w:rPr>
                <w:rFonts w:hint="default" w:ascii="Times New Roman" w:hAnsi="Times New Roman" w:cs="Times New Roman"/>
                <w:color w:val="auto"/>
                <w:highlight w:val="none"/>
              </w:rPr>
            </w:pPr>
            <w:r>
              <w:rPr>
                <w:rFonts w:hint="default" w:ascii="Times New Roman" w:hAnsi="Times New Roman" w:cs="Times New Roman"/>
                <w:bCs/>
                <w:color w:val="auto"/>
                <w:highlight w:val="none"/>
              </w:rPr>
              <w:t>医疗废物属于危险废物，应按照《危险废物贮存污染控制标准》（GB18597-2023）和</w:t>
            </w:r>
            <w:r>
              <w:rPr>
                <w:rFonts w:ascii="Times New Roman" w:hAnsi="Times New Roman" w:eastAsia="宋体" w:cs="Times New Roman"/>
                <w:color w:val="auto"/>
                <w:szCs w:val="24"/>
                <w:highlight w:val="none"/>
              </w:rPr>
              <w:t>《医疗废物管理条例</w:t>
            </w:r>
            <w:r>
              <w:rPr>
                <w:rFonts w:hint="eastAsia" w:ascii="Times New Roman" w:hAnsi="Times New Roman" w:eastAsia="宋体" w:cs="Times New Roman"/>
                <w:color w:val="auto"/>
                <w:szCs w:val="24"/>
                <w:highlight w:val="none"/>
                <w:lang w:eastAsia="zh-CN"/>
              </w:rPr>
              <w:t>（</w:t>
            </w:r>
            <w:r>
              <w:rPr>
                <w:rFonts w:hint="eastAsia" w:ascii="Times New Roman" w:hAnsi="Times New Roman" w:eastAsia="宋体" w:cs="Times New Roman"/>
                <w:color w:val="auto"/>
                <w:szCs w:val="24"/>
                <w:highlight w:val="none"/>
                <w:lang w:val="en-US" w:eastAsia="zh-CN"/>
              </w:rPr>
              <w:t>2021年版</w:t>
            </w:r>
            <w:r>
              <w:rPr>
                <w:rFonts w:hint="eastAsia" w:ascii="Times New Roman" w:hAnsi="Times New Roman" w:eastAsia="宋体" w:cs="Times New Roman"/>
                <w:color w:val="auto"/>
                <w:szCs w:val="24"/>
                <w:highlight w:val="none"/>
                <w:lang w:eastAsia="zh-CN"/>
              </w:rPr>
              <w:t>）</w:t>
            </w:r>
            <w:r>
              <w:rPr>
                <w:rFonts w:ascii="Times New Roman" w:hAnsi="Times New Roman" w:eastAsia="宋体" w:cs="Times New Roman"/>
                <w:color w:val="auto"/>
                <w:szCs w:val="24"/>
                <w:highlight w:val="none"/>
              </w:rPr>
              <w:t>》</w:t>
            </w:r>
            <w:r>
              <w:rPr>
                <w:rFonts w:hint="default" w:ascii="Times New Roman" w:hAnsi="Times New Roman" w:cs="Times New Roman"/>
                <w:bCs/>
                <w:color w:val="auto"/>
                <w:highlight w:val="none"/>
              </w:rPr>
              <w:t>要求进行收集、贮存及运输并交由有资质的单位处置。</w:t>
            </w:r>
          </w:p>
          <w:p w14:paraId="647E71CE">
            <w:pPr>
              <w:pStyle w:val="4"/>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110" w:name="_Toc18972"/>
            <w:bookmarkStart w:id="111" w:name="_Toc18784"/>
            <w:bookmarkStart w:id="112" w:name="_Toc29760"/>
            <w:bookmarkStart w:id="113" w:name="_Toc2418"/>
            <w:bookmarkStart w:id="114" w:name="_Toc11893"/>
            <w:bookmarkStart w:id="115" w:name="_Toc32448"/>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.2设备处置</w:t>
            </w:r>
            <w:bookmarkEnd w:id="110"/>
            <w:bookmarkEnd w:id="111"/>
            <w:bookmarkEnd w:id="112"/>
            <w:bookmarkEnd w:id="113"/>
            <w:bookmarkEnd w:id="114"/>
            <w:bookmarkEnd w:id="115"/>
          </w:p>
          <w:p w14:paraId="0FDE15E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项目退役后，其医疗设备处置应遵循以下两方面原则：</w:t>
            </w:r>
          </w:p>
          <w:p w14:paraId="4044889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highlight w:val="none"/>
              </w:rPr>
            </w:pPr>
            <w:r>
              <w:rPr>
                <w:rFonts w:hint="eastAsia" w:cs="Times New Roman"/>
                <w:bCs/>
                <w:color w:val="auto"/>
                <w:highlight w:val="none"/>
                <w:lang w:eastAsia="zh-CN"/>
              </w:rPr>
              <w:t>（</w:t>
            </w:r>
            <w:r>
              <w:rPr>
                <w:rFonts w:hint="eastAsia" w:cs="Times New Roman"/>
                <w:bCs/>
                <w:color w:val="auto"/>
                <w:highlight w:val="none"/>
                <w:lang w:val="en-US" w:eastAsia="zh-CN"/>
              </w:rPr>
              <w:t>1）</w:t>
            </w:r>
            <w:r>
              <w:rPr>
                <w:rFonts w:hint="default" w:ascii="Times New Roman" w:hAnsi="Times New Roman" w:cs="Times New Roman"/>
                <w:bCs/>
                <w:color w:val="auto"/>
                <w:highlight w:val="none"/>
              </w:rPr>
              <w:t>在退役时，尚不属于行业淘汰范围的，且尚符合当时国家产业政策和地方政策的设备，可出售给相应企业；</w:t>
            </w:r>
          </w:p>
          <w:p w14:paraId="0F0F730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Cs/>
                <w:color w:val="auto"/>
                <w:highlight w:val="none"/>
              </w:rPr>
            </w:pPr>
            <w:r>
              <w:rPr>
                <w:rFonts w:hint="eastAsia" w:cs="Times New Roman"/>
                <w:bCs/>
                <w:color w:val="auto"/>
                <w:highlight w:val="none"/>
                <w:lang w:eastAsia="zh-CN"/>
              </w:rPr>
              <w:t>（</w:t>
            </w:r>
            <w:r>
              <w:rPr>
                <w:rFonts w:hint="eastAsia" w:cs="Times New Roman"/>
                <w:bCs/>
                <w:color w:val="auto"/>
                <w:highlight w:val="none"/>
                <w:lang w:val="en-US" w:eastAsia="zh-CN"/>
              </w:rPr>
              <w:t>2）</w:t>
            </w:r>
            <w:r>
              <w:rPr>
                <w:rFonts w:hint="default" w:ascii="Times New Roman" w:hAnsi="Times New Roman" w:cs="Times New Roman"/>
                <w:bCs/>
                <w:color w:val="auto"/>
                <w:highlight w:val="none"/>
              </w:rPr>
              <w:t>在退役时，属于行业淘汰范围、不符合当时国家产业政策和地方政策中的一种，即应予以报废，设备可按废品出售给回收单位。</w:t>
            </w:r>
          </w:p>
          <w:p w14:paraId="32D91D62">
            <w:pPr>
              <w:pStyle w:val="4"/>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116" w:name="_Toc14156"/>
            <w:bookmarkStart w:id="117" w:name="_Toc2782"/>
            <w:bookmarkStart w:id="118" w:name="_Toc26242"/>
            <w:bookmarkStart w:id="119" w:name="_Toc5657"/>
            <w:bookmarkStart w:id="120" w:name="_Toc8446"/>
            <w:bookmarkStart w:id="121" w:name="_Toc32108"/>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.3环境影响</w:t>
            </w:r>
            <w:bookmarkEnd w:id="116"/>
            <w:bookmarkEnd w:id="117"/>
            <w:bookmarkEnd w:id="118"/>
            <w:bookmarkEnd w:id="119"/>
            <w:bookmarkEnd w:id="120"/>
            <w:bookmarkEnd w:id="121"/>
          </w:p>
          <w:p w14:paraId="1A8602D1">
            <w:pPr>
              <w:pStyle w:val="157"/>
              <w:pageBreakBefore w:val="0"/>
              <w:kinsoku/>
              <w:overflowPunct/>
              <w:autoSpaceDE/>
              <w:autoSpaceDN/>
              <w:bidi w:val="0"/>
              <w:ind w:firstLine="480"/>
              <w:jc w:val="both"/>
              <w:rPr>
                <w:rFonts w:hint="default" w:ascii="Times New Roman" w:hAnsi="Times New Roman" w:eastAsia="宋体" w:cs="Times New Roman"/>
                <w:color w:val="auto"/>
                <w:szCs w:val="24"/>
                <w:highlight w:val="none"/>
              </w:rPr>
            </w:pP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退役后，运营期产生的废气、废水和噪声污染源将随之消失，建设单位应妥善处置各类固体废物和可回收利用物资，危险废物应交由有危险废物处置资质的单位收集处置。综上所述，建设单位在退役期采取上述措施的基础上，对周围环境的影响是可接受的。</w:t>
            </w:r>
          </w:p>
          <w:p w14:paraId="723AB4D7">
            <w:pPr>
              <w:pStyle w:val="3"/>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122" w:name="_Toc133251554"/>
            <w:bookmarkStart w:id="123" w:name="_Toc5174"/>
            <w:bookmarkStart w:id="124" w:name="_Toc8395"/>
            <w:bookmarkStart w:id="125" w:name="_Toc17413"/>
            <w:bookmarkStart w:id="126" w:name="_Toc13232"/>
            <w:bookmarkStart w:id="127" w:name="_Toc439"/>
            <w:bookmarkStart w:id="128" w:name="_Toc10581"/>
            <w:bookmarkStart w:id="129" w:name="_Toc15487"/>
            <w:bookmarkStart w:id="130" w:name="_Toc27446"/>
            <w:bookmarkStart w:id="131" w:name="_Toc6958"/>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环境风险分析</w:t>
            </w:r>
            <w:bookmarkEnd w:id="122"/>
            <w:bookmarkEnd w:id="123"/>
            <w:bookmarkEnd w:id="124"/>
            <w:bookmarkEnd w:id="125"/>
            <w:bookmarkEnd w:id="126"/>
            <w:bookmarkEnd w:id="127"/>
            <w:bookmarkEnd w:id="128"/>
            <w:bookmarkEnd w:id="129"/>
            <w:bookmarkEnd w:id="130"/>
            <w:bookmarkEnd w:id="131"/>
          </w:p>
          <w:p w14:paraId="294AEDE5">
            <w:pPr>
              <w:pStyle w:val="3"/>
              <w:pageBreakBefore w:val="0"/>
              <w:numPr>
                <w:ilvl w:val="1"/>
                <w:numId w:val="0"/>
              </w:numPr>
              <w:kinsoku/>
              <w:overflowPunct/>
              <w:autoSpaceDE/>
              <w:autoSpaceDN/>
              <w:bidi w:val="0"/>
              <w:ind w:left="1"/>
              <w:jc w:val="both"/>
              <w:rPr>
                <w:rFonts w:hint="default" w:ascii="Times New Roman" w:hAnsi="Times New Roman" w:cs="Times New Roman"/>
                <w:color w:val="auto"/>
                <w:sz w:val="24"/>
                <w:szCs w:val="30"/>
                <w:highlight w:val="none"/>
              </w:rPr>
            </w:pPr>
            <w:bookmarkStart w:id="132" w:name="_Toc6345"/>
            <w:bookmarkStart w:id="133" w:name="_Toc4399"/>
            <w:bookmarkStart w:id="134" w:name="_Toc12245"/>
            <w:bookmarkStart w:id="135" w:name="_Toc12379"/>
            <w:bookmarkStart w:id="136" w:name="_Toc133251488"/>
            <w:bookmarkStart w:id="137" w:name="_Toc4542"/>
            <w:bookmarkStart w:id="138" w:name="_Toc3915"/>
            <w:bookmarkStart w:id="139" w:name="_Toc133251555"/>
            <w:bookmarkStart w:id="140" w:name="_Toc29269"/>
            <w:bookmarkStart w:id="141" w:name="_Toc25995"/>
            <w:bookmarkStart w:id="142" w:name="_Toc3185"/>
            <w:r>
              <w:rPr>
                <w:rFonts w:hint="default" w:ascii="Times New Roman" w:hAnsi="Times New Roman" w:cs="Times New Roman"/>
                <w:color w:val="auto"/>
                <w:sz w:val="24"/>
                <w:szCs w:val="24"/>
                <w:highlight w:val="none"/>
              </w:rPr>
              <w:t>4.</w:t>
            </w:r>
            <w:r>
              <w:rPr>
                <w:rFonts w:hint="default" w:ascii="Times New Roman" w:hAnsi="Times New Roman" w:cs="Times New Roman"/>
                <w:color w:val="auto"/>
                <w:sz w:val="24"/>
                <w:szCs w:val="24"/>
                <w:highlight w:val="none"/>
                <w:lang w:val="en-US" w:eastAsia="zh-CN"/>
              </w:rPr>
              <w:t>9</w:t>
            </w:r>
            <w:r>
              <w:rPr>
                <w:rFonts w:hint="default" w:ascii="Times New Roman" w:hAnsi="Times New Roman" w:cs="Times New Roman"/>
                <w:color w:val="auto"/>
                <w:sz w:val="24"/>
                <w:szCs w:val="24"/>
                <w:highlight w:val="none"/>
              </w:rPr>
              <w:t>.1</w:t>
            </w:r>
            <w:bookmarkEnd w:id="132"/>
            <w:bookmarkEnd w:id="133"/>
            <w:bookmarkEnd w:id="134"/>
            <w:bookmarkEnd w:id="135"/>
            <w:bookmarkEnd w:id="136"/>
            <w:bookmarkEnd w:id="137"/>
            <w:bookmarkEnd w:id="138"/>
            <w:bookmarkEnd w:id="139"/>
            <w:bookmarkEnd w:id="140"/>
            <w:bookmarkEnd w:id="141"/>
            <w:bookmarkEnd w:id="142"/>
            <w:r>
              <w:rPr>
                <w:rFonts w:hint="eastAsia"/>
                <w:color w:val="auto"/>
                <w:sz w:val="24"/>
                <w:szCs w:val="24"/>
                <w:highlight w:val="none"/>
              </w:rPr>
              <w:t>非正常工况监控及处理措施</w:t>
            </w:r>
          </w:p>
          <w:p w14:paraId="2625C5CE">
            <w:pPr>
              <w:pageBreakBefore w:val="0"/>
              <w:kinsoku/>
              <w:overflowPunct/>
              <w:autoSpaceDE/>
              <w:autoSpaceDN/>
              <w:bidi w:val="0"/>
              <w:adjustRightInd w:val="0"/>
              <w:snapToGrid w:val="0"/>
              <w:spacing w:line="360" w:lineRule="auto"/>
              <w:ind w:firstLine="465"/>
              <w:jc w:val="both"/>
              <w:rPr>
                <w:rFonts w:hint="default" w:ascii="Times New Roman" w:hAnsi="Times New Roman" w:cs="Times New Roman"/>
                <w:bCs/>
                <w:color w:val="auto"/>
                <w:highlight w:val="none"/>
              </w:rPr>
            </w:pPr>
            <w:r>
              <w:rPr>
                <w:rFonts w:hint="eastAsia" w:cs="Times New Roman"/>
                <w:bCs/>
                <w:color w:val="auto"/>
                <w:highlight w:val="none"/>
                <w:lang w:eastAsia="zh-CN"/>
              </w:rPr>
              <w:t>（</w:t>
            </w:r>
            <w:r>
              <w:rPr>
                <w:rFonts w:hint="eastAsia" w:cs="Times New Roman"/>
                <w:bCs/>
                <w:color w:val="auto"/>
                <w:highlight w:val="none"/>
                <w:lang w:val="en-US" w:eastAsia="zh-CN"/>
              </w:rPr>
              <w:t>1）</w:t>
            </w:r>
            <w:r>
              <w:rPr>
                <w:rFonts w:hint="eastAsia" w:cs="Times New Roman"/>
                <w:bCs/>
                <w:color w:val="auto"/>
                <w:highlight w:val="none"/>
                <w:lang w:eastAsia="zh-CN"/>
              </w:rPr>
              <w:t>项目</w:t>
            </w:r>
            <w:r>
              <w:rPr>
                <w:rFonts w:hint="default" w:ascii="Times New Roman" w:hAnsi="Times New Roman" w:cs="Times New Roman"/>
                <w:bCs/>
                <w:color w:val="auto"/>
                <w:highlight w:val="none"/>
              </w:rPr>
              <w:t>因污染物防治设施非正常使用，如消毒设备损坏或失效、人为操作失误等，导致废水污染物未经消毒处理直接排放至环境，医疗废水</w:t>
            </w:r>
            <w:r>
              <w:rPr>
                <w:rFonts w:hint="eastAsia" w:cs="Times New Roman"/>
                <w:bCs/>
                <w:color w:val="auto"/>
                <w:highlight w:val="none"/>
                <w:lang w:val="en-US" w:eastAsia="zh-CN"/>
              </w:rPr>
              <w:t>中的病原微生物</w:t>
            </w:r>
            <w:r>
              <w:rPr>
                <w:rFonts w:hint="default" w:ascii="Times New Roman" w:hAnsi="Times New Roman" w:cs="Times New Roman"/>
                <w:bCs/>
                <w:color w:val="auto"/>
                <w:highlight w:val="none"/>
              </w:rPr>
              <w:t>、病毒排入水体对水环境的影响极大；当管道破裂或废水溢流将可能导致病原菌蔓延、传播，对来往民众和周边居民造成一定的威胁。要求建设单位定期检修排污管网，加强废水处理设施的管理，及时发现解决存在问题，确保废水设施正常运行，避免医疗废水事故排放对周围环境造成影响。</w:t>
            </w:r>
          </w:p>
          <w:p w14:paraId="2BCB097D">
            <w:pPr>
              <w:pageBreakBefore w:val="0"/>
              <w:kinsoku/>
              <w:overflowPunct/>
              <w:autoSpaceDE/>
              <w:autoSpaceDN/>
              <w:bidi w:val="0"/>
              <w:adjustRightInd w:val="0"/>
              <w:snapToGrid w:val="0"/>
              <w:spacing w:line="360" w:lineRule="auto"/>
              <w:ind w:firstLine="465"/>
              <w:jc w:val="both"/>
              <w:rPr>
                <w:rFonts w:hint="default" w:ascii="Times New Roman" w:hAnsi="Times New Roman" w:cs="Times New Roman"/>
                <w:bCs/>
                <w:color w:val="auto"/>
                <w:highlight w:val="none"/>
              </w:rPr>
            </w:pPr>
            <w:r>
              <w:rPr>
                <w:rFonts w:hint="eastAsia" w:cs="Times New Roman"/>
                <w:bCs/>
                <w:color w:val="auto"/>
                <w:highlight w:val="none"/>
                <w:lang w:eastAsia="zh-CN"/>
              </w:rPr>
              <w:t>（</w:t>
            </w:r>
            <w:r>
              <w:rPr>
                <w:rFonts w:hint="eastAsia" w:cs="Times New Roman"/>
                <w:bCs/>
                <w:color w:val="auto"/>
                <w:highlight w:val="none"/>
                <w:lang w:val="en-US" w:eastAsia="zh-CN"/>
              </w:rPr>
              <w:t>2）</w:t>
            </w:r>
            <w:r>
              <w:rPr>
                <w:rFonts w:hint="default" w:ascii="Times New Roman" w:hAnsi="Times New Roman" w:cs="Times New Roman"/>
                <w:bCs/>
                <w:color w:val="auto"/>
                <w:highlight w:val="none"/>
              </w:rPr>
              <w:t>医疗废物残留及衍生的大量病菌是十分有害有毒的物质，如果不经分类收集等有效处理的话，很容易引起各种疾病的传播和蔓延。要求建设单位按有关规定做好医疗垃圾的收集、运输工作，定期对经营场所、垃圾收集点等进行消毒、杀菌，避免因病菌、病毒传播，对人体健康及生态环境造成影响。</w:t>
            </w:r>
          </w:p>
          <w:p w14:paraId="65A3D744">
            <w:pPr>
              <w:pStyle w:val="3"/>
              <w:pageBreakBefore w:val="0"/>
              <w:numPr>
                <w:ilvl w:val="1"/>
                <w:numId w:val="0"/>
              </w:numPr>
              <w:kinsoku/>
              <w:overflowPunct/>
              <w:autoSpaceDE/>
              <w:autoSpaceDN/>
              <w:bidi w:val="0"/>
              <w:ind w:left="1"/>
              <w:jc w:val="both"/>
              <w:rPr>
                <w:rFonts w:hint="default" w:ascii="Times New Roman" w:hAnsi="Times New Roman" w:cs="Times New Roman"/>
                <w:color w:val="auto"/>
                <w:sz w:val="24"/>
                <w:szCs w:val="30"/>
                <w:highlight w:val="none"/>
              </w:rPr>
            </w:pPr>
            <w:bookmarkStart w:id="143" w:name="_Toc368"/>
            <w:bookmarkStart w:id="144" w:name="_Toc12992"/>
            <w:bookmarkStart w:id="145" w:name="_Toc133251556"/>
            <w:bookmarkStart w:id="146" w:name="_Toc133251489"/>
            <w:bookmarkStart w:id="147" w:name="_Toc22693"/>
            <w:bookmarkStart w:id="148" w:name="_Toc30882"/>
            <w:bookmarkStart w:id="149" w:name="_Toc13556"/>
            <w:bookmarkStart w:id="150" w:name="_Toc8826"/>
            <w:bookmarkStart w:id="151" w:name="_Toc7225"/>
            <w:bookmarkStart w:id="152" w:name="_Toc23435"/>
            <w:r>
              <w:rPr>
                <w:rFonts w:hint="default" w:ascii="Times New Roman" w:hAnsi="Times New Roman" w:cs="Times New Roman"/>
                <w:color w:val="auto"/>
                <w:sz w:val="24"/>
                <w:szCs w:val="30"/>
                <w:highlight w:val="none"/>
              </w:rPr>
              <w:t>4.</w:t>
            </w:r>
            <w:r>
              <w:rPr>
                <w:rFonts w:hint="default" w:ascii="Times New Roman" w:hAnsi="Times New Roman" w:cs="Times New Roman"/>
                <w:color w:val="auto"/>
                <w:sz w:val="24"/>
                <w:szCs w:val="30"/>
                <w:highlight w:val="none"/>
                <w:lang w:val="en-US" w:eastAsia="zh-CN"/>
              </w:rPr>
              <w:t>9</w:t>
            </w:r>
            <w:r>
              <w:rPr>
                <w:rFonts w:hint="default" w:ascii="Times New Roman" w:hAnsi="Times New Roman" w:cs="Times New Roman"/>
                <w:color w:val="auto"/>
                <w:sz w:val="24"/>
                <w:szCs w:val="30"/>
                <w:highlight w:val="none"/>
              </w:rPr>
              <w:t>.2环境风险潜势初判</w:t>
            </w:r>
            <w:bookmarkEnd w:id="143"/>
            <w:bookmarkEnd w:id="144"/>
            <w:bookmarkEnd w:id="145"/>
            <w:bookmarkEnd w:id="146"/>
            <w:bookmarkEnd w:id="147"/>
            <w:bookmarkEnd w:id="148"/>
          </w:p>
          <w:p w14:paraId="0EC8BE25">
            <w:pPr>
              <w:pStyle w:val="490"/>
              <w:ind w:firstLine="480"/>
              <w:rPr>
                <w:rFonts w:hint="default" w:cs="Times New Roman"/>
                <w:color w:val="auto"/>
                <w:szCs w:val="28"/>
                <w:highlight w:val="none"/>
              </w:rPr>
            </w:pPr>
            <w:r>
              <w:rPr>
                <w:rFonts w:hint="default" w:cs="Times New Roman"/>
                <w:color w:val="auto"/>
                <w:szCs w:val="28"/>
                <w:highlight w:val="none"/>
                <w:lang w:val="en-US" w:eastAsia="zh-CN"/>
              </w:rPr>
              <w:t>根据《建设项目环境风险评价技术导则》（HJ169-2018）附录B</w:t>
            </w:r>
            <w:r>
              <w:rPr>
                <w:rFonts w:hint="eastAsia"/>
                <w:lang w:val="en-US" w:eastAsia="zh-CN"/>
              </w:rPr>
              <w:t>和</w:t>
            </w:r>
            <w:r>
              <w:rPr>
                <w:rFonts w:hint="eastAsia" w:ascii="Times New Roman" w:hAnsi="Times New Roman" w:eastAsia="宋体" w:cs="Times New Roman"/>
                <w:b w:val="0"/>
                <w:bCs/>
                <w:color w:val="auto"/>
                <w:kern w:val="2"/>
                <w:sz w:val="24"/>
                <w:szCs w:val="24"/>
                <w:highlight w:val="none"/>
                <w:lang w:val="en-US" w:eastAsia="zh-CN" w:bidi="ar-SA"/>
              </w:rPr>
              <w:t>《危险化学品重大危险源辨识》（GB18218-2018）</w:t>
            </w:r>
            <w:r>
              <w:rPr>
                <w:rFonts w:hint="default" w:cs="Times New Roman"/>
                <w:color w:val="auto"/>
                <w:szCs w:val="28"/>
                <w:highlight w:val="none"/>
                <w:lang w:val="en-US" w:eastAsia="zh-CN"/>
              </w:rPr>
              <w:t>的规定，在进行项目潜在危害分析时，首先根据《建设项目环境风险评价技术导则》附录B中表1内容判断生产过程中涉及的化学品哪些是属于有毒有害物质、易燃易爆物质等。本项目运营过程涉及的危险化学品主要</w:t>
            </w:r>
            <w:r>
              <w:rPr>
                <w:rFonts w:hint="eastAsia" w:cs="Times New Roman"/>
                <w:color w:val="auto"/>
                <w:szCs w:val="28"/>
                <w:highlight w:val="none"/>
                <w:lang w:val="en-US" w:eastAsia="zh-CN"/>
              </w:rPr>
              <w:t>是</w:t>
            </w:r>
            <w:r>
              <w:rPr>
                <w:rFonts w:hint="default" w:cs="Times New Roman"/>
                <w:color w:val="auto"/>
                <w:szCs w:val="28"/>
                <w:highlight w:val="none"/>
                <w:lang w:val="en-US" w:eastAsia="zh-CN"/>
              </w:rPr>
              <w:t>二氧化氯。</w:t>
            </w:r>
          </w:p>
          <w:p w14:paraId="55DCC086">
            <w:pPr>
              <w:pageBreakBefore w:val="0"/>
              <w:kinsoku/>
              <w:overflowPunct/>
              <w:autoSpaceDE/>
              <w:autoSpaceDN/>
              <w:bidi w:val="0"/>
              <w:spacing w:line="360" w:lineRule="auto"/>
              <w:ind w:firstLine="482"/>
              <w:jc w:val="both"/>
              <w:rPr>
                <w:rStyle w:val="148"/>
                <w:rFonts w:hint="default" w:ascii="Times New Roman" w:hAnsi="Times New Roman" w:cs="Times New Roman"/>
                <w:color w:val="auto"/>
                <w:sz w:val="24"/>
                <w:szCs w:val="24"/>
                <w:highlight w:val="none"/>
              </w:rPr>
            </w:pPr>
            <w:r>
              <w:rPr>
                <w:rFonts w:hint="default" w:ascii="Times New Roman" w:hAnsi="Times New Roman" w:cs="Times New Roman"/>
                <w:color w:val="auto"/>
                <w:highlight w:val="none"/>
              </w:rPr>
              <w:drawing>
                <wp:inline distT="0" distB="0" distL="114300" distR="114300">
                  <wp:extent cx="2465070" cy="604520"/>
                  <wp:effectExtent l="0" t="0" r="11430" b="5080"/>
                  <wp:docPr id="86" name="图片 2" descr="D)XK9@G5NG$KTNV(9NWME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 descr="D)XK9@G5NG$KTNV(9NWMEKO"/>
                          <pic:cNvPicPr>
                            <a:picLocks noChangeAspect="1"/>
                          </pic:cNvPicPr>
                        </pic:nvPicPr>
                        <pic:blipFill>
                          <a:blip r:embed="rId26"/>
                          <a:stretch>
                            <a:fillRect/>
                          </a:stretch>
                        </pic:blipFill>
                        <pic:spPr>
                          <a:xfrm>
                            <a:off x="0" y="0"/>
                            <a:ext cx="2465070" cy="604520"/>
                          </a:xfrm>
                          <a:prstGeom prst="rect">
                            <a:avLst/>
                          </a:prstGeom>
                          <a:noFill/>
                          <a:ln>
                            <a:noFill/>
                          </a:ln>
                        </pic:spPr>
                      </pic:pic>
                    </a:graphicData>
                  </a:graphic>
                </wp:inline>
              </w:drawing>
            </w:r>
          </w:p>
          <w:p w14:paraId="369C98FD">
            <w:pPr>
              <w:pageBreakBefore w:val="0"/>
              <w:kinsoku/>
              <w:overflowPunct/>
              <w:autoSpaceDE/>
              <w:autoSpaceDN/>
              <w:bidi w:val="0"/>
              <w:spacing w:line="360" w:lineRule="auto"/>
              <w:ind w:firstLine="482"/>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293870" cy="906145"/>
                  <wp:effectExtent l="0" t="0" r="11430" b="8255"/>
                  <wp:docPr id="87" name="图片 3" descr="U`BRWD)5@W_A`ACSE]TEW3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descr="U`BRWD)5@W_A`ACSE]TEW3L"/>
                          <pic:cNvPicPr>
                            <a:picLocks noChangeAspect="1"/>
                          </pic:cNvPicPr>
                        </pic:nvPicPr>
                        <pic:blipFill>
                          <a:blip r:embed="rId27"/>
                          <a:stretch>
                            <a:fillRect/>
                          </a:stretch>
                        </pic:blipFill>
                        <pic:spPr>
                          <a:xfrm>
                            <a:off x="0" y="0"/>
                            <a:ext cx="4293870" cy="906145"/>
                          </a:xfrm>
                          <a:prstGeom prst="rect">
                            <a:avLst/>
                          </a:prstGeom>
                          <a:noFill/>
                          <a:ln>
                            <a:noFill/>
                          </a:ln>
                        </pic:spPr>
                      </pic:pic>
                    </a:graphicData>
                  </a:graphic>
                </wp:inline>
              </w:drawing>
            </w:r>
          </w:p>
          <w:p w14:paraId="3FE8BE9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0" w:firstLine="480" w:firstLineChars="200"/>
              <w:jc w:val="both"/>
              <w:textAlignment w:val="auto"/>
              <w:rPr>
                <w:rFonts w:hint="default"/>
                <w:color w:val="auto"/>
                <w:highlight w:val="none"/>
                <w:lang w:val="en-US" w:eastAsia="zh-CN"/>
              </w:rPr>
            </w:pPr>
            <w:r>
              <w:rPr>
                <w:rFonts w:hint="eastAsia" w:ascii="Times New Roman" w:hAnsi="Times New Roman" w:eastAsia="宋体" w:cs="Times New Roman"/>
                <w:b w:val="0"/>
                <w:bCs/>
                <w:color w:val="auto"/>
                <w:kern w:val="2"/>
                <w:sz w:val="24"/>
                <w:szCs w:val="24"/>
                <w:highlight w:val="none"/>
                <w:lang w:val="en-US" w:eastAsia="zh-CN" w:bidi="ar-SA"/>
              </w:rPr>
              <w:t>对照《危险化学品重大危险源辨识》（GB18218-2018）和风险导则附录B中的危险物名称及临界量情况，医院未构成重大危险源。本项目涉及的危险物质存在情况见表4-</w:t>
            </w:r>
            <w:r>
              <w:rPr>
                <w:rFonts w:hint="eastAsia" w:cs="Times New Roman"/>
                <w:b w:val="0"/>
                <w:bCs/>
                <w:color w:val="auto"/>
                <w:kern w:val="2"/>
                <w:sz w:val="24"/>
                <w:szCs w:val="24"/>
                <w:highlight w:val="none"/>
                <w:lang w:val="en-US" w:eastAsia="zh-CN" w:bidi="ar-SA"/>
              </w:rPr>
              <w:t>9</w:t>
            </w:r>
            <w:r>
              <w:rPr>
                <w:rFonts w:hint="eastAsia" w:ascii="Times New Roman" w:hAnsi="Times New Roman" w:eastAsia="宋体" w:cs="Times New Roman"/>
                <w:b w:val="0"/>
                <w:bCs/>
                <w:color w:val="auto"/>
                <w:kern w:val="2"/>
                <w:sz w:val="24"/>
                <w:szCs w:val="24"/>
                <w:highlight w:val="none"/>
                <w:lang w:val="en-US" w:eastAsia="zh-CN" w:bidi="ar-SA"/>
              </w:rPr>
              <w:t>。</w:t>
            </w:r>
          </w:p>
          <w:p w14:paraId="27B009A3">
            <w:pPr>
              <w:widowControl w:val="0"/>
              <w:numPr>
                <w:ilvl w:val="0"/>
                <w:numId w:val="0"/>
              </w:numPr>
              <w:tabs>
                <w:tab w:val="left" w:pos="0"/>
              </w:tabs>
              <w:adjustRightInd/>
              <w:ind w:leftChars="0"/>
              <w:jc w:val="center"/>
              <w:rPr>
                <w:rFonts w:ascii="Times New Roman" w:hAnsi="Times New Roman" w:eastAsia="宋体" w:cs="Times New Roman"/>
                <w:b/>
                <w:color w:val="auto"/>
                <w:kern w:val="2"/>
                <w:sz w:val="24"/>
                <w:szCs w:val="24"/>
                <w:highlight w:val="none"/>
                <w:lang w:val="en-US" w:eastAsia="zh-CN" w:bidi="ar-SA"/>
              </w:rPr>
            </w:pPr>
            <w:r>
              <w:rPr>
                <w:rFonts w:hint="eastAsia" w:ascii="Times New Roman" w:hAnsi="Times New Roman" w:eastAsia="宋体" w:cs="Times New Roman"/>
                <w:b/>
                <w:color w:val="auto"/>
                <w:kern w:val="2"/>
                <w:sz w:val="24"/>
                <w:szCs w:val="24"/>
                <w:highlight w:val="none"/>
                <w:lang w:val="en-US" w:eastAsia="zh-CN" w:bidi="ar-SA"/>
              </w:rPr>
              <w:t>表4-</w:t>
            </w:r>
            <w:r>
              <w:rPr>
                <w:rFonts w:hint="eastAsia" w:cs="Times New Roman"/>
                <w:b/>
                <w:color w:val="auto"/>
                <w:kern w:val="2"/>
                <w:sz w:val="24"/>
                <w:szCs w:val="24"/>
                <w:highlight w:val="none"/>
                <w:lang w:val="en-US" w:eastAsia="zh-CN" w:bidi="ar-SA"/>
              </w:rPr>
              <w:t>9</w:t>
            </w:r>
            <w:r>
              <w:rPr>
                <w:rFonts w:hint="eastAsia" w:ascii="Times New Roman" w:hAnsi="Times New Roman" w:eastAsia="宋体" w:cs="Times New Roman"/>
                <w:b/>
                <w:color w:val="auto"/>
                <w:kern w:val="2"/>
                <w:sz w:val="24"/>
                <w:szCs w:val="24"/>
                <w:highlight w:val="none"/>
                <w:lang w:val="en-US" w:eastAsia="zh-CN" w:bidi="ar-SA"/>
              </w:rPr>
              <w:t xml:space="preserve">  </w:t>
            </w:r>
            <w:r>
              <w:rPr>
                <w:rFonts w:ascii="Times New Roman" w:hAnsi="Times New Roman" w:eastAsia="宋体" w:cs="Times New Roman"/>
                <w:b/>
                <w:color w:val="auto"/>
                <w:kern w:val="2"/>
                <w:sz w:val="24"/>
                <w:szCs w:val="24"/>
                <w:highlight w:val="none"/>
                <w:lang w:val="en-US" w:eastAsia="zh-CN" w:bidi="ar-SA"/>
              </w:rPr>
              <w:t>建设项目</w:t>
            </w:r>
            <w:r>
              <w:rPr>
                <w:rFonts w:ascii="Times New Roman" w:hAnsi="Times New Roman" w:eastAsia="宋体" w:cs="Times New Roman"/>
                <w:b/>
                <w:i/>
                <w:color w:val="auto"/>
                <w:kern w:val="2"/>
                <w:sz w:val="24"/>
                <w:szCs w:val="24"/>
                <w:highlight w:val="none"/>
                <w:lang w:val="en-US" w:eastAsia="zh-CN" w:bidi="ar-SA"/>
              </w:rPr>
              <w:t>Q</w:t>
            </w:r>
            <w:r>
              <w:rPr>
                <w:rFonts w:ascii="Times New Roman" w:hAnsi="Times New Roman" w:eastAsia="宋体" w:cs="Times New Roman"/>
                <w:b/>
                <w:color w:val="auto"/>
                <w:kern w:val="2"/>
                <w:sz w:val="24"/>
                <w:szCs w:val="24"/>
                <w:highlight w:val="none"/>
                <w:lang w:val="en-US" w:eastAsia="zh-CN" w:bidi="ar-SA"/>
              </w:rPr>
              <w:t>值确定表</w:t>
            </w:r>
          </w:p>
          <w:tbl>
            <w:tblPr>
              <w:tblStyle w:val="5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86"/>
              <w:gridCol w:w="2172"/>
              <w:gridCol w:w="1048"/>
              <w:gridCol w:w="1634"/>
              <w:gridCol w:w="1278"/>
              <w:gridCol w:w="1228"/>
            </w:tblGrid>
            <w:tr w14:paraId="1FF48B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586" w:type="dxa"/>
                  <w:noWrap w:val="0"/>
                  <w:vAlign w:val="center"/>
                </w:tcPr>
                <w:p w14:paraId="201175A0">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auto"/>
                      <w:kern w:val="0"/>
                      <w:sz w:val="21"/>
                      <w:szCs w:val="24"/>
                      <w:highlight w:val="none"/>
                      <w:lang w:val="en-US" w:eastAsia="zh-CN" w:bidi="ar-SA"/>
                    </w:rPr>
                  </w:pPr>
                  <w:r>
                    <w:rPr>
                      <w:rFonts w:ascii="Times New Roman" w:hAnsi="Times New Roman" w:eastAsia="宋体" w:cs="Times New Roman"/>
                      <w:color w:val="auto"/>
                      <w:kern w:val="0"/>
                      <w:sz w:val="21"/>
                      <w:szCs w:val="24"/>
                      <w:highlight w:val="none"/>
                      <w:lang w:val="en-US" w:eastAsia="zh-CN" w:bidi="ar-SA"/>
                    </w:rPr>
                    <w:t>序号</w:t>
                  </w:r>
                </w:p>
              </w:tc>
              <w:tc>
                <w:tcPr>
                  <w:tcW w:w="2172" w:type="dxa"/>
                  <w:noWrap w:val="0"/>
                  <w:vAlign w:val="center"/>
                </w:tcPr>
                <w:p w14:paraId="0C6D0165">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auto"/>
                      <w:kern w:val="0"/>
                      <w:sz w:val="21"/>
                      <w:szCs w:val="24"/>
                      <w:highlight w:val="none"/>
                      <w:lang w:val="en-US" w:eastAsia="zh-CN" w:bidi="ar-SA"/>
                    </w:rPr>
                  </w:pPr>
                  <w:r>
                    <w:rPr>
                      <w:rFonts w:ascii="Times New Roman" w:hAnsi="Times New Roman" w:eastAsia="宋体" w:cs="Times New Roman"/>
                      <w:color w:val="auto"/>
                      <w:kern w:val="0"/>
                      <w:sz w:val="21"/>
                      <w:szCs w:val="24"/>
                      <w:highlight w:val="none"/>
                      <w:lang w:val="en-US" w:eastAsia="zh-CN" w:bidi="ar-SA"/>
                    </w:rPr>
                    <w:t>危险物质名称</w:t>
                  </w:r>
                </w:p>
              </w:tc>
              <w:tc>
                <w:tcPr>
                  <w:tcW w:w="1048" w:type="dxa"/>
                  <w:noWrap w:val="0"/>
                  <w:vAlign w:val="center"/>
                </w:tcPr>
                <w:p w14:paraId="5338F708">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auto"/>
                      <w:kern w:val="0"/>
                      <w:sz w:val="21"/>
                      <w:szCs w:val="24"/>
                      <w:highlight w:val="none"/>
                      <w:lang w:val="en-US" w:eastAsia="zh-CN" w:bidi="ar-SA"/>
                    </w:rPr>
                  </w:pPr>
                  <w:r>
                    <w:rPr>
                      <w:rFonts w:ascii="Times New Roman" w:hAnsi="Times New Roman" w:eastAsia="宋体" w:cs="Times New Roman"/>
                      <w:color w:val="auto"/>
                      <w:kern w:val="0"/>
                      <w:sz w:val="21"/>
                      <w:szCs w:val="24"/>
                      <w:highlight w:val="none"/>
                      <w:lang w:val="en-US" w:eastAsia="zh-CN" w:bidi="ar-SA"/>
                    </w:rPr>
                    <w:t>CAS号</w:t>
                  </w:r>
                </w:p>
              </w:tc>
              <w:tc>
                <w:tcPr>
                  <w:tcW w:w="1634" w:type="dxa"/>
                  <w:noWrap w:val="0"/>
                  <w:vAlign w:val="center"/>
                </w:tcPr>
                <w:p w14:paraId="30CD9C44">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default" w:ascii="Times New Roman" w:hAnsi="Times New Roman" w:eastAsia="宋体" w:cs="Times New Roman"/>
                      <w:color w:val="auto"/>
                      <w:kern w:val="0"/>
                      <w:sz w:val="21"/>
                      <w:szCs w:val="24"/>
                      <w:highlight w:val="none"/>
                      <w:lang w:val="en-US" w:eastAsia="zh-CN" w:bidi="ar-SA"/>
                    </w:rPr>
                  </w:pPr>
                  <w:r>
                    <w:rPr>
                      <w:rFonts w:hint="eastAsia" w:ascii="Times New Roman" w:hAnsi="Times New Roman" w:eastAsia="宋体" w:cs="Times New Roman"/>
                      <w:color w:val="auto"/>
                      <w:kern w:val="0"/>
                      <w:sz w:val="21"/>
                      <w:szCs w:val="24"/>
                      <w:highlight w:val="none"/>
                      <w:lang w:val="en-US" w:eastAsia="zh-CN" w:bidi="ar-SA"/>
                    </w:rPr>
                    <w:t>最大贮存量（q</w:t>
                  </w:r>
                  <w:r>
                    <w:rPr>
                      <w:rFonts w:hint="eastAsia" w:ascii="Times New Roman" w:hAnsi="Times New Roman" w:eastAsia="宋体" w:cs="Times New Roman"/>
                      <w:color w:val="auto"/>
                      <w:kern w:val="0"/>
                      <w:sz w:val="21"/>
                      <w:szCs w:val="24"/>
                      <w:highlight w:val="none"/>
                      <w:vertAlign w:val="subscript"/>
                      <w:lang w:val="en-US" w:eastAsia="zh-CN" w:bidi="ar-SA"/>
                    </w:rPr>
                    <w:t>n</w:t>
                  </w:r>
                  <w:r>
                    <w:rPr>
                      <w:rFonts w:hint="eastAsia" w:ascii="Times New Roman" w:hAnsi="Times New Roman" w:eastAsia="宋体" w:cs="Times New Roman"/>
                      <w:color w:val="auto"/>
                      <w:kern w:val="0"/>
                      <w:sz w:val="21"/>
                      <w:szCs w:val="24"/>
                      <w:highlight w:val="none"/>
                      <w:lang w:val="en-US" w:eastAsia="zh-CN" w:bidi="ar-SA"/>
                    </w:rPr>
                    <w:t>/t）</w:t>
                  </w:r>
                </w:p>
              </w:tc>
              <w:tc>
                <w:tcPr>
                  <w:tcW w:w="1278" w:type="dxa"/>
                  <w:noWrap w:val="0"/>
                  <w:vAlign w:val="center"/>
                </w:tcPr>
                <w:p w14:paraId="716BA372">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auto"/>
                      <w:kern w:val="0"/>
                      <w:sz w:val="21"/>
                      <w:szCs w:val="24"/>
                      <w:highlight w:val="none"/>
                      <w:lang w:val="en-US" w:eastAsia="zh-CN" w:bidi="ar-SA"/>
                    </w:rPr>
                  </w:pPr>
                  <w:r>
                    <w:rPr>
                      <w:rFonts w:ascii="Times New Roman" w:hAnsi="Times New Roman" w:eastAsia="宋体" w:cs="Times New Roman"/>
                      <w:color w:val="auto"/>
                      <w:kern w:val="0"/>
                      <w:sz w:val="21"/>
                      <w:szCs w:val="24"/>
                      <w:highlight w:val="none"/>
                      <w:lang w:val="en-US" w:eastAsia="zh-CN" w:bidi="ar-SA"/>
                    </w:rPr>
                    <w:t>临界量Q</w:t>
                  </w:r>
                  <w:r>
                    <w:rPr>
                      <w:rFonts w:ascii="Times New Roman" w:hAnsi="Times New Roman" w:eastAsia="宋体" w:cs="Times New Roman"/>
                      <w:color w:val="auto"/>
                      <w:kern w:val="0"/>
                      <w:sz w:val="21"/>
                      <w:szCs w:val="24"/>
                      <w:highlight w:val="none"/>
                      <w:vertAlign w:val="subscript"/>
                      <w:lang w:val="en-US" w:eastAsia="zh-CN" w:bidi="ar-SA"/>
                    </w:rPr>
                    <w:t>n</w:t>
                  </w:r>
                  <w:r>
                    <w:rPr>
                      <w:rFonts w:ascii="Times New Roman" w:hAnsi="Times New Roman" w:eastAsia="宋体" w:cs="Times New Roman"/>
                      <w:color w:val="auto"/>
                      <w:kern w:val="0"/>
                      <w:sz w:val="21"/>
                      <w:szCs w:val="24"/>
                      <w:highlight w:val="none"/>
                      <w:lang w:val="en-US" w:eastAsia="zh-CN" w:bidi="ar-SA"/>
                    </w:rPr>
                    <w:t>/t</w:t>
                  </w:r>
                </w:p>
              </w:tc>
              <w:tc>
                <w:tcPr>
                  <w:tcW w:w="1228" w:type="dxa"/>
                  <w:noWrap w:val="0"/>
                  <w:vAlign w:val="center"/>
                </w:tcPr>
                <w:p w14:paraId="7D08835D">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auto"/>
                      <w:kern w:val="0"/>
                      <w:sz w:val="21"/>
                      <w:szCs w:val="24"/>
                      <w:highlight w:val="none"/>
                      <w:lang w:val="en-US" w:eastAsia="zh-CN" w:bidi="ar-SA"/>
                    </w:rPr>
                  </w:pPr>
                  <w:r>
                    <w:rPr>
                      <w:rFonts w:ascii="Times New Roman" w:hAnsi="Times New Roman" w:eastAsia="宋体" w:cs="Times New Roman"/>
                      <w:color w:val="auto"/>
                      <w:kern w:val="0"/>
                      <w:sz w:val="21"/>
                      <w:szCs w:val="24"/>
                      <w:highlight w:val="none"/>
                      <w:lang w:val="en-US" w:eastAsia="zh-CN" w:bidi="ar-SA"/>
                    </w:rPr>
                    <w:t>Q值</w:t>
                  </w:r>
                </w:p>
              </w:tc>
            </w:tr>
            <w:tr w14:paraId="64B863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9" w:hRule="atLeast"/>
                <w:jc w:val="center"/>
              </w:trPr>
              <w:tc>
                <w:tcPr>
                  <w:tcW w:w="586" w:type="dxa"/>
                  <w:noWrap w:val="0"/>
                  <w:vAlign w:val="center"/>
                </w:tcPr>
                <w:p w14:paraId="2FEC6FC4">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t>1</w:t>
                  </w:r>
                </w:p>
              </w:tc>
              <w:tc>
                <w:tcPr>
                  <w:tcW w:w="2172" w:type="dxa"/>
                  <w:noWrap w:val="0"/>
                  <w:vAlign w:val="center"/>
                </w:tcPr>
                <w:p w14:paraId="36EEFD73">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t>缓释氯片（二氧化氯</w:t>
                  </w:r>
                  <w:r>
                    <w:rPr>
                      <w:rFonts w:hint="eastAsia" w:cs="Times New Roman"/>
                      <w:color w:val="000000" w:themeColor="text1"/>
                      <w:kern w:val="0"/>
                      <w:sz w:val="21"/>
                      <w:szCs w:val="24"/>
                      <w:highlight w:val="none"/>
                      <w:lang w:val="en-US" w:eastAsia="zh-CN" w:bidi="ar-SA"/>
                      <w14:textFill>
                        <w14:solidFill>
                          <w14:schemeClr w14:val="tx1"/>
                        </w14:solidFill>
                      </w14:textFill>
                    </w:rPr>
                    <w:t>片</w:t>
                  </w:r>
                  <w:r>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t>）</w:t>
                  </w:r>
                </w:p>
              </w:tc>
              <w:tc>
                <w:tcPr>
                  <w:tcW w:w="1048" w:type="dxa"/>
                  <w:noWrap w:val="0"/>
                  <w:vAlign w:val="center"/>
                </w:tcPr>
                <w:p w14:paraId="3E411EA4">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t>10049-04-4</w:t>
                  </w:r>
                </w:p>
              </w:tc>
              <w:tc>
                <w:tcPr>
                  <w:tcW w:w="1634" w:type="dxa"/>
                  <w:noWrap w:val="0"/>
                  <w:vAlign w:val="center"/>
                </w:tcPr>
                <w:p w14:paraId="625F3FCA">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0.0432</w:t>
                  </w:r>
                </w:p>
              </w:tc>
              <w:tc>
                <w:tcPr>
                  <w:tcW w:w="1278" w:type="dxa"/>
                  <w:noWrap w:val="0"/>
                  <w:vAlign w:val="center"/>
                </w:tcPr>
                <w:p w14:paraId="7ED35977">
                  <w:pPr>
                    <w:keepNext w:val="0"/>
                    <w:keepLines w:val="0"/>
                    <w:widowControl/>
                    <w:suppressLineNumbers w:val="0"/>
                    <w:jc w:val="center"/>
                    <w:textAlignment w:val="center"/>
                    <w:rPr>
                      <w:rFonts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0.5</w:t>
                  </w:r>
                </w:p>
              </w:tc>
              <w:tc>
                <w:tcPr>
                  <w:tcW w:w="1228" w:type="dxa"/>
                  <w:noWrap w:val="0"/>
                  <w:vAlign w:val="center"/>
                </w:tcPr>
                <w:p w14:paraId="084840A8">
                  <w:pPr>
                    <w:keepNext w:val="0"/>
                    <w:keepLines w:val="0"/>
                    <w:widowControl/>
                    <w:suppressLineNumbers w:val="0"/>
                    <w:jc w:val="center"/>
                    <w:textAlignment w:val="center"/>
                    <w:rPr>
                      <w:rFonts w:hint="default"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0.86 </w:t>
                  </w:r>
                </w:p>
              </w:tc>
            </w:tr>
            <w:tr w14:paraId="66B2D1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9" w:hRule="atLeast"/>
                <w:jc w:val="center"/>
              </w:trPr>
              <w:tc>
                <w:tcPr>
                  <w:tcW w:w="586" w:type="dxa"/>
                  <w:noWrap w:val="0"/>
                  <w:vAlign w:val="center"/>
                </w:tcPr>
                <w:p w14:paraId="6A5B4650">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default"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cs="Times New Roman"/>
                      <w:color w:val="000000" w:themeColor="text1"/>
                      <w:kern w:val="0"/>
                      <w:sz w:val="21"/>
                      <w:szCs w:val="24"/>
                      <w:highlight w:val="none"/>
                      <w:lang w:val="en-US" w:eastAsia="zh-CN" w:bidi="ar-SA"/>
                      <w14:textFill>
                        <w14:solidFill>
                          <w14:schemeClr w14:val="tx1"/>
                        </w14:solidFill>
                      </w14:textFill>
                    </w:rPr>
                    <w:t>2</w:t>
                  </w:r>
                </w:p>
              </w:tc>
              <w:tc>
                <w:tcPr>
                  <w:tcW w:w="2172" w:type="dxa"/>
                  <w:noWrap w:val="0"/>
                  <w:vAlign w:val="center"/>
                </w:tcPr>
                <w:p w14:paraId="1FB34A5B">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cs="Times New Roman"/>
                      <w:color w:val="000000" w:themeColor="text1"/>
                      <w:kern w:val="0"/>
                      <w:sz w:val="21"/>
                      <w:szCs w:val="24"/>
                      <w:highlight w:val="none"/>
                      <w:lang w:val="en-US" w:eastAsia="zh-CN" w:bidi="ar-SA"/>
                      <w14:textFill>
                        <w14:solidFill>
                          <w14:schemeClr w14:val="tx1"/>
                        </w14:solidFill>
                      </w14:textFill>
                    </w:rPr>
                    <w:t>医疗废物</w:t>
                  </w:r>
                </w:p>
              </w:tc>
              <w:tc>
                <w:tcPr>
                  <w:tcW w:w="1048" w:type="dxa"/>
                  <w:noWrap w:val="0"/>
                  <w:vAlign w:val="center"/>
                </w:tcPr>
                <w:p w14:paraId="62B5C8AA">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cs="Times New Roman"/>
                      <w:color w:val="000000" w:themeColor="text1"/>
                      <w:kern w:val="0"/>
                      <w:sz w:val="21"/>
                      <w:szCs w:val="24"/>
                      <w:highlight w:val="none"/>
                      <w:lang w:val="en-US" w:eastAsia="zh-CN" w:bidi="ar-SA"/>
                      <w14:textFill>
                        <w14:solidFill>
                          <w14:schemeClr w14:val="tx1"/>
                        </w14:solidFill>
                      </w14:textFill>
                    </w:rPr>
                    <w:t>/</w:t>
                  </w:r>
                </w:p>
              </w:tc>
              <w:tc>
                <w:tcPr>
                  <w:tcW w:w="1634" w:type="dxa"/>
                  <w:noWrap w:val="0"/>
                  <w:vAlign w:val="center"/>
                </w:tcPr>
                <w:p w14:paraId="5B4BAAA6">
                  <w:pPr>
                    <w:keepNext w:val="0"/>
                    <w:keepLines w:val="0"/>
                    <w:widowControl/>
                    <w:suppressLineNumbers w:val="0"/>
                    <w:jc w:val="center"/>
                    <w:textAlignment w:val="center"/>
                    <w:rPr>
                      <w:rFonts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0.0072</w:t>
                  </w:r>
                </w:p>
              </w:tc>
              <w:tc>
                <w:tcPr>
                  <w:tcW w:w="1278" w:type="dxa"/>
                  <w:noWrap w:val="0"/>
                  <w:vAlign w:val="center"/>
                </w:tcPr>
                <w:p w14:paraId="027636B7">
                  <w:pPr>
                    <w:keepNext w:val="0"/>
                    <w:keepLines w:val="0"/>
                    <w:widowControl/>
                    <w:suppressLineNumbers w:val="0"/>
                    <w:jc w:val="center"/>
                    <w:textAlignment w:val="center"/>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1228" w:type="dxa"/>
                  <w:noWrap w:val="0"/>
                  <w:vAlign w:val="center"/>
                </w:tcPr>
                <w:p w14:paraId="0A6D1A17">
                  <w:pPr>
                    <w:keepNext w:val="0"/>
                    <w:keepLines w:val="0"/>
                    <w:widowControl/>
                    <w:suppressLineNumbers w:val="0"/>
                    <w:jc w:val="center"/>
                    <w:textAlignment w:val="center"/>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0.00144 </w:t>
                  </w:r>
                </w:p>
              </w:tc>
            </w:tr>
            <w:tr w14:paraId="0CDCC0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9" w:hRule="atLeast"/>
                <w:jc w:val="center"/>
              </w:trPr>
              <w:tc>
                <w:tcPr>
                  <w:tcW w:w="586" w:type="dxa"/>
                  <w:noWrap w:val="0"/>
                  <w:vAlign w:val="center"/>
                </w:tcPr>
                <w:p w14:paraId="356770B2">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default"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cs="Times New Roman"/>
                      <w:color w:val="000000" w:themeColor="text1"/>
                      <w:kern w:val="0"/>
                      <w:sz w:val="21"/>
                      <w:szCs w:val="24"/>
                      <w:highlight w:val="none"/>
                      <w:lang w:val="en-US" w:eastAsia="zh-CN" w:bidi="ar-SA"/>
                      <w14:textFill>
                        <w14:solidFill>
                          <w14:schemeClr w14:val="tx1"/>
                        </w14:solidFill>
                      </w14:textFill>
                    </w:rPr>
                    <w:t>3</w:t>
                  </w:r>
                </w:p>
              </w:tc>
              <w:tc>
                <w:tcPr>
                  <w:tcW w:w="2172" w:type="dxa"/>
                  <w:noWrap w:val="0"/>
                  <w:vAlign w:val="center"/>
                </w:tcPr>
                <w:p w14:paraId="0478E0CB">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t>污水处理污泥</w:t>
                  </w:r>
                </w:p>
              </w:tc>
              <w:tc>
                <w:tcPr>
                  <w:tcW w:w="1048" w:type="dxa"/>
                  <w:noWrap w:val="0"/>
                  <w:vAlign w:val="center"/>
                </w:tcPr>
                <w:p w14:paraId="4283798F">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cs="Times New Roman"/>
                      <w:color w:val="000000" w:themeColor="text1"/>
                      <w:kern w:val="0"/>
                      <w:sz w:val="21"/>
                      <w:szCs w:val="24"/>
                      <w:highlight w:val="none"/>
                      <w:lang w:val="en-US" w:eastAsia="zh-CN" w:bidi="ar-SA"/>
                      <w14:textFill>
                        <w14:solidFill>
                          <w14:schemeClr w14:val="tx1"/>
                        </w14:solidFill>
                      </w14:textFill>
                    </w:rPr>
                    <w:t>/</w:t>
                  </w:r>
                </w:p>
              </w:tc>
              <w:tc>
                <w:tcPr>
                  <w:tcW w:w="1634" w:type="dxa"/>
                  <w:noWrap w:val="0"/>
                  <w:vAlign w:val="center"/>
                </w:tcPr>
                <w:p w14:paraId="73FBD998">
                  <w:pPr>
                    <w:keepNext w:val="0"/>
                    <w:keepLines w:val="0"/>
                    <w:widowControl/>
                    <w:suppressLineNumbers w:val="0"/>
                    <w:jc w:val="center"/>
                    <w:textAlignment w:val="center"/>
                    <w:rPr>
                      <w:rFonts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0.00002</w:t>
                  </w:r>
                  <w:r>
                    <w:rPr>
                      <w:rFonts w:hint="eastAsia" w:cs="Times New Roman"/>
                      <w:i w:val="0"/>
                      <w:iCs w:val="0"/>
                      <w:color w:val="000000"/>
                      <w:kern w:val="0"/>
                      <w:sz w:val="21"/>
                      <w:szCs w:val="21"/>
                      <w:u w:val="none"/>
                      <w:lang w:val="en-US" w:eastAsia="zh-CN" w:bidi="ar"/>
                    </w:rPr>
                    <w:t>2</w:t>
                  </w:r>
                </w:p>
              </w:tc>
              <w:tc>
                <w:tcPr>
                  <w:tcW w:w="1278" w:type="dxa"/>
                  <w:noWrap w:val="0"/>
                  <w:vAlign w:val="center"/>
                </w:tcPr>
                <w:p w14:paraId="4536F395">
                  <w:pPr>
                    <w:keepNext w:val="0"/>
                    <w:keepLines w:val="0"/>
                    <w:widowControl/>
                    <w:suppressLineNumbers w:val="0"/>
                    <w:jc w:val="center"/>
                    <w:textAlignment w:val="center"/>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1228" w:type="dxa"/>
                  <w:noWrap w:val="0"/>
                  <w:vAlign w:val="center"/>
                </w:tcPr>
                <w:p w14:paraId="6922DAD8">
                  <w:pPr>
                    <w:keepNext w:val="0"/>
                    <w:keepLines w:val="0"/>
                    <w:widowControl/>
                    <w:suppressLineNumbers w:val="0"/>
                    <w:jc w:val="center"/>
                    <w:textAlignment w:val="center"/>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 xml:space="preserve">0.00000043 </w:t>
                  </w:r>
                </w:p>
              </w:tc>
            </w:tr>
            <w:tr w14:paraId="0B56FA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9" w:hRule="atLeast"/>
                <w:jc w:val="center"/>
              </w:trPr>
              <w:tc>
                <w:tcPr>
                  <w:tcW w:w="586" w:type="dxa"/>
                  <w:noWrap w:val="0"/>
                  <w:vAlign w:val="center"/>
                </w:tcPr>
                <w:p w14:paraId="7FFFF373">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default"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cs="Times New Roman"/>
                      <w:color w:val="000000" w:themeColor="text1"/>
                      <w:kern w:val="0"/>
                      <w:sz w:val="21"/>
                      <w:szCs w:val="24"/>
                      <w:highlight w:val="none"/>
                      <w:lang w:val="en-US" w:eastAsia="zh-CN" w:bidi="ar-SA"/>
                      <w14:textFill>
                        <w14:solidFill>
                          <w14:schemeClr w14:val="tx1"/>
                        </w14:solidFill>
                      </w14:textFill>
                    </w:rPr>
                    <w:t>4</w:t>
                  </w:r>
                </w:p>
              </w:tc>
              <w:tc>
                <w:tcPr>
                  <w:tcW w:w="2172" w:type="dxa"/>
                  <w:noWrap w:val="0"/>
                  <w:vAlign w:val="center"/>
                </w:tcPr>
                <w:p w14:paraId="27510E37">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t>检验设备头道清洗废水</w:t>
                  </w:r>
                </w:p>
              </w:tc>
              <w:tc>
                <w:tcPr>
                  <w:tcW w:w="1048" w:type="dxa"/>
                  <w:noWrap w:val="0"/>
                  <w:vAlign w:val="center"/>
                </w:tcPr>
                <w:p w14:paraId="6F3ACA29">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eastAsia" w:cs="Times New Roman"/>
                      <w:color w:val="000000" w:themeColor="text1"/>
                      <w:kern w:val="0"/>
                      <w:sz w:val="21"/>
                      <w:szCs w:val="24"/>
                      <w:highlight w:val="none"/>
                      <w:lang w:val="en-US" w:eastAsia="zh-CN" w:bidi="ar-SA"/>
                      <w14:textFill>
                        <w14:solidFill>
                          <w14:schemeClr w14:val="tx1"/>
                        </w14:solidFill>
                      </w14:textFill>
                    </w:rPr>
                    <w:t>/</w:t>
                  </w:r>
                </w:p>
              </w:tc>
              <w:tc>
                <w:tcPr>
                  <w:tcW w:w="1634" w:type="dxa"/>
                  <w:noWrap w:val="0"/>
                  <w:vAlign w:val="center"/>
                </w:tcPr>
                <w:p w14:paraId="37EE2B56">
                  <w:pPr>
                    <w:keepNext w:val="0"/>
                    <w:keepLines w:val="0"/>
                    <w:widowControl/>
                    <w:suppressLineNumbers w:val="0"/>
                    <w:jc w:val="center"/>
                    <w:textAlignment w:val="center"/>
                    <w:rPr>
                      <w:rFonts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0.0003</w:t>
                  </w:r>
                </w:p>
              </w:tc>
              <w:tc>
                <w:tcPr>
                  <w:tcW w:w="1278" w:type="dxa"/>
                  <w:noWrap w:val="0"/>
                  <w:vAlign w:val="center"/>
                </w:tcPr>
                <w:p w14:paraId="25AE68F4">
                  <w:pPr>
                    <w:keepNext w:val="0"/>
                    <w:keepLines w:val="0"/>
                    <w:widowControl/>
                    <w:suppressLineNumbers w:val="0"/>
                    <w:jc w:val="center"/>
                    <w:textAlignment w:val="center"/>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1228" w:type="dxa"/>
                  <w:noWrap w:val="0"/>
                  <w:vAlign w:val="center"/>
                </w:tcPr>
                <w:p w14:paraId="315D7D8A">
                  <w:pPr>
                    <w:keepNext w:val="0"/>
                    <w:keepLines w:val="0"/>
                    <w:widowControl/>
                    <w:suppressLineNumbers w:val="0"/>
                    <w:jc w:val="center"/>
                    <w:textAlignment w:val="center"/>
                    <w:rPr>
                      <w:rFonts w:hint="eastAsia" w:ascii="Times New Roman" w:hAnsi="Times New Roman" w:eastAsia="宋体" w:cs="Times New Roman"/>
                      <w:color w:val="000000" w:themeColor="text1"/>
                      <w:kern w:val="0"/>
                      <w:sz w:val="21"/>
                      <w:szCs w:val="24"/>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kern w:val="0"/>
                      <w:sz w:val="21"/>
                      <w:szCs w:val="21"/>
                      <w:u w:val="none"/>
                      <w:lang w:val="en-US" w:eastAsia="zh-CN" w:bidi="ar"/>
                    </w:rPr>
                    <w:t>0.000003</w:t>
                  </w:r>
                </w:p>
              </w:tc>
            </w:tr>
            <w:tr w14:paraId="6078D4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9" w:hRule="atLeast"/>
                <w:jc w:val="center"/>
              </w:trPr>
              <w:tc>
                <w:tcPr>
                  <w:tcW w:w="6718" w:type="dxa"/>
                  <w:gridSpan w:val="5"/>
                  <w:noWrap w:val="0"/>
                  <w:vAlign w:val="center"/>
                </w:tcPr>
                <w:p w14:paraId="69AFC480">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eastAsia" w:cs="Times New Roman"/>
                      <w:color w:val="000000" w:themeColor="text1"/>
                      <w:kern w:val="0"/>
                      <w:sz w:val="21"/>
                      <w:szCs w:val="24"/>
                      <w:highlight w:val="none"/>
                      <w:lang w:val="en-US" w:eastAsia="zh-CN" w:bidi="ar-SA"/>
                      <w14:textFill>
                        <w14:solidFill>
                          <w14:schemeClr w14:val="tx1"/>
                        </w14:solidFill>
                      </w14:textFill>
                    </w:rPr>
                  </w:pPr>
                  <w:r>
                    <w:rPr>
                      <w:rFonts w:hint="eastAsia" w:cs="Times New Roman"/>
                      <w:color w:val="000000" w:themeColor="text1"/>
                      <w:kern w:val="0"/>
                      <w:sz w:val="21"/>
                      <w:szCs w:val="24"/>
                      <w:highlight w:val="none"/>
                      <w:lang w:val="en-US" w:eastAsia="zh-CN" w:bidi="ar-SA"/>
                      <w14:textFill>
                        <w14:solidFill>
                          <w14:schemeClr w14:val="tx1"/>
                        </w14:solidFill>
                      </w14:textFill>
                    </w:rPr>
                    <w:t>合计</w:t>
                  </w:r>
                </w:p>
              </w:tc>
              <w:tc>
                <w:tcPr>
                  <w:tcW w:w="1228" w:type="dxa"/>
                  <w:noWrap w:val="0"/>
                  <w:vAlign w:val="center"/>
                </w:tcPr>
                <w:p w14:paraId="3B0A327F">
                  <w:pPr>
                    <w:keepNext w:val="0"/>
                    <w:keepLines w:val="0"/>
                    <w:pageBreakBefore w:val="0"/>
                    <w:widowControl w:val="0"/>
                    <w:kinsoku/>
                    <w:wordWrap w:val="0"/>
                    <w:overflowPunct/>
                    <w:topLinePunct/>
                    <w:autoSpaceDE/>
                    <w:autoSpaceDN/>
                    <w:bidi w:val="0"/>
                    <w:adjustRightInd/>
                    <w:snapToGrid/>
                    <w:spacing w:line="360" w:lineRule="auto"/>
                    <w:jc w:val="center"/>
                    <w:textAlignment w:val="auto"/>
                    <w:rPr>
                      <w:rFonts w:hint="default" w:ascii="Cambria Math" w:hAnsi="Cambria Math" w:eastAsia="宋体" w:cs="Times New Roman"/>
                      <w:b w:val="0"/>
                      <w:i w:val="0"/>
                      <w:color w:val="000000" w:themeColor="text1"/>
                      <w:kern w:val="0"/>
                      <w:sz w:val="21"/>
                      <w:szCs w:val="24"/>
                      <w:highlight w:val="none"/>
                      <w:lang w:val="en-US" w:eastAsia="zh-CN" w:bidi="ar-SA"/>
                      <w14:textFill>
                        <w14:solidFill>
                          <w14:schemeClr w14:val="tx1"/>
                        </w14:solidFill>
                      </w14:textFill>
                      <w:oMath/>
                    </w:rPr>
                  </w:pPr>
                  <w:r>
                    <w:rPr>
                      <w:rFonts w:hint="eastAsia" w:cs="Times New Roman"/>
                      <w:color w:val="000000" w:themeColor="text1"/>
                      <w:kern w:val="0"/>
                      <w:sz w:val="21"/>
                      <w:szCs w:val="24"/>
                      <w:highlight w:val="none"/>
                      <w:lang w:val="en-US" w:eastAsia="zh-CN" w:bidi="ar-SA"/>
                      <w14:textFill>
                        <w14:solidFill>
                          <w14:schemeClr w14:val="tx1"/>
                        </w14:solidFill>
                      </w14:textFill>
                    </w:rPr>
                    <w:t>0.087</w:t>
                  </w:r>
                </w:p>
              </w:tc>
            </w:tr>
          </w:tbl>
          <w:p w14:paraId="2634AAAC">
            <w:pPr>
              <w:keepNext w:val="0"/>
              <w:keepLines w:val="0"/>
              <w:pageBreakBefore w:val="0"/>
              <w:widowControl w:val="0"/>
              <w:kinsoku/>
              <w:wordWrap/>
              <w:overflowPunct/>
              <w:topLinePunct w:val="0"/>
              <w:autoSpaceDE/>
              <w:autoSpaceDN/>
              <w:bidi w:val="0"/>
              <w:adjustRightInd/>
              <w:snapToGrid/>
              <w:spacing w:before="185" w:beforeLines="50" w:line="360" w:lineRule="auto"/>
              <w:ind w:firstLine="480" w:firstLineChars="200"/>
              <w:jc w:val="both"/>
              <w:textAlignment w:val="auto"/>
              <w:rPr>
                <w:rFonts w:hint="eastAsia" w:hAnsi="Cambria Math" w:cs="Times New Roman"/>
                <w:i w:val="0"/>
                <w:color w:val="000000" w:themeColor="text1"/>
                <w:kern w:val="0"/>
                <w:highlight w:val="none"/>
                <w:lang w:val="en-US" w:eastAsia="zh-CN"/>
                <w14:textFill>
                  <w14:solidFill>
                    <w14:schemeClr w14:val="tx1"/>
                  </w14:solidFill>
                </w14:textFill>
              </w:rPr>
            </w:pPr>
            <w:r>
              <w:rPr>
                <w:rFonts w:hint="eastAsia" w:hAnsi="Cambria Math" w:cs="Times New Roman"/>
                <w:i w:val="0"/>
                <w:color w:val="000000" w:themeColor="text1"/>
                <w:kern w:val="0"/>
                <w:highlight w:val="none"/>
                <w:lang w:val="en-US" w:eastAsia="zh-CN"/>
                <w14:textFill>
                  <w14:solidFill>
                    <w14:schemeClr w14:val="tx1"/>
                  </w14:solidFill>
                </w14:textFill>
              </w:rPr>
              <w:t>计算项目</w:t>
            </w:r>
            <w:r>
              <w:rPr>
                <w:rFonts w:hint="default" w:hAnsi="Cambria Math" w:cs="Times New Roman"/>
                <w:i w:val="0"/>
                <w:color w:val="000000" w:themeColor="text1"/>
                <w:kern w:val="0"/>
                <w:highlight w:val="none"/>
                <w:lang w:val="en-US" w:eastAsia="zh-CN"/>
                <w14:textFill>
                  <w14:solidFill>
                    <w14:schemeClr w14:val="tx1"/>
                  </w14:solidFill>
                </w14:textFill>
              </w:rPr>
              <w:t>Q值</w:t>
            </w:r>
            <w:r>
              <w:rPr>
                <w:rFonts w:hint="eastAsia" w:hAnsi="Cambria Math" w:cs="Times New Roman"/>
                <w:i w:val="0"/>
                <w:color w:val="000000" w:themeColor="text1"/>
                <w:kern w:val="0"/>
                <w:highlight w:val="none"/>
                <w:lang w:val="en-US" w:eastAsia="zh-CN"/>
                <w14:textFill>
                  <w14:solidFill>
                    <w14:schemeClr w14:val="tx1"/>
                  </w14:solidFill>
                </w14:textFill>
              </w:rPr>
              <w:t>：</w:t>
            </w:r>
          </w:p>
          <w:p w14:paraId="765D46CC">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hAnsi="Cambria Math"/>
                <w:i/>
                <w:color w:val="000000" w:themeColor="text1"/>
                <w:sz w:val="28"/>
                <w:szCs w:val="28"/>
                <w:highlight w:val="none"/>
                <w:lang w:val="en-US" w:eastAsia="zh-CN"/>
                <w14:textFill>
                  <w14:solidFill>
                    <w14:schemeClr w14:val="tx1"/>
                  </w14:solidFill>
                </w14:textFill>
              </w:rPr>
            </w:pPr>
            <m:oMath>
              <m:sSub>
                <m:sSubPr>
                  <m:ctrlPr>
                    <w:rPr>
                      <w:rFonts w:hint="default" w:ascii="Cambria Math" w:hAnsi="Cambria Math"/>
                      <w:i/>
                      <w:color w:val="000000" w:themeColor="text1"/>
                      <w:sz w:val="28"/>
                      <w:szCs w:val="28"/>
                      <w:highlight w:val="none"/>
                      <w:lang w:val="en-US" w:eastAsia="zh-CN"/>
                      <w14:textFill>
                        <w14:solidFill>
                          <w14:schemeClr w14:val="tx1"/>
                        </w14:solidFill>
                      </w14:textFill>
                    </w:rPr>
                  </m:ctrlPr>
                </m:sSubPr>
                <m:e>
                  <m:r>
                    <m:rPr/>
                    <w:rPr>
                      <w:rFonts w:hint="default" w:ascii="Cambria Math" w:hAnsi="Cambria Math"/>
                      <w:color w:val="000000" w:themeColor="text1"/>
                      <w:sz w:val="28"/>
                      <w:szCs w:val="28"/>
                      <w:highlight w:val="none"/>
                      <w:lang w:val="en-US" w:eastAsia="zh-CN"/>
                      <w14:textFill>
                        <w14:solidFill>
                          <w14:schemeClr w14:val="tx1"/>
                        </w14:solidFill>
                      </w14:textFill>
                    </w:rPr>
                    <m:t>Q</m:t>
                  </m:r>
                  <m:ctrlPr>
                    <w:rPr>
                      <w:rFonts w:hint="default" w:ascii="Cambria Math" w:hAnsi="Cambria Math"/>
                      <w:i/>
                      <w:color w:val="000000" w:themeColor="text1"/>
                      <w:sz w:val="28"/>
                      <w:szCs w:val="28"/>
                      <w:highlight w:val="none"/>
                      <w:lang w:val="en-US" w:eastAsia="zh-CN"/>
                      <w14:textFill>
                        <w14:solidFill>
                          <w14:schemeClr w14:val="tx1"/>
                        </w14:solidFill>
                      </w14:textFill>
                    </w:rPr>
                  </m:ctrlPr>
                </m:e>
                <m:sub>
                  <m:r>
                    <m:rPr/>
                    <w:rPr>
                      <w:rFonts w:hint="default" w:ascii="Cambria Math" w:hAnsi="Cambria Math"/>
                      <w:color w:val="000000" w:themeColor="text1"/>
                      <w:sz w:val="28"/>
                      <w:szCs w:val="28"/>
                      <w:highlight w:val="none"/>
                      <w:lang w:val="en-US" w:eastAsia="zh-CN"/>
                      <w14:textFill>
                        <w14:solidFill>
                          <w14:schemeClr w14:val="tx1"/>
                        </w14:solidFill>
                      </w14:textFill>
                    </w:rPr>
                    <m:t>1</m:t>
                  </m:r>
                  <m:ctrlPr>
                    <w:rPr>
                      <w:rFonts w:hint="default" w:ascii="Cambria Math" w:hAnsi="Cambria Math"/>
                      <w:i/>
                      <w:color w:val="000000" w:themeColor="text1"/>
                      <w:sz w:val="28"/>
                      <w:szCs w:val="28"/>
                      <w:highlight w:val="none"/>
                      <w:lang w:val="en-US" w:eastAsia="zh-CN"/>
                      <w14:textFill>
                        <w14:solidFill>
                          <w14:schemeClr w14:val="tx1"/>
                        </w14:solidFill>
                      </w14:textFill>
                    </w:rPr>
                  </m:ctrlPr>
                </m:sub>
              </m:sSub>
              <m:r>
                <m:rPr/>
                <w:rPr>
                  <w:rFonts w:ascii="Cambria Math" w:hAnsi="Cambria Math"/>
                  <w:color w:val="000000" w:themeColor="text1"/>
                  <w:sz w:val="28"/>
                  <w:szCs w:val="28"/>
                  <w:highlight w:val="none"/>
                  <w:lang w:val="en-US"/>
                  <w14:textFill>
                    <w14:solidFill>
                      <w14:schemeClr w14:val="tx1"/>
                    </w14:solidFill>
                  </w14:textFill>
                </w:rPr>
                <m:t>=</m:t>
              </m:r>
              <m:f>
                <m:fPr>
                  <m:ctrlPr>
                    <w:rPr>
                      <w:rFonts w:ascii="Cambria Math" w:hAnsi="Cambria Math"/>
                      <w:i/>
                      <w:color w:val="000000" w:themeColor="text1"/>
                      <w:sz w:val="28"/>
                      <w:szCs w:val="28"/>
                      <w:highlight w:val="none"/>
                      <w:lang w:val="en-US"/>
                      <w14:textFill>
                        <w14:solidFill>
                          <w14:schemeClr w14:val="tx1"/>
                        </w14:solidFill>
                      </w14:textFill>
                    </w:rPr>
                  </m:ctrlPr>
                </m:fPr>
                <m:num>
                  <m:sSub>
                    <m:sSubPr>
                      <m:ctrlPr>
                        <w:rPr>
                          <w:rFonts w:ascii="Cambria Math" w:hAnsi="Cambria Math"/>
                          <w:i/>
                          <w:color w:val="000000" w:themeColor="text1"/>
                          <w:sz w:val="28"/>
                          <w:szCs w:val="28"/>
                          <w:highlight w:val="none"/>
                          <w:lang w:val="en-US"/>
                          <w14:textFill>
                            <w14:solidFill>
                              <w14:schemeClr w14:val="tx1"/>
                            </w14:solidFill>
                          </w14:textFill>
                        </w:rPr>
                      </m:ctrlPr>
                    </m:sSubPr>
                    <m:e>
                      <m:r>
                        <m:rPr/>
                        <w:rPr>
                          <w:rFonts w:hint="default" w:ascii="Cambria Math" w:hAnsi="Cambria Math"/>
                          <w:color w:val="000000" w:themeColor="text1"/>
                          <w:sz w:val="28"/>
                          <w:szCs w:val="28"/>
                          <w:highlight w:val="none"/>
                          <w:lang w:val="en-US" w:eastAsia="zh-CN"/>
                          <w14:textFill>
                            <w14:solidFill>
                              <w14:schemeClr w14:val="tx1"/>
                            </w14:solidFill>
                          </w14:textFill>
                        </w:rPr>
                        <m:t>q</m:t>
                      </m:r>
                      <m:ctrlPr>
                        <w:rPr>
                          <w:rFonts w:ascii="Cambria Math" w:hAnsi="Cambria Math"/>
                          <w:i/>
                          <w:color w:val="000000" w:themeColor="text1"/>
                          <w:sz w:val="28"/>
                          <w:szCs w:val="28"/>
                          <w:highlight w:val="none"/>
                          <w:lang w:val="en-US"/>
                          <w14:textFill>
                            <w14:solidFill>
                              <w14:schemeClr w14:val="tx1"/>
                            </w14:solidFill>
                          </w14:textFill>
                        </w:rPr>
                      </m:ctrlPr>
                    </m:e>
                    <m:sub>
                      <m:r>
                        <m:rPr/>
                        <w:rPr>
                          <w:rFonts w:hint="default" w:ascii="Cambria Math" w:hAnsi="Cambria Math"/>
                          <w:color w:val="000000" w:themeColor="text1"/>
                          <w:sz w:val="28"/>
                          <w:szCs w:val="28"/>
                          <w:highlight w:val="none"/>
                          <w:lang w:val="en-US" w:eastAsia="zh-CN"/>
                          <w14:textFill>
                            <w14:solidFill>
                              <w14:schemeClr w14:val="tx1"/>
                            </w14:solidFill>
                          </w14:textFill>
                        </w:rPr>
                        <m:t>1</m:t>
                      </m:r>
                      <m:ctrlPr>
                        <w:rPr>
                          <w:rFonts w:ascii="Cambria Math" w:hAnsi="Cambria Math"/>
                          <w:i/>
                          <w:color w:val="000000" w:themeColor="text1"/>
                          <w:sz w:val="28"/>
                          <w:szCs w:val="28"/>
                          <w:highlight w:val="none"/>
                          <w:lang w:val="en-US"/>
                          <w14:textFill>
                            <w14:solidFill>
                              <w14:schemeClr w14:val="tx1"/>
                            </w14:solidFill>
                          </w14:textFill>
                        </w:rPr>
                      </m:ctrlPr>
                    </m:sub>
                  </m:sSub>
                  <m:ctrlPr>
                    <w:rPr>
                      <w:rFonts w:ascii="Cambria Math" w:hAnsi="Cambria Math"/>
                      <w:i/>
                      <w:color w:val="000000" w:themeColor="text1"/>
                      <w:sz w:val="28"/>
                      <w:szCs w:val="28"/>
                      <w:highlight w:val="none"/>
                      <w:lang w:val="en-US"/>
                      <w14:textFill>
                        <w14:solidFill>
                          <w14:schemeClr w14:val="tx1"/>
                        </w14:solidFill>
                      </w14:textFill>
                    </w:rPr>
                  </m:ctrlPr>
                </m:num>
                <m:den>
                  <m:sSub>
                    <m:sSubPr>
                      <m:ctrlPr>
                        <w:rPr>
                          <w:rFonts w:ascii="Cambria Math" w:hAnsi="Cambria Math"/>
                          <w:i/>
                          <w:color w:val="000000" w:themeColor="text1"/>
                          <w:sz w:val="28"/>
                          <w:szCs w:val="28"/>
                          <w:highlight w:val="none"/>
                          <w:lang w:val="en-US"/>
                          <w14:textFill>
                            <w14:solidFill>
                              <w14:schemeClr w14:val="tx1"/>
                            </w14:solidFill>
                          </w14:textFill>
                        </w:rPr>
                      </m:ctrlPr>
                    </m:sSubPr>
                    <m:e>
                      <m:r>
                        <m:rPr/>
                        <w:rPr>
                          <w:rFonts w:hint="default" w:ascii="Cambria Math" w:hAnsi="Cambria Math"/>
                          <w:color w:val="000000" w:themeColor="text1"/>
                          <w:sz w:val="28"/>
                          <w:szCs w:val="28"/>
                          <w:highlight w:val="none"/>
                          <w:lang w:val="en-US" w:eastAsia="zh-CN"/>
                          <w14:textFill>
                            <w14:solidFill>
                              <w14:schemeClr w14:val="tx1"/>
                            </w14:solidFill>
                          </w14:textFill>
                        </w:rPr>
                        <m:t>Q</m:t>
                      </m:r>
                      <m:ctrlPr>
                        <w:rPr>
                          <w:rFonts w:ascii="Cambria Math" w:hAnsi="Cambria Math"/>
                          <w:i/>
                          <w:color w:val="000000" w:themeColor="text1"/>
                          <w:sz w:val="28"/>
                          <w:szCs w:val="28"/>
                          <w:highlight w:val="none"/>
                          <w:lang w:val="en-US"/>
                          <w14:textFill>
                            <w14:solidFill>
                              <w14:schemeClr w14:val="tx1"/>
                            </w14:solidFill>
                          </w14:textFill>
                        </w:rPr>
                      </m:ctrlPr>
                    </m:e>
                    <m:sub>
                      <m:r>
                        <m:rPr/>
                        <w:rPr>
                          <w:rFonts w:hint="default" w:ascii="Cambria Math" w:hAnsi="Cambria Math"/>
                          <w:color w:val="000000" w:themeColor="text1"/>
                          <w:sz w:val="28"/>
                          <w:szCs w:val="28"/>
                          <w:highlight w:val="none"/>
                          <w:lang w:val="en-US" w:eastAsia="zh-CN"/>
                          <w14:textFill>
                            <w14:solidFill>
                              <w14:schemeClr w14:val="tx1"/>
                            </w14:solidFill>
                          </w14:textFill>
                        </w:rPr>
                        <m:t>1</m:t>
                      </m:r>
                      <m:ctrlPr>
                        <w:rPr>
                          <w:rFonts w:ascii="Cambria Math" w:hAnsi="Cambria Math"/>
                          <w:i/>
                          <w:color w:val="000000" w:themeColor="text1"/>
                          <w:sz w:val="28"/>
                          <w:szCs w:val="28"/>
                          <w:highlight w:val="none"/>
                          <w:lang w:val="en-US"/>
                          <w14:textFill>
                            <w14:solidFill>
                              <w14:schemeClr w14:val="tx1"/>
                            </w14:solidFill>
                          </w14:textFill>
                        </w:rPr>
                      </m:ctrlPr>
                    </m:sub>
                  </m:sSub>
                  <m:ctrlPr>
                    <w:rPr>
                      <w:rFonts w:ascii="Cambria Math" w:hAnsi="Cambria Math"/>
                      <w:i/>
                      <w:color w:val="000000" w:themeColor="text1"/>
                      <w:sz w:val="28"/>
                      <w:szCs w:val="28"/>
                      <w:highlight w:val="none"/>
                      <w:lang w:val="en-US"/>
                      <w14:textFill>
                        <w14:solidFill>
                          <w14:schemeClr w14:val="tx1"/>
                        </w14:solidFill>
                      </w14:textFill>
                    </w:rPr>
                  </m:ctrlPr>
                </m:den>
              </m:f>
              <m:box>
                <m:boxPr>
                  <m:opEmu m:val="1"/>
                  <m:ctrlPr>
                    <w:rPr>
                      <w:rFonts w:ascii="Cambria Math" w:hAnsi="Cambria Math"/>
                      <w:i/>
                      <w:color w:val="000000" w:themeColor="text1"/>
                      <w:sz w:val="28"/>
                      <w:szCs w:val="28"/>
                      <w:highlight w:val="none"/>
                      <w:lang w:val="en-US"/>
                      <w14:textFill>
                        <w14:solidFill>
                          <w14:schemeClr w14:val="tx1"/>
                        </w14:solidFill>
                      </w14:textFill>
                    </w:rPr>
                  </m:ctrlPr>
                </m:boxPr>
                <m:e>
                  <m:r>
                    <m:rPr/>
                    <w:rPr>
                      <w:rFonts w:ascii="Cambria Math" w:hAnsi="Cambria Math"/>
                      <w:color w:val="000000" w:themeColor="text1"/>
                      <w:sz w:val="28"/>
                      <w:szCs w:val="28"/>
                      <w:highlight w:val="none"/>
                      <w:lang w:val="en-US"/>
                      <w14:textFill>
                        <w14:solidFill>
                          <w14:schemeClr w14:val="tx1"/>
                        </w14:solidFill>
                      </w14:textFill>
                    </w:rPr>
                    <m:t>+</m:t>
                  </m:r>
                  <m:f>
                    <m:fPr>
                      <m:ctrlPr>
                        <w:rPr>
                          <w:rFonts w:ascii="Cambria Math" w:hAnsi="Cambria Math"/>
                          <w:i/>
                          <w:color w:val="000000" w:themeColor="text1"/>
                          <w:sz w:val="28"/>
                          <w:szCs w:val="28"/>
                          <w:highlight w:val="none"/>
                          <w:lang w:val="en-US"/>
                          <w14:textFill>
                            <w14:solidFill>
                              <w14:schemeClr w14:val="tx1"/>
                            </w14:solidFill>
                          </w14:textFill>
                        </w:rPr>
                      </m:ctrlPr>
                    </m:fPr>
                    <m:num>
                      <m:sSub>
                        <m:sSubPr>
                          <m:ctrlPr>
                            <w:rPr>
                              <w:rFonts w:ascii="Cambria Math" w:hAnsi="Cambria Math"/>
                              <w:i/>
                              <w:color w:val="000000" w:themeColor="text1"/>
                              <w:sz w:val="28"/>
                              <w:szCs w:val="28"/>
                              <w:highlight w:val="none"/>
                              <w:lang w:val="en-US"/>
                              <w14:textFill>
                                <w14:solidFill>
                                  <w14:schemeClr w14:val="tx1"/>
                                </w14:solidFill>
                              </w14:textFill>
                            </w:rPr>
                          </m:ctrlPr>
                        </m:sSubPr>
                        <m:e>
                          <m:r>
                            <m:rPr/>
                            <w:rPr>
                              <w:rFonts w:hint="default" w:ascii="Cambria Math" w:hAnsi="Cambria Math"/>
                              <w:color w:val="000000" w:themeColor="text1"/>
                              <w:sz w:val="28"/>
                              <w:szCs w:val="28"/>
                              <w:highlight w:val="none"/>
                              <w:lang w:val="en-US" w:eastAsia="zh-CN"/>
                              <w14:textFill>
                                <w14:solidFill>
                                  <w14:schemeClr w14:val="tx1"/>
                                </w14:solidFill>
                              </w14:textFill>
                            </w:rPr>
                            <m:t>q</m:t>
                          </m:r>
                          <m:ctrlPr>
                            <w:rPr>
                              <w:rFonts w:ascii="Cambria Math" w:hAnsi="Cambria Math"/>
                              <w:i/>
                              <w:color w:val="000000" w:themeColor="text1"/>
                              <w:sz w:val="28"/>
                              <w:szCs w:val="28"/>
                              <w:highlight w:val="none"/>
                              <w:lang w:val="en-US"/>
                              <w14:textFill>
                                <w14:solidFill>
                                  <w14:schemeClr w14:val="tx1"/>
                                </w14:solidFill>
                              </w14:textFill>
                            </w:rPr>
                          </m:ctrlPr>
                        </m:e>
                        <m:sub>
                          <m:r>
                            <m:rPr/>
                            <w:rPr>
                              <w:rFonts w:hint="default" w:ascii="Cambria Math" w:hAnsi="Cambria Math"/>
                              <w:color w:val="000000" w:themeColor="text1"/>
                              <w:sz w:val="28"/>
                              <w:szCs w:val="28"/>
                              <w:highlight w:val="none"/>
                              <w:lang w:val="en-US" w:eastAsia="zh-CN"/>
                              <w14:textFill>
                                <w14:solidFill>
                                  <w14:schemeClr w14:val="tx1"/>
                                </w14:solidFill>
                              </w14:textFill>
                            </w:rPr>
                            <m:t>2</m:t>
                          </m:r>
                          <m:ctrlPr>
                            <w:rPr>
                              <w:rFonts w:ascii="Cambria Math" w:hAnsi="Cambria Math"/>
                              <w:i/>
                              <w:color w:val="000000" w:themeColor="text1"/>
                              <w:sz w:val="28"/>
                              <w:szCs w:val="28"/>
                              <w:highlight w:val="none"/>
                              <w:lang w:val="en-US"/>
                              <w14:textFill>
                                <w14:solidFill>
                                  <w14:schemeClr w14:val="tx1"/>
                                </w14:solidFill>
                              </w14:textFill>
                            </w:rPr>
                          </m:ctrlPr>
                        </m:sub>
                      </m:sSub>
                      <m:ctrlPr>
                        <w:rPr>
                          <w:rFonts w:ascii="Cambria Math" w:hAnsi="Cambria Math"/>
                          <w:i/>
                          <w:color w:val="000000" w:themeColor="text1"/>
                          <w:sz w:val="28"/>
                          <w:szCs w:val="28"/>
                          <w:highlight w:val="none"/>
                          <w:lang w:val="en-US"/>
                          <w14:textFill>
                            <w14:solidFill>
                              <w14:schemeClr w14:val="tx1"/>
                            </w14:solidFill>
                          </w14:textFill>
                        </w:rPr>
                      </m:ctrlPr>
                    </m:num>
                    <m:den>
                      <m:sSub>
                        <m:sSubPr>
                          <m:ctrlPr>
                            <w:rPr>
                              <w:rFonts w:ascii="Cambria Math" w:hAnsi="Cambria Math"/>
                              <w:i/>
                              <w:color w:val="000000" w:themeColor="text1"/>
                              <w:sz w:val="28"/>
                              <w:szCs w:val="28"/>
                              <w:highlight w:val="none"/>
                              <w:lang w:val="en-US"/>
                              <w14:textFill>
                                <w14:solidFill>
                                  <w14:schemeClr w14:val="tx1"/>
                                </w14:solidFill>
                              </w14:textFill>
                            </w:rPr>
                          </m:ctrlPr>
                        </m:sSubPr>
                        <m:e>
                          <m:r>
                            <m:rPr/>
                            <w:rPr>
                              <w:rFonts w:hint="default" w:ascii="Cambria Math" w:hAnsi="Cambria Math"/>
                              <w:color w:val="000000" w:themeColor="text1"/>
                              <w:sz w:val="28"/>
                              <w:szCs w:val="28"/>
                              <w:highlight w:val="none"/>
                              <w:lang w:val="en-US" w:eastAsia="zh-CN"/>
                              <w14:textFill>
                                <w14:solidFill>
                                  <w14:schemeClr w14:val="tx1"/>
                                </w14:solidFill>
                              </w14:textFill>
                            </w:rPr>
                            <m:t>Q</m:t>
                          </m:r>
                          <m:ctrlPr>
                            <w:rPr>
                              <w:rFonts w:ascii="Cambria Math" w:hAnsi="Cambria Math"/>
                              <w:i/>
                              <w:color w:val="000000" w:themeColor="text1"/>
                              <w:sz w:val="28"/>
                              <w:szCs w:val="28"/>
                              <w:highlight w:val="none"/>
                              <w:lang w:val="en-US"/>
                              <w14:textFill>
                                <w14:solidFill>
                                  <w14:schemeClr w14:val="tx1"/>
                                </w14:solidFill>
                              </w14:textFill>
                            </w:rPr>
                          </m:ctrlPr>
                        </m:e>
                        <m:sub>
                          <m:r>
                            <m:rPr/>
                            <w:rPr>
                              <w:rFonts w:hint="default" w:ascii="Cambria Math" w:hAnsi="Cambria Math"/>
                              <w:color w:val="000000" w:themeColor="text1"/>
                              <w:sz w:val="28"/>
                              <w:szCs w:val="28"/>
                              <w:highlight w:val="none"/>
                              <w:lang w:val="en-US" w:eastAsia="zh-CN"/>
                              <w14:textFill>
                                <w14:solidFill>
                                  <w14:schemeClr w14:val="tx1"/>
                                </w14:solidFill>
                              </w14:textFill>
                            </w:rPr>
                            <m:t>2</m:t>
                          </m:r>
                          <m:ctrlPr>
                            <w:rPr>
                              <w:rFonts w:ascii="Cambria Math" w:hAnsi="Cambria Math"/>
                              <w:i/>
                              <w:color w:val="000000" w:themeColor="text1"/>
                              <w:sz w:val="28"/>
                              <w:szCs w:val="28"/>
                              <w:highlight w:val="none"/>
                              <w:lang w:val="en-US"/>
                              <w14:textFill>
                                <w14:solidFill>
                                  <w14:schemeClr w14:val="tx1"/>
                                </w14:solidFill>
                              </w14:textFill>
                            </w:rPr>
                          </m:ctrlPr>
                        </m:sub>
                      </m:sSub>
                      <m:ctrlPr>
                        <w:rPr>
                          <w:rFonts w:ascii="Cambria Math" w:hAnsi="Cambria Math"/>
                          <w:i/>
                          <w:color w:val="000000" w:themeColor="text1"/>
                          <w:sz w:val="28"/>
                          <w:szCs w:val="28"/>
                          <w:highlight w:val="none"/>
                          <w:lang w:val="en-US"/>
                          <w14:textFill>
                            <w14:solidFill>
                              <w14:schemeClr w14:val="tx1"/>
                            </w14:solidFill>
                          </w14:textFill>
                        </w:rPr>
                      </m:ctrlPr>
                    </m:den>
                  </m:f>
                  <m:ctrlPr>
                    <w:rPr>
                      <w:rFonts w:ascii="Cambria Math" w:hAnsi="Cambria Math"/>
                      <w:i/>
                      <w:color w:val="000000" w:themeColor="text1"/>
                      <w:sz w:val="28"/>
                      <w:szCs w:val="28"/>
                      <w:highlight w:val="none"/>
                      <w:lang w:val="en-US"/>
                      <w14:textFill>
                        <w14:solidFill>
                          <w14:schemeClr w14:val="tx1"/>
                        </w14:solidFill>
                      </w14:textFill>
                    </w:rPr>
                  </m:ctrlPr>
                </m:e>
              </m:box>
              <m:r>
                <m:rPr/>
                <w:rPr>
                  <w:rFonts w:ascii="Cambria Math" w:hAnsi="Cambria Math"/>
                  <w:color w:val="000000" w:themeColor="text1"/>
                  <w:sz w:val="28"/>
                  <w:szCs w:val="28"/>
                  <w:highlight w:val="none"/>
                  <w:lang w:val="en-US"/>
                  <w14:textFill>
                    <w14:solidFill>
                      <w14:schemeClr w14:val="tx1"/>
                    </w14:solidFill>
                  </w14:textFill>
                </w:rPr>
                <m:t>+</m:t>
              </m:r>
              <m:r>
                <m:rPr/>
                <w:rPr>
                  <w:rFonts w:hint="default" w:ascii="Cambria Math" w:hAnsi="Cambria Math" w:cs="Cambria Math"/>
                  <w:color w:val="000000" w:themeColor="text1"/>
                  <w:sz w:val="28"/>
                  <w:szCs w:val="28"/>
                  <w:highlight w:val="none"/>
                  <w:lang w:val="en-US"/>
                  <w14:textFill>
                    <w14:solidFill>
                      <w14:schemeClr w14:val="tx1"/>
                    </w14:solidFill>
                  </w14:textFill>
                </w:rPr>
                <m:t>⋯</m:t>
              </m:r>
              <m:f>
                <m:fPr>
                  <m:ctrlPr>
                    <w:rPr>
                      <w:rFonts w:ascii="Cambria Math" w:hAnsi="Cambria Math"/>
                      <w:i/>
                      <w:color w:val="000000" w:themeColor="text1"/>
                      <w:sz w:val="28"/>
                      <w:szCs w:val="28"/>
                      <w:highlight w:val="none"/>
                      <w:lang w:val="en-US"/>
                      <w14:textFill>
                        <w14:solidFill>
                          <w14:schemeClr w14:val="tx1"/>
                        </w14:solidFill>
                      </w14:textFill>
                    </w:rPr>
                  </m:ctrlPr>
                </m:fPr>
                <m:num>
                  <m:sSub>
                    <m:sSubPr>
                      <m:ctrlPr>
                        <w:rPr>
                          <w:rFonts w:ascii="Cambria Math" w:hAnsi="Cambria Math"/>
                          <w:i/>
                          <w:color w:val="000000" w:themeColor="text1"/>
                          <w:sz w:val="28"/>
                          <w:szCs w:val="28"/>
                          <w:highlight w:val="none"/>
                          <w:lang w:val="en-US"/>
                          <w14:textFill>
                            <w14:solidFill>
                              <w14:schemeClr w14:val="tx1"/>
                            </w14:solidFill>
                          </w14:textFill>
                        </w:rPr>
                      </m:ctrlPr>
                    </m:sSubPr>
                    <m:e>
                      <m:r>
                        <m:rPr/>
                        <w:rPr>
                          <w:rFonts w:hint="default" w:ascii="Cambria Math" w:hAnsi="Cambria Math"/>
                          <w:color w:val="000000" w:themeColor="text1"/>
                          <w:sz w:val="28"/>
                          <w:szCs w:val="28"/>
                          <w:highlight w:val="none"/>
                          <w:lang w:val="en-US" w:eastAsia="zh-CN"/>
                          <w14:textFill>
                            <w14:solidFill>
                              <w14:schemeClr w14:val="tx1"/>
                            </w14:solidFill>
                          </w14:textFill>
                        </w:rPr>
                        <m:t>q</m:t>
                      </m:r>
                      <m:ctrlPr>
                        <w:rPr>
                          <w:rFonts w:ascii="Cambria Math" w:hAnsi="Cambria Math"/>
                          <w:i/>
                          <w:color w:val="000000" w:themeColor="text1"/>
                          <w:sz w:val="28"/>
                          <w:szCs w:val="28"/>
                          <w:highlight w:val="none"/>
                          <w:lang w:val="en-US"/>
                          <w14:textFill>
                            <w14:solidFill>
                              <w14:schemeClr w14:val="tx1"/>
                            </w14:solidFill>
                          </w14:textFill>
                        </w:rPr>
                      </m:ctrlPr>
                    </m:e>
                    <m:sub>
                      <m:r>
                        <m:rPr/>
                        <w:rPr>
                          <w:rFonts w:hint="default" w:ascii="Cambria Math" w:hAnsi="Cambria Math"/>
                          <w:color w:val="000000" w:themeColor="text1"/>
                          <w:sz w:val="28"/>
                          <w:szCs w:val="28"/>
                          <w:highlight w:val="none"/>
                          <w:lang w:val="en-US" w:eastAsia="zh-CN"/>
                          <w14:textFill>
                            <w14:solidFill>
                              <w14:schemeClr w14:val="tx1"/>
                            </w14:solidFill>
                          </w14:textFill>
                        </w:rPr>
                        <m:t>n</m:t>
                      </m:r>
                      <m:ctrlPr>
                        <w:rPr>
                          <w:rFonts w:ascii="Cambria Math" w:hAnsi="Cambria Math"/>
                          <w:i/>
                          <w:color w:val="000000" w:themeColor="text1"/>
                          <w:sz w:val="28"/>
                          <w:szCs w:val="28"/>
                          <w:highlight w:val="none"/>
                          <w:lang w:val="en-US"/>
                          <w14:textFill>
                            <w14:solidFill>
                              <w14:schemeClr w14:val="tx1"/>
                            </w14:solidFill>
                          </w14:textFill>
                        </w:rPr>
                      </m:ctrlPr>
                    </m:sub>
                  </m:sSub>
                  <m:ctrlPr>
                    <w:rPr>
                      <w:rFonts w:ascii="Cambria Math" w:hAnsi="Cambria Math"/>
                      <w:i/>
                      <w:color w:val="000000" w:themeColor="text1"/>
                      <w:sz w:val="28"/>
                      <w:szCs w:val="28"/>
                      <w:highlight w:val="none"/>
                      <w:lang w:val="en-US"/>
                      <w14:textFill>
                        <w14:solidFill>
                          <w14:schemeClr w14:val="tx1"/>
                        </w14:solidFill>
                      </w14:textFill>
                    </w:rPr>
                  </m:ctrlPr>
                </m:num>
                <m:den>
                  <m:sSub>
                    <m:sSubPr>
                      <m:ctrlPr>
                        <w:rPr>
                          <w:rFonts w:ascii="Cambria Math" w:hAnsi="Cambria Math"/>
                          <w:i/>
                          <w:color w:val="000000" w:themeColor="text1"/>
                          <w:sz w:val="28"/>
                          <w:szCs w:val="28"/>
                          <w:highlight w:val="none"/>
                          <w:lang w:val="en-US"/>
                          <w14:textFill>
                            <w14:solidFill>
                              <w14:schemeClr w14:val="tx1"/>
                            </w14:solidFill>
                          </w14:textFill>
                        </w:rPr>
                      </m:ctrlPr>
                    </m:sSubPr>
                    <m:e>
                      <m:r>
                        <m:rPr/>
                        <w:rPr>
                          <w:rFonts w:hint="default" w:ascii="Cambria Math" w:hAnsi="Cambria Math"/>
                          <w:color w:val="000000" w:themeColor="text1"/>
                          <w:sz w:val="28"/>
                          <w:szCs w:val="28"/>
                          <w:highlight w:val="none"/>
                          <w:lang w:val="en-US" w:eastAsia="zh-CN"/>
                          <w14:textFill>
                            <w14:solidFill>
                              <w14:schemeClr w14:val="tx1"/>
                            </w14:solidFill>
                          </w14:textFill>
                        </w:rPr>
                        <m:t>Q</m:t>
                      </m:r>
                      <m:ctrlPr>
                        <w:rPr>
                          <w:rFonts w:ascii="Cambria Math" w:hAnsi="Cambria Math"/>
                          <w:i/>
                          <w:color w:val="000000" w:themeColor="text1"/>
                          <w:sz w:val="28"/>
                          <w:szCs w:val="28"/>
                          <w:highlight w:val="none"/>
                          <w:lang w:val="en-US"/>
                          <w14:textFill>
                            <w14:solidFill>
                              <w14:schemeClr w14:val="tx1"/>
                            </w14:solidFill>
                          </w14:textFill>
                        </w:rPr>
                      </m:ctrlPr>
                    </m:e>
                    <m:sub>
                      <m:r>
                        <m:rPr/>
                        <w:rPr>
                          <w:rFonts w:hint="default" w:ascii="Cambria Math" w:hAnsi="Cambria Math"/>
                          <w:color w:val="000000" w:themeColor="text1"/>
                          <w:sz w:val="28"/>
                          <w:szCs w:val="28"/>
                          <w:highlight w:val="none"/>
                          <w:lang w:val="en-US" w:eastAsia="zh-CN"/>
                          <w14:textFill>
                            <w14:solidFill>
                              <w14:schemeClr w14:val="tx1"/>
                            </w14:solidFill>
                          </w14:textFill>
                        </w:rPr>
                        <m:t>n</m:t>
                      </m:r>
                      <m:ctrlPr>
                        <w:rPr>
                          <w:rFonts w:ascii="Cambria Math" w:hAnsi="Cambria Math"/>
                          <w:i/>
                          <w:color w:val="000000" w:themeColor="text1"/>
                          <w:sz w:val="28"/>
                          <w:szCs w:val="28"/>
                          <w:highlight w:val="none"/>
                          <w:lang w:val="en-US"/>
                          <w14:textFill>
                            <w14:solidFill>
                              <w14:schemeClr w14:val="tx1"/>
                            </w14:solidFill>
                          </w14:textFill>
                        </w:rPr>
                      </m:ctrlPr>
                    </m:sub>
                  </m:sSub>
                  <m:ctrlPr>
                    <w:rPr>
                      <w:rFonts w:ascii="Cambria Math" w:hAnsi="Cambria Math"/>
                      <w:i/>
                      <w:color w:val="000000" w:themeColor="text1"/>
                      <w:sz w:val="28"/>
                      <w:szCs w:val="28"/>
                      <w:highlight w:val="none"/>
                      <w:lang w:val="en-US"/>
                      <w14:textFill>
                        <w14:solidFill>
                          <w14:schemeClr w14:val="tx1"/>
                        </w14:solidFill>
                      </w14:textFill>
                    </w:rPr>
                  </m:ctrlPr>
                </m:den>
              </m:f>
              <m:r>
                <m:rPr/>
                <w:rPr>
                  <w:rFonts w:hint="default" w:ascii="Cambria Math" w:hAnsi="Cambria Math" w:cs="Cambria Math"/>
                  <w:color w:val="000000" w:themeColor="text1"/>
                  <w:sz w:val="28"/>
                  <w:szCs w:val="28"/>
                  <w:highlight w:val="none"/>
                  <w:lang w:val="en-US"/>
                  <w14:textFill>
                    <w14:solidFill>
                      <w14:schemeClr w14:val="tx1"/>
                    </w14:solidFill>
                  </w14:textFill>
                </w:rPr>
                <m:t>=</m:t>
              </m:r>
              <m:f>
                <m:fPr>
                  <m:ctrlPr>
                    <w:rPr>
                      <w:rFonts w:ascii="Cambria Math" w:hAnsi="Cambria Math"/>
                      <w:i/>
                      <w:color w:val="000000" w:themeColor="text1"/>
                      <w:sz w:val="28"/>
                      <w:szCs w:val="28"/>
                      <w:highlight w:val="none"/>
                      <w:lang w:val="en-US"/>
                      <w14:textFill>
                        <w14:solidFill>
                          <w14:schemeClr w14:val="tx1"/>
                        </w14:solidFill>
                      </w14:textFill>
                    </w:rPr>
                  </m:ctrlPr>
                </m:fPr>
                <m:num>
                  <m:r>
                    <m:rPr/>
                    <w:rPr>
                      <w:rFonts w:hint="default" w:ascii="Cambria Math" w:hAnsi="Cambria Math"/>
                      <w:color w:val="000000" w:themeColor="text1"/>
                      <w:sz w:val="28"/>
                      <w:szCs w:val="28"/>
                      <w:highlight w:val="none"/>
                      <w:lang w:val="en-US" w:eastAsia="zh-CN"/>
                      <w14:textFill>
                        <w14:solidFill>
                          <w14:schemeClr w14:val="tx1"/>
                        </w14:solidFill>
                      </w14:textFill>
                    </w:rPr>
                    <m:t>0.0432</m:t>
                  </m:r>
                  <m:ctrlPr>
                    <w:rPr>
                      <w:rFonts w:ascii="Cambria Math" w:hAnsi="Cambria Math"/>
                      <w:i/>
                      <w:color w:val="000000" w:themeColor="text1"/>
                      <w:sz w:val="28"/>
                      <w:szCs w:val="28"/>
                      <w:highlight w:val="none"/>
                      <w:lang w:val="en-US"/>
                      <w14:textFill>
                        <w14:solidFill>
                          <w14:schemeClr w14:val="tx1"/>
                        </w14:solidFill>
                      </w14:textFill>
                    </w:rPr>
                  </m:ctrlPr>
                </m:num>
                <m:den>
                  <m:r>
                    <m:rPr/>
                    <w:rPr>
                      <w:rFonts w:hint="default" w:ascii="Cambria Math" w:hAnsi="Cambria Math"/>
                      <w:color w:val="000000" w:themeColor="text1"/>
                      <w:sz w:val="28"/>
                      <w:szCs w:val="28"/>
                      <w:highlight w:val="none"/>
                      <w:lang w:val="en-US" w:eastAsia="zh-CN"/>
                      <w14:textFill>
                        <w14:solidFill>
                          <w14:schemeClr w14:val="tx1"/>
                        </w14:solidFill>
                      </w14:textFill>
                    </w:rPr>
                    <m:t>0.5</m:t>
                  </m:r>
                  <m:ctrlPr>
                    <w:rPr>
                      <w:rFonts w:ascii="Cambria Math" w:hAnsi="Cambria Math"/>
                      <w:i/>
                      <w:color w:val="000000" w:themeColor="text1"/>
                      <w:sz w:val="28"/>
                      <w:szCs w:val="28"/>
                      <w:highlight w:val="none"/>
                      <w:lang w:val="en-US"/>
                      <w14:textFill>
                        <w14:solidFill>
                          <w14:schemeClr w14:val="tx1"/>
                        </w14:solidFill>
                      </w14:textFill>
                    </w:rPr>
                  </m:ctrlPr>
                </m:den>
              </m:f>
              <m:r>
                <m:rPr/>
                <w:rPr>
                  <w:rFonts w:hint="default" w:ascii="Cambria Math" w:hAnsi="Cambria Math" w:cs="Cambria Math"/>
                  <w:color w:val="000000" w:themeColor="text1"/>
                  <w:sz w:val="28"/>
                  <w:szCs w:val="28"/>
                  <w:highlight w:val="none"/>
                  <w:lang w:val="en-US"/>
                  <w14:textFill>
                    <w14:solidFill>
                      <w14:schemeClr w14:val="tx1"/>
                    </w14:solidFill>
                  </w14:textFill>
                </w:rPr>
                <m:t>=</m:t>
              </m:r>
              <m:r>
                <m:rPr/>
                <w:rPr>
                  <w:rFonts w:hint="default" w:ascii="Cambria Math" w:hAnsi="Cambria Math"/>
                  <w:color w:val="000000" w:themeColor="text1"/>
                  <w:sz w:val="28"/>
                  <w:szCs w:val="28"/>
                  <w:highlight w:val="none"/>
                  <w:lang w:val="en-US" w:eastAsia="zh-CN"/>
                  <w14:textFill>
                    <w14:solidFill>
                      <w14:schemeClr w14:val="tx1"/>
                    </w14:solidFill>
                  </w14:textFill>
                </w:rPr>
                <m:t>0</m:t>
              </m:r>
            </m:oMath>
            <w:r>
              <w:rPr>
                <w:rFonts w:hint="eastAsia" w:hAnsi="Cambria Math"/>
                <w:i/>
                <w:color w:val="000000" w:themeColor="text1"/>
                <w:sz w:val="28"/>
                <w:szCs w:val="28"/>
                <w:highlight w:val="none"/>
                <w:lang w:val="en-US" w:eastAsia="zh-CN"/>
                <w14:textFill>
                  <w14:solidFill>
                    <w14:schemeClr w14:val="tx1"/>
                  </w14:solidFill>
                </w14:textFill>
              </w:rPr>
              <w:t>.09</w:t>
            </w:r>
          </w:p>
          <w:p w14:paraId="42F2AA23">
            <w:pPr>
              <w:pStyle w:val="23"/>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cs="Times New Roman"/>
                <w:i/>
                <w:color w:val="000000" w:themeColor="text1"/>
                <w:sz w:val="28"/>
                <w:szCs w:val="28"/>
                <w:highlight w:val="none"/>
                <w:lang w:val="en-US" w:eastAsia="zh-CN"/>
                <w14:textFill>
                  <w14:solidFill>
                    <w14:schemeClr w14:val="tx1"/>
                  </w14:solidFill>
                </w14:textFill>
              </w:rPr>
            </w:pPr>
            <m:oMath>
              <m:sSub>
                <m:sSubPr>
                  <m:ctrlPr>
                    <w:rPr>
                      <w:rFonts w:hint="default" w:ascii="Cambria Math" w:hAnsi="Cambria Math" w:cs="Times New Roman"/>
                      <w:i/>
                      <w:color w:val="000000" w:themeColor="text1"/>
                      <w:sz w:val="28"/>
                      <w:szCs w:val="28"/>
                      <w:highlight w:val="none"/>
                      <w:lang w:val="en-US" w:eastAsia="zh-CN"/>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eastAsia="zh-CN"/>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2</m:t>
                  </m:r>
                  <m:ctrlPr>
                    <w:rPr>
                      <w:rFonts w:hint="default" w:ascii="Cambria Math" w:hAnsi="Cambria Math" w:cs="Times New Roman"/>
                      <w:i/>
                      <w:color w:val="000000" w:themeColor="text1"/>
                      <w:sz w:val="28"/>
                      <w:szCs w:val="28"/>
                      <w:highlight w:val="none"/>
                      <w:lang w:val="en-US" w:eastAsia="zh-CN"/>
                      <w14:textFill>
                        <w14:solidFill>
                          <w14:schemeClr w14:val="tx1"/>
                        </w14:solidFill>
                      </w14:textFill>
                    </w:rPr>
                  </m:ctrlPr>
                </m:sub>
              </m:sSub>
              <m:r>
                <m:rPr/>
                <w:rPr>
                  <w:rFonts w:hint="default" w:ascii="Cambria Math" w:hAnsi="Cambria Math" w:cs="Times New Roman"/>
                  <w:color w:val="000000" w:themeColor="text1"/>
                  <w:sz w:val="28"/>
                  <w:szCs w:val="28"/>
                  <w:highlight w:val="none"/>
                  <w:lang w:val="en-US"/>
                  <w14:textFill>
                    <w14:solidFill>
                      <w14:schemeClr w14:val="tx1"/>
                    </w14:solidFill>
                  </w14:textFill>
                </w:rPr>
                <m:t>=</m:t>
              </m:r>
              <m:f>
                <m:fPr>
                  <m:ctrlPr>
                    <w:rPr>
                      <w:rFonts w:hint="default" w:ascii="Cambria Math" w:hAnsi="Cambria Math" w:cs="Times New Roman"/>
                      <w:i/>
                      <w:color w:val="000000" w:themeColor="text1"/>
                      <w:sz w:val="28"/>
                      <w:szCs w:val="28"/>
                      <w:highlight w:val="none"/>
                      <w:lang w:val="en-US"/>
                      <w14:textFill>
                        <w14:solidFill>
                          <w14:schemeClr w14:val="tx1"/>
                        </w14:solidFill>
                      </w14:textFill>
                    </w:rPr>
                  </m:ctrlPr>
                </m:fPr>
                <m:num>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1</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num>
                <m:den>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1</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den>
              </m:f>
              <m:box>
                <m:boxPr>
                  <m:opEmu m:val="1"/>
                  <m:ctrlPr>
                    <w:rPr>
                      <w:rFonts w:hint="default" w:ascii="Cambria Math" w:hAnsi="Cambria Math" w:cs="Times New Roman"/>
                      <w:i/>
                      <w:color w:val="000000" w:themeColor="text1"/>
                      <w:sz w:val="28"/>
                      <w:szCs w:val="28"/>
                      <w:highlight w:val="none"/>
                      <w:lang w:val="en-US"/>
                      <w14:textFill>
                        <w14:solidFill>
                          <w14:schemeClr w14:val="tx1"/>
                        </w14:solidFill>
                      </w14:textFill>
                    </w:rPr>
                  </m:ctrlPr>
                </m:boxPr>
                <m:e>
                  <m:r>
                    <m:rPr/>
                    <w:rPr>
                      <w:rFonts w:hint="default" w:ascii="Cambria Math" w:hAnsi="Cambria Math" w:cs="Times New Roman"/>
                      <w:color w:val="000000" w:themeColor="text1"/>
                      <w:sz w:val="28"/>
                      <w:szCs w:val="28"/>
                      <w:highlight w:val="none"/>
                      <w:lang w:val="en-US"/>
                      <w14:textFill>
                        <w14:solidFill>
                          <w14:schemeClr w14:val="tx1"/>
                        </w14:solidFill>
                      </w14:textFill>
                    </w:rPr>
                    <m:t>+</m:t>
                  </m:r>
                  <m:f>
                    <m:fPr>
                      <m:ctrlPr>
                        <w:rPr>
                          <w:rFonts w:hint="default" w:ascii="Cambria Math" w:hAnsi="Cambria Math" w:cs="Times New Roman"/>
                          <w:i/>
                          <w:color w:val="000000" w:themeColor="text1"/>
                          <w:sz w:val="28"/>
                          <w:szCs w:val="28"/>
                          <w:highlight w:val="none"/>
                          <w:lang w:val="en-US"/>
                          <w14:textFill>
                            <w14:solidFill>
                              <w14:schemeClr w14:val="tx1"/>
                            </w14:solidFill>
                          </w14:textFill>
                        </w:rPr>
                      </m:ctrlPr>
                    </m:fPr>
                    <m:num>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2</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num>
                    <m:den>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2</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den>
                  </m:f>
                  <m:ctrlPr>
                    <w:rPr>
                      <w:rFonts w:hint="default" w:ascii="Cambria Math" w:hAnsi="Cambria Math" w:cs="Times New Roman"/>
                      <w:i/>
                      <w:color w:val="000000" w:themeColor="text1"/>
                      <w:sz w:val="28"/>
                      <w:szCs w:val="28"/>
                      <w:highlight w:val="none"/>
                      <w:lang w:val="en-US"/>
                      <w14:textFill>
                        <w14:solidFill>
                          <w14:schemeClr w14:val="tx1"/>
                        </w14:solidFill>
                      </w14:textFill>
                    </w:rPr>
                  </m:ctrlPr>
                </m:e>
              </m:box>
              <m:r>
                <m:rPr/>
                <w:rPr>
                  <w:rFonts w:hint="default" w:ascii="Cambria Math" w:hAnsi="Cambria Math" w:cs="Times New Roman"/>
                  <w:color w:val="000000" w:themeColor="text1"/>
                  <w:sz w:val="28"/>
                  <w:szCs w:val="28"/>
                  <w:highlight w:val="none"/>
                  <w:lang w:val="en-US"/>
                  <w14:textFill>
                    <w14:solidFill>
                      <w14:schemeClr w14:val="tx1"/>
                    </w14:solidFill>
                  </w14:textFill>
                </w:rPr>
                <m:t>+⋯</m:t>
              </m:r>
              <m:f>
                <m:fPr>
                  <m:ctrlPr>
                    <w:rPr>
                      <w:rFonts w:hint="default" w:ascii="Cambria Math" w:hAnsi="Cambria Math" w:cs="Times New Roman"/>
                      <w:i/>
                      <w:color w:val="000000" w:themeColor="text1"/>
                      <w:sz w:val="28"/>
                      <w:szCs w:val="28"/>
                      <w:highlight w:val="none"/>
                      <w:lang w:val="en-US"/>
                      <w14:textFill>
                        <w14:solidFill>
                          <w14:schemeClr w14:val="tx1"/>
                        </w14:solidFill>
                      </w14:textFill>
                    </w:rPr>
                  </m:ctrlPr>
                </m:fPr>
                <m:num>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n</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num>
                <m:den>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n</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den>
              </m:f>
              <m:r>
                <m:rPr/>
                <w:rPr>
                  <w:rFonts w:hint="default" w:ascii="Cambria Math" w:hAnsi="Cambria Math" w:cs="Times New Roman"/>
                  <w:color w:val="000000" w:themeColor="text1"/>
                  <w:sz w:val="28"/>
                  <w:szCs w:val="28"/>
                  <w:highlight w:val="none"/>
                  <w:lang w:val="en-US"/>
                  <w14:textFill>
                    <w14:solidFill>
                      <w14:schemeClr w14:val="tx1"/>
                    </w14:solidFill>
                  </w14:textFill>
                </w:rPr>
                <m:t>=</m:t>
              </m:r>
              <m:f>
                <m:fPr>
                  <m:ctrlPr>
                    <w:rPr>
                      <w:rFonts w:hint="default" w:ascii="Cambria Math" w:hAnsi="Cambria Math" w:cs="Times New Roman"/>
                      <w:i/>
                      <w:color w:val="000000" w:themeColor="text1"/>
                      <w:sz w:val="28"/>
                      <w:szCs w:val="28"/>
                      <w:highlight w:val="none"/>
                      <w:lang w:val="en-US"/>
                      <w14:textFill>
                        <w14:solidFill>
                          <w14:schemeClr w14:val="tx1"/>
                        </w14:solidFill>
                      </w14:textFill>
                    </w:rPr>
                  </m:ctrlPr>
                </m:fPr>
                <m:num>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0.0072</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num>
                <m:den>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50</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den>
              </m:f>
              <m:r>
                <m:rPr/>
                <w:rPr>
                  <w:rFonts w:hint="default" w:ascii="Cambria Math" w:hAnsi="Cambria Math" w:cs="Times New Roman"/>
                  <w:color w:val="000000" w:themeColor="text1"/>
                  <w:sz w:val="28"/>
                  <w:szCs w:val="28"/>
                  <w:highlight w:val="none"/>
                  <w:lang w:val="en-US"/>
                  <w14:textFill>
                    <w14:solidFill>
                      <w14:schemeClr w14:val="tx1"/>
                    </w14:solidFill>
                  </w14:textFill>
                </w:rPr>
                <m:t>=</m:t>
              </m:r>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0</m:t>
              </m:r>
            </m:oMath>
            <w:r>
              <w:rPr>
                <w:rFonts w:hint="default" w:ascii="Times New Roman" w:hAnsi="Times New Roman" w:cs="Times New Roman"/>
                <w:i/>
                <w:color w:val="000000" w:themeColor="text1"/>
                <w:sz w:val="28"/>
                <w:szCs w:val="28"/>
                <w:highlight w:val="none"/>
                <w:lang w:val="en-US" w:eastAsia="zh-CN"/>
                <w14:textFill>
                  <w14:solidFill>
                    <w14:schemeClr w14:val="tx1"/>
                  </w14:solidFill>
                </w14:textFill>
              </w:rPr>
              <w:t>.0</w:t>
            </w:r>
            <w:r>
              <w:rPr>
                <w:rFonts w:hint="eastAsia" w:ascii="Times New Roman" w:hAnsi="Times New Roman" w:cs="Times New Roman"/>
                <w:i/>
                <w:color w:val="000000" w:themeColor="text1"/>
                <w:sz w:val="28"/>
                <w:szCs w:val="28"/>
                <w:highlight w:val="none"/>
                <w:lang w:val="en-US" w:eastAsia="zh-CN"/>
                <w14:textFill>
                  <w14:solidFill>
                    <w14:schemeClr w14:val="tx1"/>
                  </w14:solidFill>
                </w14:textFill>
              </w:rPr>
              <w:t>0014</w:t>
            </w:r>
          </w:p>
          <w:p w14:paraId="7F6B7946">
            <w:pPr>
              <w:pStyle w:val="23"/>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color w:val="000000" w:themeColor="text1"/>
                <w:lang w:val="en-US" w:eastAsia="zh-CN"/>
                <w14:textFill>
                  <w14:solidFill>
                    <w14:schemeClr w14:val="tx1"/>
                  </w14:solidFill>
                </w14:textFill>
              </w:rPr>
            </w:pPr>
            <m:oMath>
              <m:sSub>
                <m:sSubPr>
                  <m:ctrlPr>
                    <w:rPr>
                      <w:rFonts w:hint="default" w:ascii="Cambria Math" w:hAnsi="Cambria Math" w:cs="Times New Roman"/>
                      <w:i/>
                      <w:color w:val="000000" w:themeColor="text1"/>
                      <w:sz w:val="28"/>
                      <w:szCs w:val="28"/>
                      <w:highlight w:val="none"/>
                      <w:lang w:val="en-US" w:eastAsia="zh-CN"/>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eastAsia="zh-CN"/>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3</m:t>
                  </m:r>
                  <m:ctrlPr>
                    <w:rPr>
                      <w:rFonts w:hint="default" w:ascii="Cambria Math" w:hAnsi="Cambria Math" w:cs="Times New Roman"/>
                      <w:i/>
                      <w:color w:val="000000" w:themeColor="text1"/>
                      <w:sz w:val="28"/>
                      <w:szCs w:val="28"/>
                      <w:highlight w:val="none"/>
                      <w:lang w:val="en-US" w:eastAsia="zh-CN"/>
                      <w14:textFill>
                        <w14:solidFill>
                          <w14:schemeClr w14:val="tx1"/>
                        </w14:solidFill>
                      </w14:textFill>
                    </w:rPr>
                  </m:ctrlPr>
                </m:sub>
              </m:sSub>
              <m:r>
                <m:rPr/>
                <w:rPr>
                  <w:rFonts w:hint="default" w:ascii="Cambria Math" w:hAnsi="Cambria Math" w:cs="Times New Roman"/>
                  <w:color w:val="000000" w:themeColor="text1"/>
                  <w:sz w:val="28"/>
                  <w:szCs w:val="28"/>
                  <w:highlight w:val="none"/>
                  <w:lang w:val="en-US"/>
                  <w14:textFill>
                    <w14:solidFill>
                      <w14:schemeClr w14:val="tx1"/>
                    </w14:solidFill>
                  </w14:textFill>
                </w:rPr>
                <m:t>=</m:t>
              </m:r>
              <m:f>
                <m:fPr>
                  <m:ctrlPr>
                    <w:rPr>
                      <w:rFonts w:hint="default" w:ascii="Cambria Math" w:hAnsi="Cambria Math" w:cs="Times New Roman"/>
                      <w:i/>
                      <w:color w:val="000000" w:themeColor="text1"/>
                      <w:sz w:val="28"/>
                      <w:szCs w:val="28"/>
                      <w:highlight w:val="none"/>
                      <w:lang w:val="en-US"/>
                      <w14:textFill>
                        <w14:solidFill>
                          <w14:schemeClr w14:val="tx1"/>
                        </w14:solidFill>
                      </w14:textFill>
                    </w:rPr>
                  </m:ctrlPr>
                </m:fPr>
                <m:num>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1</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num>
                <m:den>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1</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den>
              </m:f>
              <m:box>
                <m:boxPr>
                  <m:opEmu m:val="1"/>
                  <m:ctrlPr>
                    <w:rPr>
                      <w:rFonts w:hint="default" w:ascii="Cambria Math" w:hAnsi="Cambria Math" w:cs="Times New Roman"/>
                      <w:i/>
                      <w:color w:val="000000" w:themeColor="text1"/>
                      <w:sz w:val="28"/>
                      <w:szCs w:val="28"/>
                      <w:highlight w:val="none"/>
                      <w:lang w:val="en-US"/>
                      <w14:textFill>
                        <w14:solidFill>
                          <w14:schemeClr w14:val="tx1"/>
                        </w14:solidFill>
                      </w14:textFill>
                    </w:rPr>
                  </m:ctrlPr>
                </m:boxPr>
                <m:e>
                  <m:r>
                    <m:rPr/>
                    <w:rPr>
                      <w:rFonts w:hint="default" w:ascii="Cambria Math" w:hAnsi="Cambria Math" w:cs="Times New Roman"/>
                      <w:color w:val="000000" w:themeColor="text1"/>
                      <w:sz w:val="28"/>
                      <w:szCs w:val="28"/>
                      <w:highlight w:val="none"/>
                      <w:lang w:val="en-US"/>
                      <w14:textFill>
                        <w14:solidFill>
                          <w14:schemeClr w14:val="tx1"/>
                        </w14:solidFill>
                      </w14:textFill>
                    </w:rPr>
                    <m:t>+</m:t>
                  </m:r>
                  <m:f>
                    <m:fPr>
                      <m:ctrlPr>
                        <w:rPr>
                          <w:rFonts w:hint="default" w:ascii="Cambria Math" w:hAnsi="Cambria Math" w:cs="Times New Roman"/>
                          <w:i/>
                          <w:color w:val="000000" w:themeColor="text1"/>
                          <w:sz w:val="28"/>
                          <w:szCs w:val="28"/>
                          <w:highlight w:val="none"/>
                          <w:lang w:val="en-US"/>
                          <w14:textFill>
                            <w14:solidFill>
                              <w14:schemeClr w14:val="tx1"/>
                            </w14:solidFill>
                          </w14:textFill>
                        </w:rPr>
                      </m:ctrlPr>
                    </m:fPr>
                    <m:num>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2</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num>
                    <m:den>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2</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den>
                  </m:f>
                  <m:ctrlPr>
                    <w:rPr>
                      <w:rFonts w:hint="default" w:ascii="Cambria Math" w:hAnsi="Cambria Math" w:cs="Times New Roman"/>
                      <w:i/>
                      <w:color w:val="000000" w:themeColor="text1"/>
                      <w:sz w:val="28"/>
                      <w:szCs w:val="28"/>
                      <w:highlight w:val="none"/>
                      <w:lang w:val="en-US"/>
                      <w14:textFill>
                        <w14:solidFill>
                          <w14:schemeClr w14:val="tx1"/>
                        </w14:solidFill>
                      </w14:textFill>
                    </w:rPr>
                  </m:ctrlPr>
                </m:e>
              </m:box>
              <m:r>
                <m:rPr/>
                <w:rPr>
                  <w:rFonts w:hint="default" w:ascii="Cambria Math" w:hAnsi="Cambria Math" w:cs="Times New Roman"/>
                  <w:color w:val="000000" w:themeColor="text1"/>
                  <w:sz w:val="28"/>
                  <w:szCs w:val="28"/>
                  <w:highlight w:val="none"/>
                  <w:lang w:val="en-US"/>
                  <w14:textFill>
                    <w14:solidFill>
                      <w14:schemeClr w14:val="tx1"/>
                    </w14:solidFill>
                  </w14:textFill>
                </w:rPr>
                <m:t>+⋯</m:t>
              </m:r>
              <m:f>
                <m:fPr>
                  <m:ctrlPr>
                    <w:rPr>
                      <w:rFonts w:hint="default" w:ascii="Cambria Math" w:hAnsi="Cambria Math" w:cs="Times New Roman"/>
                      <w:i/>
                      <w:color w:val="000000" w:themeColor="text1"/>
                      <w:sz w:val="28"/>
                      <w:szCs w:val="28"/>
                      <w:highlight w:val="none"/>
                      <w:lang w:val="en-US"/>
                      <w14:textFill>
                        <w14:solidFill>
                          <w14:schemeClr w14:val="tx1"/>
                        </w14:solidFill>
                      </w14:textFill>
                    </w:rPr>
                  </m:ctrlPr>
                </m:fPr>
                <m:num>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n</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num>
                <m:den>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n</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den>
              </m:f>
              <m:r>
                <m:rPr/>
                <w:rPr>
                  <w:rFonts w:hint="default" w:ascii="Cambria Math" w:hAnsi="Cambria Math" w:cs="Times New Roman"/>
                  <w:color w:val="000000" w:themeColor="text1"/>
                  <w:sz w:val="28"/>
                  <w:szCs w:val="28"/>
                  <w:highlight w:val="none"/>
                  <w:lang w:val="en-US"/>
                  <w14:textFill>
                    <w14:solidFill>
                      <w14:schemeClr w14:val="tx1"/>
                    </w14:solidFill>
                  </w14:textFill>
                </w:rPr>
                <m:t>=</m:t>
              </m:r>
              <m:f>
                <m:fPr>
                  <m:ctrlPr>
                    <w:rPr>
                      <w:rFonts w:hint="default" w:ascii="Cambria Math" w:hAnsi="Cambria Math" w:cs="Times New Roman"/>
                      <w:i/>
                      <w:color w:val="000000" w:themeColor="text1"/>
                      <w:sz w:val="28"/>
                      <w:szCs w:val="28"/>
                      <w:highlight w:val="none"/>
                      <w:lang w:val="en-US"/>
                      <w14:textFill>
                        <w14:solidFill>
                          <w14:schemeClr w14:val="tx1"/>
                        </w14:solidFill>
                      </w14:textFill>
                    </w:rPr>
                  </m:ctrlPr>
                </m:fPr>
                <m:num>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0.000022</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num>
                <m:den>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50</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den>
              </m:f>
              <m:r>
                <m:rPr/>
                <w:rPr>
                  <w:rFonts w:hint="default" w:ascii="Cambria Math" w:hAnsi="Cambria Math" w:cs="Times New Roman"/>
                  <w:color w:val="000000" w:themeColor="text1"/>
                  <w:sz w:val="28"/>
                  <w:szCs w:val="28"/>
                  <w:highlight w:val="none"/>
                  <w:lang w:val="en-US"/>
                  <w14:textFill>
                    <w14:solidFill>
                      <w14:schemeClr w14:val="tx1"/>
                    </w14:solidFill>
                  </w14:textFill>
                </w:rPr>
                <m:t>=</m:t>
              </m:r>
            </m:oMath>
            <w:r>
              <w:rPr>
                <w:rFonts w:hint="eastAsia" w:ascii="Times New Roman" w:hAnsi="Times New Roman" w:cs="Times New Roman"/>
                <w:i/>
                <w:color w:val="000000" w:themeColor="text1"/>
                <w:sz w:val="28"/>
                <w:szCs w:val="28"/>
                <w:highlight w:val="none"/>
                <w:lang w:val="en-US" w:eastAsia="zh-CN"/>
                <w14:textFill>
                  <w14:solidFill>
                    <w14:schemeClr w14:val="tx1"/>
                  </w14:solidFill>
                </w14:textFill>
              </w:rPr>
              <w:t>0.00000043</w:t>
            </w:r>
          </w:p>
          <w:p w14:paraId="14D24768">
            <w:pPr>
              <w:pStyle w:val="23"/>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cs="Times New Roman"/>
                <w:i/>
                <w:color w:val="000000" w:themeColor="text1"/>
                <w:sz w:val="28"/>
                <w:szCs w:val="28"/>
                <w:highlight w:val="none"/>
                <w:lang w:val="en-US" w:eastAsia="zh-CN"/>
                <w14:textFill>
                  <w14:solidFill>
                    <w14:schemeClr w14:val="tx1"/>
                  </w14:solidFill>
                </w14:textFill>
              </w:rPr>
            </w:pPr>
            <m:oMath>
              <m:sSub>
                <m:sSubPr>
                  <m:ctrlPr>
                    <w:rPr>
                      <w:rFonts w:hint="default" w:ascii="Cambria Math" w:hAnsi="Cambria Math" w:cs="Times New Roman"/>
                      <w:i/>
                      <w:color w:val="000000" w:themeColor="text1"/>
                      <w:sz w:val="28"/>
                      <w:szCs w:val="28"/>
                      <w:highlight w:val="none"/>
                      <w:lang w:val="en-US" w:eastAsia="zh-CN"/>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eastAsia="zh-CN"/>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4</m:t>
                  </m:r>
                  <m:ctrlPr>
                    <w:rPr>
                      <w:rFonts w:hint="default" w:ascii="Cambria Math" w:hAnsi="Cambria Math" w:cs="Times New Roman"/>
                      <w:i/>
                      <w:color w:val="000000" w:themeColor="text1"/>
                      <w:sz w:val="28"/>
                      <w:szCs w:val="28"/>
                      <w:highlight w:val="none"/>
                      <w:lang w:val="en-US" w:eastAsia="zh-CN"/>
                      <w14:textFill>
                        <w14:solidFill>
                          <w14:schemeClr w14:val="tx1"/>
                        </w14:solidFill>
                      </w14:textFill>
                    </w:rPr>
                  </m:ctrlPr>
                </m:sub>
              </m:sSub>
              <m:r>
                <m:rPr/>
                <w:rPr>
                  <w:rFonts w:hint="default" w:ascii="Cambria Math" w:hAnsi="Cambria Math" w:cs="Times New Roman"/>
                  <w:color w:val="000000" w:themeColor="text1"/>
                  <w:sz w:val="28"/>
                  <w:szCs w:val="28"/>
                  <w:highlight w:val="none"/>
                  <w:lang w:val="en-US"/>
                  <w14:textFill>
                    <w14:solidFill>
                      <w14:schemeClr w14:val="tx1"/>
                    </w14:solidFill>
                  </w14:textFill>
                </w:rPr>
                <m:t>=</m:t>
              </m:r>
              <m:f>
                <m:fPr>
                  <m:ctrlPr>
                    <w:rPr>
                      <w:rFonts w:hint="default" w:ascii="Cambria Math" w:hAnsi="Cambria Math" w:cs="Times New Roman"/>
                      <w:i/>
                      <w:color w:val="000000" w:themeColor="text1"/>
                      <w:sz w:val="28"/>
                      <w:szCs w:val="28"/>
                      <w:highlight w:val="none"/>
                      <w:lang w:val="en-US"/>
                      <w14:textFill>
                        <w14:solidFill>
                          <w14:schemeClr w14:val="tx1"/>
                        </w14:solidFill>
                      </w14:textFill>
                    </w:rPr>
                  </m:ctrlPr>
                </m:fPr>
                <m:num>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1</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num>
                <m:den>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1</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den>
              </m:f>
              <m:box>
                <m:boxPr>
                  <m:opEmu m:val="1"/>
                  <m:ctrlPr>
                    <w:rPr>
                      <w:rFonts w:hint="default" w:ascii="Cambria Math" w:hAnsi="Cambria Math" w:cs="Times New Roman"/>
                      <w:i/>
                      <w:color w:val="000000" w:themeColor="text1"/>
                      <w:sz w:val="28"/>
                      <w:szCs w:val="28"/>
                      <w:highlight w:val="none"/>
                      <w:lang w:val="en-US"/>
                      <w14:textFill>
                        <w14:solidFill>
                          <w14:schemeClr w14:val="tx1"/>
                        </w14:solidFill>
                      </w14:textFill>
                    </w:rPr>
                  </m:ctrlPr>
                </m:boxPr>
                <m:e>
                  <m:r>
                    <m:rPr/>
                    <w:rPr>
                      <w:rFonts w:hint="default" w:ascii="Cambria Math" w:hAnsi="Cambria Math" w:cs="Times New Roman"/>
                      <w:color w:val="000000" w:themeColor="text1"/>
                      <w:sz w:val="28"/>
                      <w:szCs w:val="28"/>
                      <w:highlight w:val="none"/>
                      <w:lang w:val="en-US"/>
                      <w14:textFill>
                        <w14:solidFill>
                          <w14:schemeClr w14:val="tx1"/>
                        </w14:solidFill>
                      </w14:textFill>
                    </w:rPr>
                    <m:t>+</m:t>
                  </m:r>
                  <m:f>
                    <m:fPr>
                      <m:ctrlPr>
                        <w:rPr>
                          <w:rFonts w:hint="default" w:ascii="Cambria Math" w:hAnsi="Cambria Math" w:cs="Times New Roman"/>
                          <w:i/>
                          <w:color w:val="000000" w:themeColor="text1"/>
                          <w:sz w:val="28"/>
                          <w:szCs w:val="28"/>
                          <w:highlight w:val="none"/>
                          <w:lang w:val="en-US"/>
                          <w14:textFill>
                            <w14:solidFill>
                              <w14:schemeClr w14:val="tx1"/>
                            </w14:solidFill>
                          </w14:textFill>
                        </w:rPr>
                      </m:ctrlPr>
                    </m:fPr>
                    <m:num>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2</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num>
                    <m:den>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2</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den>
                  </m:f>
                  <m:ctrlPr>
                    <w:rPr>
                      <w:rFonts w:hint="default" w:ascii="Cambria Math" w:hAnsi="Cambria Math" w:cs="Times New Roman"/>
                      <w:i/>
                      <w:color w:val="000000" w:themeColor="text1"/>
                      <w:sz w:val="28"/>
                      <w:szCs w:val="28"/>
                      <w:highlight w:val="none"/>
                      <w:lang w:val="en-US"/>
                      <w14:textFill>
                        <w14:solidFill>
                          <w14:schemeClr w14:val="tx1"/>
                        </w14:solidFill>
                      </w14:textFill>
                    </w:rPr>
                  </m:ctrlPr>
                </m:e>
              </m:box>
              <m:r>
                <m:rPr/>
                <w:rPr>
                  <w:rFonts w:hint="default" w:ascii="Cambria Math" w:hAnsi="Cambria Math" w:cs="Times New Roman"/>
                  <w:color w:val="000000" w:themeColor="text1"/>
                  <w:sz w:val="28"/>
                  <w:szCs w:val="28"/>
                  <w:highlight w:val="none"/>
                  <w:lang w:val="en-US"/>
                  <w14:textFill>
                    <w14:solidFill>
                      <w14:schemeClr w14:val="tx1"/>
                    </w14:solidFill>
                  </w14:textFill>
                </w:rPr>
                <m:t>+⋯</m:t>
              </m:r>
              <m:f>
                <m:fPr>
                  <m:ctrlPr>
                    <w:rPr>
                      <w:rFonts w:hint="default" w:ascii="Cambria Math" w:hAnsi="Cambria Math" w:cs="Times New Roman"/>
                      <w:i/>
                      <w:color w:val="000000" w:themeColor="text1"/>
                      <w:sz w:val="28"/>
                      <w:szCs w:val="28"/>
                      <w:highlight w:val="none"/>
                      <w:lang w:val="en-US"/>
                      <w14:textFill>
                        <w14:solidFill>
                          <w14:schemeClr w14:val="tx1"/>
                        </w14:solidFill>
                      </w14:textFill>
                    </w:rPr>
                  </m:ctrlPr>
                </m:fPr>
                <m:num>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n</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num>
                <m:den>
                  <m:sSub>
                    <m:sSubPr>
                      <m:ctrlPr>
                        <w:rPr>
                          <w:rFonts w:hint="default" w:ascii="Cambria Math" w:hAnsi="Cambria Math" w:cs="Times New Roman"/>
                          <w:i/>
                          <w:color w:val="000000" w:themeColor="text1"/>
                          <w:sz w:val="28"/>
                          <w:szCs w:val="28"/>
                          <w:highlight w:val="none"/>
                          <w:lang w:val="en-US"/>
                          <w14:textFill>
                            <w14:solidFill>
                              <w14:schemeClr w14:val="tx1"/>
                            </w14:solidFill>
                          </w14:textFill>
                        </w:rPr>
                      </m:ctrlPr>
                    </m:sSubPr>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Q</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e>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n</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sub>
                  </m:sSub>
                  <m:ctrlPr>
                    <w:rPr>
                      <w:rFonts w:hint="default" w:ascii="Cambria Math" w:hAnsi="Cambria Math" w:cs="Times New Roman"/>
                      <w:i/>
                      <w:color w:val="000000" w:themeColor="text1"/>
                      <w:sz w:val="28"/>
                      <w:szCs w:val="28"/>
                      <w:highlight w:val="none"/>
                      <w:lang w:val="en-US"/>
                      <w14:textFill>
                        <w14:solidFill>
                          <w14:schemeClr w14:val="tx1"/>
                        </w14:solidFill>
                      </w14:textFill>
                    </w:rPr>
                  </m:ctrlPr>
                </m:den>
              </m:f>
              <m:r>
                <m:rPr/>
                <w:rPr>
                  <w:rFonts w:hint="default" w:ascii="Cambria Math" w:hAnsi="Cambria Math" w:cs="Times New Roman"/>
                  <w:color w:val="000000" w:themeColor="text1"/>
                  <w:sz w:val="28"/>
                  <w:szCs w:val="28"/>
                  <w:highlight w:val="none"/>
                  <w:lang w:val="en-US"/>
                  <w14:textFill>
                    <w14:solidFill>
                      <w14:schemeClr w14:val="tx1"/>
                    </w14:solidFill>
                  </w14:textFill>
                </w:rPr>
                <m:t>=</m:t>
              </m:r>
              <m:f>
                <m:fPr>
                  <m:ctrlPr>
                    <w:rPr>
                      <w:rFonts w:hint="default" w:ascii="Cambria Math" w:hAnsi="Cambria Math" w:cs="Times New Roman"/>
                      <w:i/>
                      <w:color w:val="000000" w:themeColor="text1"/>
                      <w:sz w:val="28"/>
                      <w:szCs w:val="28"/>
                      <w:highlight w:val="none"/>
                      <w:lang w:val="en-US"/>
                      <w14:textFill>
                        <w14:solidFill>
                          <w14:schemeClr w14:val="tx1"/>
                        </w14:solidFill>
                      </w14:textFill>
                    </w:rPr>
                  </m:ctrlPr>
                </m:fPr>
                <m:num>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0.0003</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num>
                <m:den>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100</m:t>
                  </m:r>
                  <m:ctrlPr>
                    <w:rPr>
                      <w:rFonts w:hint="default" w:ascii="Cambria Math" w:hAnsi="Cambria Math" w:cs="Times New Roman"/>
                      <w:i/>
                      <w:color w:val="000000" w:themeColor="text1"/>
                      <w:sz w:val="28"/>
                      <w:szCs w:val="28"/>
                      <w:highlight w:val="none"/>
                      <w:lang w:val="en-US"/>
                      <w14:textFill>
                        <w14:solidFill>
                          <w14:schemeClr w14:val="tx1"/>
                        </w14:solidFill>
                      </w14:textFill>
                    </w:rPr>
                  </m:ctrlPr>
                </m:den>
              </m:f>
              <m:r>
                <m:rPr/>
                <w:rPr>
                  <w:rFonts w:hint="default" w:ascii="Cambria Math" w:hAnsi="Cambria Math" w:cs="Times New Roman"/>
                  <w:color w:val="000000" w:themeColor="text1"/>
                  <w:sz w:val="28"/>
                  <w:szCs w:val="28"/>
                  <w:highlight w:val="none"/>
                  <w:lang w:val="en-US"/>
                  <w14:textFill>
                    <w14:solidFill>
                      <w14:schemeClr w14:val="tx1"/>
                    </w14:solidFill>
                  </w14:textFill>
                </w:rPr>
                <m:t>=</m:t>
              </m:r>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0</m:t>
              </m:r>
            </m:oMath>
            <w:r>
              <w:rPr>
                <w:rFonts w:hint="default" w:ascii="Times New Roman" w:hAnsi="Times New Roman" w:cs="Times New Roman"/>
                <w:i/>
                <w:color w:val="000000" w:themeColor="text1"/>
                <w:sz w:val="28"/>
                <w:szCs w:val="28"/>
                <w:highlight w:val="none"/>
                <w:lang w:val="en-US" w:eastAsia="zh-CN"/>
                <w14:textFill>
                  <w14:solidFill>
                    <w14:schemeClr w14:val="tx1"/>
                  </w14:solidFill>
                </w14:textFill>
              </w:rPr>
              <w:t>.0</w:t>
            </w:r>
            <w:r>
              <w:rPr>
                <w:rFonts w:hint="eastAsia" w:ascii="Times New Roman" w:hAnsi="Times New Roman" w:cs="Times New Roman"/>
                <w:i/>
                <w:color w:val="000000" w:themeColor="text1"/>
                <w:sz w:val="28"/>
                <w:szCs w:val="28"/>
                <w:highlight w:val="none"/>
                <w:lang w:val="en-US" w:eastAsia="zh-CN"/>
                <w14:textFill>
                  <w14:solidFill>
                    <w14:schemeClr w14:val="tx1"/>
                  </w14:solidFill>
                </w14:textFill>
              </w:rPr>
              <w:t>00003</w:t>
            </w:r>
          </w:p>
          <w:p w14:paraId="57114D93">
            <w:pPr>
              <w:pageBreakBefore w:val="0"/>
              <w:kinsoku/>
              <w:overflowPunct/>
              <w:autoSpaceDE/>
              <w:autoSpaceDN/>
              <w:bidi w:val="0"/>
              <w:spacing w:line="360" w:lineRule="auto"/>
              <w:ind w:firstLine="480" w:firstLineChars="200"/>
              <w:jc w:val="both"/>
              <w:rPr>
                <w:rFonts w:hint="default" w:ascii="Times New Roman" w:hAnsi="Times New Roman" w:cs="Times New Roman"/>
                <w:b/>
                <w:color w:val="auto"/>
                <w:kern w:val="0"/>
                <w:highlight w:val="none"/>
              </w:rPr>
            </w:pPr>
            <w:r>
              <w:rPr>
                <w:rFonts w:hint="eastAsia" w:cs="Times New Roman"/>
                <w:color w:val="auto"/>
                <w:kern w:val="0"/>
                <w:highlight w:val="none"/>
                <w:lang w:val="en-US" w:eastAsia="zh-CN"/>
              </w:rPr>
              <w:t>综上</w:t>
            </w:r>
            <w:r>
              <w:rPr>
                <w:rFonts w:hint="default" w:ascii="Times New Roman" w:hAnsi="Times New Roman" w:cs="Times New Roman"/>
                <w:color w:val="auto"/>
                <w:kern w:val="0"/>
                <w:highlight w:val="none"/>
              </w:rPr>
              <w:t>，危险物质的Q值</w:t>
            </w:r>
            <w:r>
              <w:rPr>
                <w:rFonts w:hint="eastAsia" w:cs="Times New Roman"/>
                <w:color w:val="auto"/>
                <w:kern w:val="0"/>
                <w:highlight w:val="none"/>
                <w:lang w:val="en-US" w:eastAsia="zh-CN"/>
              </w:rPr>
              <w:t>总和</w:t>
            </w:r>
            <w:r>
              <w:rPr>
                <w:rFonts w:hint="default" w:ascii="Times New Roman" w:hAnsi="Times New Roman" w:cs="Times New Roman"/>
                <w:color w:val="auto"/>
                <w:kern w:val="0"/>
                <w:highlight w:val="none"/>
              </w:rPr>
              <w:t>为</w:t>
            </w:r>
            <w:r>
              <w:rPr>
                <w:rFonts w:hint="default" w:ascii="Times New Roman" w:hAnsi="Times New Roman" w:cs="Times New Roman"/>
                <w:color w:val="auto"/>
                <w:kern w:val="0"/>
                <w:highlight w:val="none"/>
                <w:lang w:val="en-US" w:eastAsia="zh-CN"/>
              </w:rPr>
              <w:t>0.0</w:t>
            </w:r>
            <w:r>
              <w:rPr>
                <w:rFonts w:hint="eastAsia" w:cs="Times New Roman"/>
                <w:color w:val="auto"/>
                <w:kern w:val="0"/>
                <w:highlight w:val="none"/>
                <w:lang w:val="en-US" w:eastAsia="zh-CN"/>
              </w:rPr>
              <w:t>87</w:t>
            </w:r>
            <w:r>
              <w:rPr>
                <w:rFonts w:hint="default" w:ascii="Times New Roman" w:hAnsi="Times New Roman" w:cs="Times New Roman"/>
                <w:color w:val="auto"/>
                <w:kern w:val="0"/>
                <w:highlight w:val="none"/>
              </w:rPr>
              <w:t>&lt;1，则Q&lt;1，项目环境风险潜势为</w:t>
            </w:r>
            <w:r>
              <w:rPr>
                <w:rFonts w:hint="default" w:ascii="Times New Roman" w:hAnsi="Times New Roman" w:cs="Times New Roman"/>
                <w:color w:val="auto"/>
                <w:szCs w:val="21"/>
                <w:highlight w:val="none"/>
              </w:rPr>
              <w:t>Ⅰ</w:t>
            </w:r>
            <w:r>
              <w:rPr>
                <w:rFonts w:hint="eastAsia" w:cs="Times New Roman"/>
                <w:color w:val="auto"/>
                <w:szCs w:val="21"/>
                <w:highlight w:val="none"/>
                <w:lang w:eastAsia="zh-CN"/>
              </w:rPr>
              <w:t>，</w:t>
            </w:r>
            <w:r>
              <w:rPr>
                <w:rFonts w:hint="default" w:ascii="Times New Roman" w:hAnsi="Times New Roman" w:cs="Times New Roman"/>
                <w:color w:val="auto"/>
                <w:kern w:val="0"/>
                <w:highlight w:val="none"/>
              </w:rPr>
              <w:t>仅开展简单分析。</w:t>
            </w:r>
          </w:p>
          <w:p w14:paraId="74DDCE05">
            <w:pPr>
              <w:pageBreakBefore w:val="0"/>
              <w:kinsoku/>
              <w:overflowPunct/>
              <w:autoSpaceDE/>
              <w:autoSpaceDN/>
              <w:bidi w:val="0"/>
              <w:jc w:val="center"/>
              <w:rPr>
                <w:rFonts w:hint="default" w:ascii="Times New Roman" w:hAnsi="Times New Roman" w:cs="Times New Roman"/>
                <w:b/>
                <w:color w:val="auto"/>
                <w:kern w:val="0"/>
                <w:highlight w:val="none"/>
              </w:rPr>
            </w:pPr>
            <w:r>
              <w:rPr>
                <w:rFonts w:hint="default" w:ascii="Times New Roman" w:hAnsi="Times New Roman" w:cs="Times New Roman"/>
                <w:b/>
                <w:color w:val="auto"/>
                <w:kern w:val="0"/>
                <w:highlight w:val="none"/>
              </w:rPr>
              <w:t>表</w:t>
            </w:r>
            <w:r>
              <w:rPr>
                <w:rFonts w:hint="eastAsia" w:cs="Times New Roman"/>
                <w:b/>
                <w:color w:val="auto"/>
                <w:kern w:val="0"/>
                <w:highlight w:val="none"/>
                <w:lang w:val="en-US" w:eastAsia="zh-CN"/>
              </w:rPr>
              <w:t xml:space="preserve">4-10  </w:t>
            </w:r>
            <w:r>
              <w:rPr>
                <w:rFonts w:hint="default" w:ascii="Times New Roman" w:hAnsi="Times New Roman" w:cs="Times New Roman"/>
                <w:b/>
                <w:color w:val="auto"/>
                <w:kern w:val="0"/>
                <w:highlight w:val="none"/>
              </w:rPr>
              <w:t>环境风险评价工作等级划分</w:t>
            </w:r>
          </w:p>
          <w:tbl>
            <w:tblPr>
              <w:tblStyle w:val="50"/>
              <w:tblW w:w="8187" w:type="dxa"/>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826"/>
              <w:gridCol w:w="1715"/>
              <w:gridCol w:w="1653"/>
              <w:gridCol w:w="1654"/>
              <w:gridCol w:w="1339"/>
            </w:tblGrid>
            <w:tr w14:paraId="6B31C906">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3" w:hRule="atLeast"/>
                <w:jc w:val="center"/>
              </w:trPr>
              <w:tc>
                <w:tcPr>
                  <w:tcW w:w="1826" w:type="dxa"/>
                  <w:vAlign w:val="center"/>
                </w:tcPr>
                <w:p w14:paraId="580F291D">
                  <w:pPr>
                    <w:pStyle w:val="199"/>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环境风险潜势</w:t>
                  </w:r>
                </w:p>
              </w:tc>
              <w:tc>
                <w:tcPr>
                  <w:tcW w:w="1715" w:type="dxa"/>
                  <w:vAlign w:val="center"/>
                </w:tcPr>
                <w:p w14:paraId="635497B9">
                  <w:pPr>
                    <w:pStyle w:val="199"/>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Ⅳ、Ⅳ+</w:t>
                  </w:r>
                </w:p>
              </w:tc>
              <w:tc>
                <w:tcPr>
                  <w:tcW w:w="1653" w:type="dxa"/>
                  <w:vAlign w:val="center"/>
                </w:tcPr>
                <w:p w14:paraId="6BA34F9B">
                  <w:pPr>
                    <w:pStyle w:val="199"/>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Ⅲ</w:t>
                  </w:r>
                </w:p>
              </w:tc>
              <w:tc>
                <w:tcPr>
                  <w:tcW w:w="1654" w:type="dxa"/>
                  <w:vAlign w:val="center"/>
                </w:tcPr>
                <w:p w14:paraId="6BA9C28B">
                  <w:pPr>
                    <w:pStyle w:val="199"/>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Ⅱ</w:t>
                  </w:r>
                </w:p>
              </w:tc>
              <w:tc>
                <w:tcPr>
                  <w:tcW w:w="1339" w:type="dxa"/>
                  <w:vAlign w:val="center"/>
                </w:tcPr>
                <w:p w14:paraId="5592F2D4">
                  <w:pPr>
                    <w:pStyle w:val="199"/>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Ⅰ</w:t>
                  </w:r>
                </w:p>
              </w:tc>
            </w:tr>
            <w:tr w14:paraId="6DD2FE90">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3" w:hRule="atLeast"/>
                <w:jc w:val="center"/>
              </w:trPr>
              <w:tc>
                <w:tcPr>
                  <w:tcW w:w="1826" w:type="dxa"/>
                  <w:vAlign w:val="center"/>
                </w:tcPr>
                <w:p w14:paraId="6C9B9A74">
                  <w:pPr>
                    <w:pStyle w:val="199"/>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评价工作等级</w:t>
                  </w:r>
                </w:p>
              </w:tc>
              <w:tc>
                <w:tcPr>
                  <w:tcW w:w="1715" w:type="dxa"/>
                  <w:vAlign w:val="center"/>
                </w:tcPr>
                <w:p w14:paraId="6759C071">
                  <w:pPr>
                    <w:pStyle w:val="199"/>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一</w:t>
                  </w:r>
                </w:p>
              </w:tc>
              <w:tc>
                <w:tcPr>
                  <w:tcW w:w="1653" w:type="dxa"/>
                  <w:vAlign w:val="center"/>
                </w:tcPr>
                <w:p w14:paraId="18319B76">
                  <w:pPr>
                    <w:pStyle w:val="199"/>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二</w:t>
                  </w:r>
                </w:p>
              </w:tc>
              <w:tc>
                <w:tcPr>
                  <w:tcW w:w="1654" w:type="dxa"/>
                  <w:vAlign w:val="center"/>
                </w:tcPr>
                <w:p w14:paraId="03CA01B8">
                  <w:pPr>
                    <w:pStyle w:val="199"/>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三</w:t>
                  </w:r>
                </w:p>
              </w:tc>
              <w:tc>
                <w:tcPr>
                  <w:tcW w:w="1339" w:type="dxa"/>
                  <w:vAlign w:val="center"/>
                </w:tcPr>
                <w:p w14:paraId="42630895">
                  <w:pPr>
                    <w:pStyle w:val="199"/>
                    <w:pageBreakBefore w:val="0"/>
                    <w:kinsoku/>
                    <w:overflowPunct/>
                    <w:autoSpaceDE/>
                    <w:autoSpaceDN/>
                    <w:bidi w:val="0"/>
                    <w:spacing w:line="240" w:lineRule="auto"/>
                    <w:jc w:val="center"/>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简单分析a</w:t>
                  </w:r>
                </w:p>
              </w:tc>
            </w:tr>
            <w:tr w14:paraId="15462C4F">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4" w:hRule="atLeast"/>
                <w:jc w:val="center"/>
              </w:trPr>
              <w:tc>
                <w:tcPr>
                  <w:tcW w:w="8187" w:type="dxa"/>
                  <w:gridSpan w:val="5"/>
                  <w:vAlign w:val="center"/>
                </w:tcPr>
                <w:p w14:paraId="3D6D58F5">
                  <w:pPr>
                    <w:pStyle w:val="199"/>
                    <w:pageBreakBefore w:val="0"/>
                    <w:kinsoku/>
                    <w:overflowPunct/>
                    <w:autoSpaceDE/>
                    <w:autoSpaceDN/>
                    <w:bidi w:val="0"/>
                    <w:spacing w:line="240" w:lineRule="auto"/>
                    <w:ind w:right="50" w:rightChars="21"/>
                    <w:jc w:val="both"/>
                    <w:rPr>
                      <w:rFonts w:hint="default" w:ascii="Times New Roman" w:hAnsi="Times New Roman" w:cs="Times New Roman"/>
                      <w:b w:val="0"/>
                      <w:bCs/>
                      <w:color w:val="auto"/>
                      <w:highlight w:val="none"/>
                    </w:rPr>
                  </w:pPr>
                  <w:r>
                    <w:rPr>
                      <w:rFonts w:hint="default" w:ascii="Times New Roman" w:hAnsi="Times New Roman" w:cs="Times New Roman"/>
                      <w:b w:val="0"/>
                      <w:bCs/>
                      <w:color w:val="auto"/>
                      <w:highlight w:val="none"/>
                    </w:rPr>
                    <w:t>a.是相对于详细评价工作内容而言，在描述危险物质、环境影响途径、环境危害后果、风险防范措施等方面给出定性的说明。</w:t>
                  </w:r>
                </w:p>
              </w:tc>
            </w:tr>
          </w:tbl>
          <w:p w14:paraId="68D4267E">
            <w:pPr>
              <w:pStyle w:val="3"/>
              <w:pageBreakBefore w:val="0"/>
              <w:numPr>
                <w:ilvl w:val="1"/>
                <w:numId w:val="0"/>
              </w:numPr>
              <w:kinsoku/>
              <w:overflowPunct/>
              <w:autoSpaceDE/>
              <w:autoSpaceDN/>
              <w:bidi w:val="0"/>
              <w:adjustRightInd/>
              <w:snapToGrid/>
              <w:ind w:left="1"/>
              <w:jc w:val="both"/>
              <w:rPr>
                <w:rFonts w:hint="default" w:ascii="Times New Roman" w:hAnsi="Times New Roman" w:cs="Times New Roman"/>
                <w:color w:val="auto"/>
                <w:sz w:val="24"/>
                <w:szCs w:val="30"/>
                <w:highlight w:val="none"/>
              </w:rPr>
            </w:pPr>
            <w:bookmarkStart w:id="153" w:name="_Toc31204"/>
            <w:bookmarkStart w:id="154" w:name="_Toc133251490"/>
            <w:bookmarkStart w:id="155" w:name="_Toc23974"/>
            <w:bookmarkStart w:id="156" w:name="_Toc28351"/>
            <w:bookmarkStart w:id="157" w:name="_Toc133251557"/>
            <w:bookmarkStart w:id="158" w:name="_Toc29738"/>
            <w:r>
              <w:rPr>
                <w:rFonts w:hint="default" w:ascii="Times New Roman" w:hAnsi="Times New Roman" w:cs="Times New Roman"/>
                <w:color w:val="auto"/>
                <w:sz w:val="24"/>
                <w:szCs w:val="30"/>
                <w:highlight w:val="none"/>
              </w:rPr>
              <w:t>4.</w:t>
            </w:r>
            <w:r>
              <w:rPr>
                <w:rFonts w:hint="default" w:ascii="Times New Roman" w:hAnsi="Times New Roman" w:cs="Times New Roman"/>
                <w:color w:val="auto"/>
                <w:sz w:val="24"/>
                <w:szCs w:val="30"/>
                <w:highlight w:val="none"/>
                <w:lang w:val="en-US" w:eastAsia="zh-CN"/>
              </w:rPr>
              <w:t>9</w:t>
            </w:r>
            <w:r>
              <w:rPr>
                <w:rFonts w:hint="default" w:ascii="Times New Roman" w:hAnsi="Times New Roman" w:cs="Times New Roman"/>
                <w:color w:val="auto"/>
                <w:sz w:val="24"/>
                <w:szCs w:val="30"/>
                <w:highlight w:val="none"/>
              </w:rPr>
              <w:t>.3最大可信事故</w:t>
            </w:r>
            <w:bookmarkEnd w:id="153"/>
            <w:bookmarkEnd w:id="154"/>
            <w:bookmarkEnd w:id="155"/>
            <w:bookmarkEnd w:id="156"/>
            <w:bookmarkEnd w:id="157"/>
            <w:bookmarkEnd w:id="158"/>
          </w:p>
          <w:p w14:paraId="553D8490">
            <w:pPr>
              <w:pStyle w:val="483"/>
              <w:pageBreakBefore w:val="0"/>
              <w:kinsoku/>
              <w:overflowPunct/>
              <w:autoSpaceDE/>
              <w:autoSpaceDN/>
              <w:bidi w:val="0"/>
              <w:spacing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最大可信事故是指事故所造成的危害在所有预测的事故中最严重，并且发生该事故的概率不为零的事故。根据工程特点和风险识别，本</w:t>
            </w:r>
            <w:r>
              <w:rPr>
                <w:rFonts w:hint="eastAsia" w:cs="Times New Roman"/>
                <w:color w:val="auto"/>
                <w:szCs w:val="24"/>
                <w:highlight w:val="none"/>
                <w:lang w:val="en-US" w:eastAsia="zh-CN"/>
              </w:rPr>
              <w:t>项目</w:t>
            </w:r>
            <w:r>
              <w:rPr>
                <w:rFonts w:hint="default" w:ascii="Times New Roman" w:hAnsi="Times New Roman" w:cs="Times New Roman"/>
                <w:color w:val="auto"/>
                <w:szCs w:val="24"/>
                <w:highlight w:val="none"/>
              </w:rPr>
              <w:t>风险评价的最大可信事故设定为医疗废水、医疗废物泄露事故。</w:t>
            </w:r>
          </w:p>
          <w:p w14:paraId="3157C243">
            <w:pPr>
              <w:pStyle w:val="22"/>
              <w:pageBreakBefore w:val="0"/>
              <w:kinsoku/>
              <w:overflowPunct/>
              <w:autoSpaceDE/>
              <w:autoSpaceDN/>
              <w:bidi w:val="0"/>
              <w:spacing w:after="0" w:line="360" w:lineRule="auto"/>
              <w:ind w:left="0" w:leftChars="0" w:firstLine="0" w:firstLineChars="0"/>
              <w:jc w:val="both"/>
              <w:rPr>
                <w:rFonts w:hint="default" w:ascii="Times New Roman" w:hAnsi="Times New Roman" w:cs="Times New Roman"/>
                <w:b/>
                <w:bCs/>
                <w:color w:val="auto"/>
                <w:szCs w:val="30"/>
                <w:highlight w:val="none"/>
              </w:rPr>
            </w:pPr>
            <w:r>
              <w:rPr>
                <w:rFonts w:hint="default" w:ascii="Times New Roman" w:hAnsi="Times New Roman" w:cs="Times New Roman"/>
                <w:b/>
                <w:bCs/>
                <w:color w:val="auto"/>
                <w:szCs w:val="30"/>
                <w:highlight w:val="none"/>
              </w:rPr>
              <w:t>4.</w:t>
            </w:r>
            <w:r>
              <w:rPr>
                <w:rFonts w:hint="default" w:ascii="Times New Roman" w:hAnsi="Times New Roman" w:cs="Times New Roman"/>
                <w:b/>
                <w:bCs/>
                <w:color w:val="auto"/>
                <w:szCs w:val="30"/>
                <w:highlight w:val="none"/>
                <w:lang w:val="en-US" w:eastAsia="zh-CN"/>
              </w:rPr>
              <w:t>9</w:t>
            </w:r>
            <w:r>
              <w:rPr>
                <w:rFonts w:hint="default" w:ascii="Times New Roman" w:hAnsi="Times New Roman" w:cs="Times New Roman"/>
                <w:b/>
                <w:bCs/>
                <w:color w:val="auto"/>
                <w:szCs w:val="30"/>
                <w:highlight w:val="none"/>
              </w:rPr>
              <w:t>.4环境风险可接受水平分析</w:t>
            </w:r>
          </w:p>
          <w:p w14:paraId="421D6E94">
            <w:pPr>
              <w:pageBreakBefore w:val="0"/>
              <w:kinsoku/>
              <w:overflowPunct/>
              <w:autoSpaceDE/>
              <w:autoSpaceDN/>
              <w:bidi w:val="0"/>
              <w:spacing w:line="360" w:lineRule="auto"/>
              <w:ind w:firstLine="480" w:firstLineChars="200"/>
              <w:jc w:val="both"/>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1）</w:t>
            </w:r>
            <w:r>
              <w:rPr>
                <w:rFonts w:hint="default" w:ascii="Times New Roman" w:hAnsi="Times New Roman" w:cs="Times New Roman"/>
                <w:color w:val="auto"/>
                <w:highlight w:val="none"/>
              </w:rPr>
              <w:t>医疗废水：污水管道及</w:t>
            </w:r>
            <w:r>
              <w:rPr>
                <w:rFonts w:hint="eastAsia" w:cs="Times New Roman"/>
                <w:color w:val="auto"/>
                <w:highlight w:val="none"/>
                <w:lang w:eastAsia="zh-CN"/>
              </w:rPr>
              <w:t>消毒设备</w:t>
            </w:r>
            <w:r>
              <w:rPr>
                <w:rFonts w:hint="default" w:ascii="Times New Roman" w:hAnsi="Times New Roman" w:cs="Times New Roman"/>
                <w:color w:val="auto"/>
                <w:highlight w:val="none"/>
              </w:rPr>
              <w:t>运行过程进行定期的检查、维护和保养，避免管道堵塞、破裂等情况发生。处理后出水指标要按照环境管理工作制度的要求，定期、定时进行检测，以保障污水稳定达标排放。</w:t>
            </w:r>
            <w:r>
              <w:rPr>
                <w:rFonts w:hint="eastAsia" w:cs="Times New Roman"/>
                <w:color w:val="auto"/>
                <w:highlight w:val="none"/>
                <w:lang w:eastAsia="zh-CN"/>
              </w:rPr>
              <w:t>项目</w:t>
            </w:r>
            <w:r>
              <w:rPr>
                <w:rFonts w:hint="default" w:ascii="Times New Roman" w:hAnsi="Times New Roman" w:cs="Times New Roman"/>
                <w:color w:val="auto"/>
                <w:highlight w:val="none"/>
              </w:rPr>
              <w:t>采用</w:t>
            </w:r>
            <w:r>
              <w:rPr>
                <w:rFonts w:hint="eastAsia" w:cs="Times New Roman"/>
                <w:color w:val="auto"/>
                <w:highlight w:val="none"/>
                <w:lang w:eastAsia="zh-CN"/>
              </w:rPr>
              <w:t>消毒设备</w:t>
            </w:r>
            <w:r>
              <w:rPr>
                <w:rFonts w:hint="default" w:ascii="Times New Roman" w:hAnsi="Times New Roman" w:cs="Times New Roman"/>
                <w:color w:val="auto"/>
                <w:highlight w:val="none"/>
              </w:rPr>
              <w:t>，项目废水受接诊宠物情况影响，非连续性排放，且水量较小，对废水处理设施冲击较小，</w:t>
            </w:r>
            <w:r>
              <w:rPr>
                <w:rFonts w:hint="eastAsia" w:cs="Times New Roman"/>
                <w:color w:val="auto"/>
                <w:highlight w:val="none"/>
                <w:lang w:eastAsia="zh-CN"/>
              </w:rPr>
              <w:t>消毒设备</w:t>
            </w:r>
            <w:r>
              <w:rPr>
                <w:rFonts w:hint="default" w:ascii="Times New Roman" w:hAnsi="Times New Roman" w:cs="Times New Roman"/>
                <w:color w:val="auto"/>
                <w:highlight w:val="none"/>
              </w:rPr>
              <w:t>出现故障概率较小。</w:t>
            </w:r>
            <w:r>
              <w:rPr>
                <w:rFonts w:hint="eastAsia" w:cs="Times New Roman"/>
                <w:color w:val="auto"/>
                <w:highlight w:val="none"/>
                <w:lang w:val="en-US" w:eastAsia="zh-CN"/>
              </w:rPr>
              <w:t>医院应加强</w:t>
            </w:r>
            <w:r>
              <w:rPr>
                <w:rFonts w:hint="eastAsia" w:cs="Times New Roman"/>
                <w:color w:val="auto"/>
                <w:highlight w:val="none"/>
                <w:lang w:eastAsia="zh-CN"/>
              </w:rPr>
              <w:t>消毒设备</w:t>
            </w:r>
            <w:r>
              <w:rPr>
                <w:rFonts w:hint="eastAsia" w:cs="Times New Roman"/>
                <w:color w:val="auto"/>
                <w:highlight w:val="none"/>
                <w:lang w:val="en-US" w:eastAsia="zh-CN"/>
              </w:rPr>
              <w:t>核查，</w:t>
            </w:r>
            <w:r>
              <w:rPr>
                <w:rFonts w:hint="default" w:ascii="Times New Roman" w:hAnsi="Times New Roman" w:cs="Times New Roman"/>
                <w:color w:val="auto"/>
                <w:highlight w:val="none"/>
              </w:rPr>
              <w:t>当</w:t>
            </w:r>
            <w:r>
              <w:rPr>
                <w:rFonts w:hint="eastAsia" w:cs="Times New Roman"/>
                <w:color w:val="auto"/>
                <w:highlight w:val="none"/>
                <w:lang w:eastAsia="zh-CN"/>
              </w:rPr>
              <w:t>消毒设备</w:t>
            </w:r>
            <w:r>
              <w:rPr>
                <w:rFonts w:hint="default" w:ascii="Times New Roman" w:hAnsi="Times New Roman" w:cs="Times New Roman"/>
                <w:color w:val="auto"/>
                <w:highlight w:val="none"/>
              </w:rPr>
              <w:t>损坏</w:t>
            </w:r>
            <w:r>
              <w:rPr>
                <w:rFonts w:hint="eastAsia" w:cs="Times New Roman"/>
                <w:color w:val="auto"/>
                <w:highlight w:val="none"/>
                <w:lang w:val="en-US" w:eastAsia="zh-CN"/>
              </w:rPr>
              <w:t>且不能修复时及时购置新的设备</w:t>
            </w:r>
            <w:r>
              <w:rPr>
                <w:rFonts w:hint="default" w:ascii="Times New Roman" w:hAnsi="Times New Roman" w:cs="Times New Roman"/>
                <w:color w:val="auto"/>
                <w:highlight w:val="none"/>
              </w:rPr>
              <w:t>时，因此，医疗废水泄露的概率较小，其产生的风险可接受。</w:t>
            </w:r>
          </w:p>
          <w:p w14:paraId="05D6667D">
            <w:pPr>
              <w:pageBreakBefore w:val="0"/>
              <w:kinsoku/>
              <w:overflowPunct/>
              <w:autoSpaceDE/>
              <w:autoSpaceDN/>
              <w:bidi w:val="0"/>
              <w:spacing w:line="360" w:lineRule="auto"/>
              <w:ind w:firstLine="480" w:firstLineChars="200"/>
              <w:jc w:val="both"/>
              <w:rPr>
                <w:rFonts w:hint="default" w:ascii="Times New Roman" w:hAnsi="Times New Roman" w:cs="Times New Roman"/>
                <w:color w:val="auto"/>
                <w:highlight w:val="none"/>
              </w:rPr>
            </w:pPr>
            <w:r>
              <w:rPr>
                <w:rFonts w:hint="eastAsia" w:cs="Times New Roman"/>
                <w:color w:val="auto"/>
                <w:highlight w:val="none"/>
                <w:lang w:eastAsia="zh-CN"/>
              </w:rPr>
              <w:t>（</w:t>
            </w:r>
            <w:r>
              <w:rPr>
                <w:rFonts w:hint="eastAsia" w:cs="Times New Roman"/>
                <w:color w:val="auto"/>
                <w:highlight w:val="none"/>
                <w:lang w:val="en-US" w:eastAsia="zh-CN"/>
              </w:rPr>
              <w:t>2）</w:t>
            </w:r>
            <w:r>
              <w:rPr>
                <w:rFonts w:hint="default" w:ascii="Times New Roman" w:hAnsi="Times New Roman" w:cs="Times New Roman"/>
                <w:color w:val="auto"/>
                <w:highlight w:val="none"/>
              </w:rPr>
              <w:t>医疗废物：项目设置</w:t>
            </w:r>
            <w:r>
              <w:rPr>
                <w:rFonts w:hint="eastAsia" w:cs="Times New Roman"/>
                <w:color w:val="auto"/>
                <w:highlight w:val="none"/>
                <w:lang w:eastAsia="zh-CN"/>
              </w:rPr>
              <w:t>危废间</w:t>
            </w:r>
            <w:r>
              <w:rPr>
                <w:rFonts w:hint="default" w:ascii="Times New Roman" w:hAnsi="Times New Roman" w:cs="Times New Roman"/>
                <w:color w:val="auto"/>
                <w:highlight w:val="none"/>
              </w:rPr>
              <w:t>，专门用于储存医疗废物。医疗危废由有资质单位进行转运，处置。医院工作人员按照</w:t>
            </w:r>
            <w:r>
              <w:rPr>
                <w:rFonts w:hint="eastAsia" w:cs="Times New Roman"/>
                <w:color w:val="auto"/>
                <w:highlight w:val="none"/>
                <w:lang w:eastAsia="zh-CN"/>
              </w:rPr>
              <w:t>《</w:t>
            </w:r>
            <w:r>
              <w:rPr>
                <w:rFonts w:hint="default" w:ascii="Times New Roman" w:hAnsi="Times New Roman" w:cs="Times New Roman"/>
                <w:color w:val="auto"/>
                <w:highlight w:val="none"/>
              </w:rPr>
              <w:t>医疗废物管理条例</w:t>
            </w:r>
            <w:r>
              <w:rPr>
                <w:rFonts w:hint="eastAsia" w:cs="Times New Roman"/>
                <w:color w:val="auto"/>
                <w:highlight w:val="none"/>
                <w:lang w:eastAsia="zh-CN"/>
              </w:rPr>
              <w:t>（</w:t>
            </w:r>
            <w:r>
              <w:rPr>
                <w:rFonts w:hint="eastAsia" w:cs="Times New Roman"/>
                <w:color w:val="auto"/>
                <w:highlight w:val="none"/>
                <w:lang w:val="en-US" w:eastAsia="zh-CN"/>
              </w:rPr>
              <w:t>2021年版</w:t>
            </w:r>
            <w:r>
              <w:rPr>
                <w:rFonts w:hint="eastAsia" w:cs="Times New Roman"/>
                <w:color w:val="auto"/>
                <w:highlight w:val="none"/>
                <w:lang w:eastAsia="zh-CN"/>
              </w:rPr>
              <w:t>）》</w:t>
            </w:r>
            <w:r>
              <w:rPr>
                <w:rFonts w:hint="default" w:ascii="Times New Roman" w:hAnsi="Times New Roman" w:cs="Times New Roman"/>
                <w:color w:val="auto"/>
                <w:highlight w:val="none"/>
              </w:rPr>
              <w:t>的要求及时分类收集本</w:t>
            </w:r>
            <w:r>
              <w:rPr>
                <w:rFonts w:hint="eastAsia" w:cs="Times New Roman"/>
                <w:color w:val="auto"/>
                <w:highlight w:val="none"/>
                <w:lang w:val="en-US" w:eastAsia="zh-CN"/>
              </w:rPr>
              <w:t>单位</w:t>
            </w:r>
            <w:r>
              <w:rPr>
                <w:rFonts w:hint="default" w:ascii="Times New Roman" w:hAnsi="Times New Roman" w:cs="Times New Roman"/>
                <w:color w:val="auto"/>
                <w:highlight w:val="none"/>
              </w:rPr>
              <w:t>的医疗垃圾，并按照类别分置于防渗漏、防锐器穿透的专用包装物或者密闭的容器内。医疗废物专用包装物、容器，设置有明显的警示标识和警示说明。一旦有医疗废物混入生活垃圾，混有医疗废物的生活垃圾按照医疗废物处置。暂存设施设专人管理，</w:t>
            </w:r>
            <w:r>
              <w:rPr>
                <w:rFonts w:hint="eastAsia" w:cs="Times New Roman"/>
                <w:color w:val="auto"/>
                <w:highlight w:val="none"/>
                <w:lang w:val="en-US" w:eastAsia="zh-CN"/>
              </w:rPr>
              <w:t>管理人员</w:t>
            </w:r>
            <w:r>
              <w:rPr>
                <w:rFonts w:hint="default" w:ascii="Times New Roman" w:hAnsi="Times New Roman" w:cs="Times New Roman"/>
                <w:color w:val="auto"/>
                <w:highlight w:val="none"/>
              </w:rPr>
              <w:t>对暂存设施和贮存容器进行检查，发生破损、开裂等问题，及时更换。</w:t>
            </w:r>
            <w:r>
              <w:rPr>
                <w:rFonts w:hint="eastAsia" w:cs="Times New Roman"/>
                <w:color w:val="auto"/>
                <w:highlight w:val="none"/>
                <w:lang w:eastAsia="zh-CN"/>
              </w:rPr>
              <w:t>危废间</w:t>
            </w:r>
            <w:r>
              <w:rPr>
                <w:rFonts w:hint="default" w:ascii="Times New Roman" w:hAnsi="Times New Roman" w:cs="Times New Roman"/>
                <w:color w:val="auto"/>
                <w:highlight w:val="none"/>
              </w:rPr>
              <w:t>做好防腐防渗漏措施，防止废物渗漏到外环境。因此，医疗废物在合理的处置及管理的情况下，泄露的概率较小，其产生的风险可接受。</w:t>
            </w:r>
          </w:p>
          <w:p w14:paraId="3CACA9C8">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bCs/>
                <w:highlight w:val="none"/>
                <w:lang w:val="en-US" w:eastAsia="zh-CN"/>
              </w:rPr>
            </w:pPr>
            <w:bookmarkStart w:id="159" w:name="_Toc20251"/>
            <w:bookmarkStart w:id="160" w:name="_Toc21018"/>
            <w:bookmarkStart w:id="161" w:name="_Toc9181"/>
            <w:bookmarkStart w:id="162" w:name="_Toc133251491"/>
            <w:bookmarkStart w:id="163" w:name="_Toc133251558"/>
            <w:bookmarkStart w:id="164" w:name="_Toc197"/>
            <w:r>
              <w:rPr>
                <w:rFonts w:hint="default" w:ascii="Times New Roman" w:hAnsi="Times New Roman" w:eastAsia="宋体" w:cs="Times New Roman"/>
                <w:b/>
                <w:bCs/>
                <w:highlight w:val="none"/>
              </w:rPr>
              <w:t>4.</w:t>
            </w:r>
            <w:r>
              <w:rPr>
                <w:rFonts w:hint="default" w:ascii="Times New Roman" w:hAnsi="Times New Roman" w:eastAsia="宋体" w:cs="Times New Roman"/>
                <w:b/>
                <w:bCs/>
                <w:highlight w:val="none"/>
                <w:lang w:val="en-US" w:eastAsia="zh-CN"/>
              </w:rPr>
              <w:t>9</w:t>
            </w:r>
            <w:r>
              <w:rPr>
                <w:rFonts w:hint="default" w:ascii="Times New Roman" w:hAnsi="Times New Roman" w:eastAsia="宋体" w:cs="Times New Roman"/>
                <w:b/>
                <w:bCs/>
                <w:highlight w:val="none"/>
              </w:rPr>
              <w:t>.</w:t>
            </w:r>
            <w:r>
              <w:rPr>
                <w:rFonts w:hint="default" w:ascii="Times New Roman" w:hAnsi="Times New Roman" w:eastAsia="宋体" w:cs="Times New Roman"/>
                <w:b/>
                <w:bCs/>
                <w:highlight w:val="none"/>
                <w:lang w:val="en-US" w:eastAsia="zh-CN"/>
              </w:rPr>
              <w:t xml:space="preserve">5 </w:t>
            </w:r>
            <w:r>
              <w:rPr>
                <w:rFonts w:hint="default" w:ascii="Times New Roman" w:hAnsi="Times New Roman" w:eastAsia="宋体" w:cs="Times New Roman"/>
                <w:b/>
                <w:bCs/>
                <w:highlight w:val="none"/>
              </w:rPr>
              <w:t>风险防范措施及应急</w:t>
            </w:r>
            <w:bookmarkEnd w:id="159"/>
            <w:bookmarkEnd w:id="160"/>
            <w:bookmarkEnd w:id="161"/>
            <w:bookmarkEnd w:id="162"/>
            <w:bookmarkEnd w:id="163"/>
            <w:bookmarkEnd w:id="164"/>
            <w:r>
              <w:rPr>
                <w:rFonts w:hint="default" w:ascii="Times New Roman" w:hAnsi="Times New Roman" w:eastAsia="宋体" w:cs="Times New Roman"/>
                <w:b/>
                <w:bCs/>
                <w:highlight w:val="none"/>
                <w:lang w:val="en-US" w:eastAsia="zh-CN"/>
              </w:rPr>
              <w:t>要求</w:t>
            </w:r>
          </w:p>
          <w:p w14:paraId="0ED4FB8A">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val="en-US" w:eastAsia="zh-CN"/>
              </w:rPr>
              <w:t>建设单位应制定该项目各项安全管理制度、严格的操作规则和完善的事故应急预案及相应的应急处理手段和设施，同时加强安全教育，以提高职工的安全意识和安全防范能力。</w:t>
            </w:r>
          </w:p>
          <w:p w14:paraId="2D15D392">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lang w:eastAsia="zh-CN"/>
              </w:rPr>
              <w:t>（</w:t>
            </w:r>
            <w:r>
              <w:rPr>
                <w:rFonts w:hint="default" w:ascii="Times New Roman" w:hAnsi="Times New Roman" w:eastAsia="宋体" w:cs="Times New Roman"/>
                <w:highlight w:val="none"/>
                <w:lang w:val="en-US" w:eastAsia="zh-CN"/>
              </w:rPr>
              <w:t>1）</w:t>
            </w:r>
            <w:r>
              <w:rPr>
                <w:rFonts w:hint="default" w:ascii="Times New Roman" w:hAnsi="Times New Roman" w:eastAsia="宋体" w:cs="Times New Roman"/>
                <w:highlight w:val="none"/>
              </w:rPr>
              <w:t>针对医疗废水事故排放所产生的风险，建设单位应加强</w:t>
            </w:r>
            <w:r>
              <w:rPr>
                <w:rFonts w:hint="eastAsia" w:cs="Times New Roman"/>
                <w:highlight w:val="none"/>
                <w:lang w:eastAsia="zh-CN"/>
              </w:rPr>
              <w:t>消毒设备</w:t>
            </w:r>
            <w:r>
              <w:rPr>
                <w:rFonts w:hint="default" w:ascii="Times New Roman" w:hAnsi="Times New Roman" w:eastAsia="宋体" w:cs="Times New Roman"/>
                <w:highlight w:val="none"/>
              </w:rPr>
              <w:t>的运行管理和日常维护，避免管道堵塞、破裂等情况发生；配套建设完善的排水系统管网和切换系统，以应对消毒等设备损坏或失效、人为操作失误等事故，防止未经处理的医疗废水排入市政污水管网，并报告</w:t>
            </w:r>
            <w:r>
              <w:rPr>
                <w:rFonts w:hint="default" w:ascii="Times New Roman" w:hAnsi="Times New Roman" w:eastAsia="宋体" w:cs="Times New Roman"/>
                <w:highlight w:val="none"/>
                <w:lang w:val="en-US" w:eastAsia="zh-CN"/>
              </w:rPr>
              <w:t>医院</w:t>
            </w:r>
            <w:r>
              <w:rPr>
                <w:rFonts w:hint="default" w:ascii="Times New Roman" w:hAnsi="Times New Roman" w:eastAsia="宋体" w:cs="Times New Roman"/>
                <w:highlight w:val="none"/>
              </w:rPr>
              <w:t>管理人员，封闭现场，及时抢修。若出现管道破裂或废水溢流等情况，需紧急疏散周边居民，立即封锁现场，对污染事故进行处理，对事故现场及周边影响地区进行清理、消毒，同时应调查事故发生原因，防范事故再次发生。</w:t>
            </w:r>
          </w:p>
          <w:p w14:paraId="2DD99D8B">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lang w:eastAsia="zh-CN"/>
              </w:rPr>
              <w:t>（</w:t>
            </w:r>
            <w:r>
              <w:rPr>
                <w:rFonts w:hint="default" w:ascii="Times New Roman" w:hAnsi="Times New Roman" w:eastAsia="宋体" w:cs="Times New Roman"/>
                <w:highlight w:val="none"/>
                <w:lang w:val="en-US" w:eastAsia="zh-CN"/>
              </w:rPr>
              <w:t>2）</w:t>
            </w:r>
            <w:r>
              <w:rPr>
                <w:rFonts w:hint="default" w:ascii="Times New Roman" w:hAnsi="Times New Roman" w:eastAsia="宋体" w:cs="Times New Roman"/>
                <w:highlight w:val="none"/>
              </w:rPr>
              <w:t>本项目产生的医疗废物必须经科学地分类收集、贮存运送后交由具有相关资质的单位进行最终处置。</w:t>
            </w:r>
          </w:p>
          <w:p w14:paraId="68755BA4">
            <w:pPr>
              <w:pStyle w:val="22"/>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eastAsia="zh-CN"/>
              </w:rPr>
              <w:t>（</w:t>
            </w:r>
            <w:r>
              <w:rPr>
                <w:rFonts w:hint="default" w:ascii="Times New Roman" w:hAnsi="Times New Roman" w:eastAsia="宋体" w:cs="Times New Roman"/>
                <w:highlight w:val="none"/>
                <w:lang w:val="en-US" w:eastAsia="zh-CN"/>
              </w:rPr>
              <w:t>3）建设单位应定期核查</w:t>
            </w:r>
            <w:r>
              <w:rPr>
                <w:rFonts w:hint="eastAsia" w:cs="Times New Roman"/>
                <w:highlight w:val="none"/>
                <w:lang w:val="en-US" w:eastAsia="zh-CN"/>
              </w:rPr>
              <w:t>消毒设备</w:t>
            </w:r>
            <w:r>
              <w:rPr>
                <w:rFonts w:hint="default" w:ascii="Times New Roman" w:hAnsi="Times New Roman" w:eastAsia="宋体" w:cs="Times New Roman"/>
                <w:highlight w:val="none"/>
                <w:lang w:val="en-US" w:eastAsia="zh-CN"/>
              </w:rPr>
              <w:t xml:space="preserve">，加强通风，采用局部排风等措施。配备相应品种和数量的应急处理设备，紧急救援时佩戴空气呼吸器，迅速将患者转移至空气新鲜处，立即就医。 </w:t>
            </w:r>
          </w:p>
          <w:p w14:paraId="2F7F4639">
            <w:pPr>
              <w:pStyle w:val="23"/>
              <w:rPr>
                <w:rFonts w:hint="default"/>
                <w:lang w:val="en-US" w:eastAsia="zh-CN"/>
              </w:rPr>
            </w:pP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4</w:t>
            </w:r>
            <w:r>
              <w:rPr>
                <w:rFonts w:hint="eastAsia"/>
                <w:color w:val="000000" w:themeColor="text1"/>
                <w:lang w:eastAsia="zh-CN"/>
                <w14:textFill>
                  <w14:solidFill>
                    <w14:schemeClr w14:val="tx1"/>
                  </w14:solidFill>
                </w14:textFill>
              </w:rPr>
              <w:t>）依据《企业事业单位突发环境事件应急预案备案管理办法（试行）》编制突发环境事件应急预案，并向生态环境部门备案。</w:t>
            </w:r>
          </w:p>
          <w:p w14:paraId="65C5888F">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both"/>
              <w:textAlignment w:val="auto"/>
              <w:rPr>
                <w:highlight w:val="none"/>
              </w:rPr>
            </w:pPr>
            <w:r>
              <w:rPr>
                <w:rFonts w:hint="default" w:ascii="Times New Roman" w:hAnsi="Times New Roman" w:eastAsia="宋体" w:cs="Times New Roman"/>
                <w:b/>
                <w:bCs/>
                <w:color w:val="000000"/>
                <w:kern w:val="0"/>
                <w:sz w:val="24"/>
                <w:szCs w:val="24"/>
                <w:highlight w:val="none"/>
                <w:lang w:val="en-US" w:eastAsia="zh-CN" w:bidi="ar"/>
              </w:rPr>
              <w:t>4.</w:t>
            </w:r>
            <w:r>
              <w:rPr>
                <w:rFonts w:hint="eastAsia" w:ascii="Times New Roman" w:hAnsi="Times New Roman" w:eastAsia="宋体" w:cs="Times New Roman"/>
                <w:b/>
                <w:bCs/>
                <w:color w:val="000000"/>
                <w:kern w:val="0"/>
                <w:sz w:val="24"/>
                <w:szCs w:val="24"/>
                <w:highlight w:val="none"/>
                <w:lang w:val="en-US" w:eastAsia="zh-CN" w:bidi="ar"/>
              </w:rPr>
              <w:t>9</w:t>
            </w:r>
            <w:r>
              <w:rPr>
                <w:rFonts w:hint="default" w:ascii="Times New Roman" w:hAnsi="Times New Roman" w:eastAsia="宋体" w:cs="Times New Roman"/>
                <w:b/>
                <w:bCs/>
                <w:color w:val="000000"/>
                <w:kern w:val="0"/>
                <w:sz w:val="24"/>
                <w:szCs w:val="24"/>
                <w:highlight w:val="none"/>
                <w:lang w:val="en-US" w:eastAsia="zh-CN" w:bidi="ar"/>
              </w:rPr>
              <w:t>.</w:t>
            </w:r>
            <w:r>
              <w:rPr>
                <w:rFonts w:hint="eastAsia" w:ascii="Times New Roman" w:hAnsi="Times New Roman" w:eastAsia="宋体" w:cs="Times New Roman"/>
                <w:b/>
                <w:bCs/>
                <w:color w:val="000000"/>
                <w:kern w:val="0"/>
                <w:sz w:val="24"/>
                <w:szCs w:val="24"/>
                <w:highlight w:val="none"/>
                <w:lang w:val="en-US" w:eastAsia="zh-CN" w:bidi="ar"/>
              </w:rPr>
              <w:t>6</w:t>
            </w:r>
            <w:r>
              <w:rPr>
                <w:rFonts w:hint="default" w:ascii="Times New Roman" w:hAnsi="Times New Roman" w:eastAsia="宋体" w:cs="Times New Roman"/>
                <w:b/>
                <w:bCs/>
                <w:color w:val="000000"/>
                <w:kern w:val="0"/>
                <w:sz w:val="24"/>
                <w:szCs w:val="24"/>
                <w:highlight w:val="none"/>
                <w:lang w:val="en-US" w:eastAsia="zh-CN" w:bidi="ar"/>
              </w:rPr>
              <w:t xml:space="preserve"> </w:t>
            </w:r>
            <w:r>
              <w:rPr>
                <w:rFonts w:hint="eastAsia" w:ascii="宋体" w:hAnsi="宋体" w:eastAsia="宋体" w:cs="宋体"/>
                <w:b/>
                <w:bCs/>
                <w:color w:val="000000"/>
                <w:kern w:val="0"/>
                <w:sz w:val="24"/>
                <w:szCs w:val="24"/>
                <w:highlight w:val="none"/>
                <w:lang w:val="en-US" w:eastAsia="zh-CN" w:bidi="ar"/>
              </w:rPr>
              <w:t xml:space="preserve">环境风险分析结论 </w:t>
            </w:r>
          </w:p>
          <w:p w14:paraId="2D39E23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highlight w:val="none"/>
              </w:rPr>
            </w:pPr>
            <w:r>
              <w:rPr>
                <w:rFonts w:hint="eastAsia" w:ascii="宋体" w:hAnsi="宋体" w:eastAsia="宋体" w:cs="宋体"/>
                <w:color w:val="000000"/>
                <w:kern w:val="0"/>
                <w:sz w:val="24"/>
                <w:szCs w:val="24"/>
                <w:highlight w:val="none"/>
                <w:lang w:val="en-US" w:eastAsia="zh-CN" w:bidi="ar"/>
              </w:rPr>
              <w:t>本项目运营所涉及的</w:t>
            </w:r>
            <w:r>
              <w:rPr>
                <w:rFonts w:hint="eastAsia" w:ascii="宋体" w:hAnsi="宋体" w:cs="宋体"/>
                <w:color w:val="000000"/>
                <w:kern w:val="0"/>
                <w:sz w:val="24"/>
                <w:szCs w:val="24"/>
                <w:highlight w:val="none"/>
                <w:lang w:val="en-US" w:eastAsia="zh-CN" w:bidi="ar"/>
              </w:rPr>
              <w:t>医疗废物</w:t>
            </w:r>
            <w:r>
              <w:rPr>
                <w:rFonts w:hint="eastAsia" w:ascii="宋体" w:hAnsi="宋体" w:eastAsia="宋体" w:cs="宋体"/>
                <w:color w:val="000000"/>
                <w:kern w:val="0"/>
                <w:sz w:val="24"/>
                <w:szCs w:val="24"/>
                <w:highlight w:val="none"/>
                <w:lang w:val="en-US" w:eastAsia="zh-CN" w:bidi="ar"/>
              </w:rPr>
              <w:t>较少，医院在严格遵守</w:t>
            </w:r>
            <w:r>
              <w:rPr>
                <w:rFonts w:ascii="Times New Roman" w:hAnsi="Times New Roman" w:eastAsia="宋体" w:cs="Times New Roman"/>
                <w:color w:val="auto"/>
                <w:szCs w:val="24"/>
                <w:highlight w:val="none"/>
              </w:rPr>
              <w:t>《医疗废物管理条例</w:t>
            </w:r>
            <w:r>
              <w:rPr>
                <w:rFonts w:hint="eastAsia" w:ascii="Times New Roman" w:hAnsi="Times New Roman" w:eastAsia="宋体" w:cs="Times New Roman"/>
                <w:color w:val="auto"/>
                <w:szCs w:val="24"/>
                <w:highlight w:val="none"/>
                <w:lang w:eastAsia="zh-CN"/>
              </w:rPr>
              <w:t>（</w:t>
            </w:r>
            <w:r>
              <w:rPr>
                <w:rFonts w:hint="eastAsia" w:ascii="Times New Roman" w:hAnsi="Times New Roman" w:eastAsia="宋体" w:cs="Times New Roman"/>
                <w:color w:val="auto"/>
                <w:szCs w:val="24"/>
                <w:highlight w:val="none"/>
                <w:lang w:val="en-US" w:eastAsia="zh-CN"/>
              </w:rPr>
              <w:t>2021年版</w:t>
            </w:r>
            <w:r>
              <w:rPr>
                <w:rFonts w:hint="eastAsia" w:ascii="Times New Roman" w:hAnsi="Times New Roman" w:eastAsia="宋体" w:cs="Times New Roman"/>
                <w:color w:val="auto"/>
                <w:szCs w:val="24"/>
                <w:highlight w:val="none"/>
                <w:lang w:eastAsia="zh-CN"/>
              </w:rPr>
              <w:t>）</w:t>
            </w:r>
            <w:r>
              <w:rPr>
                <w:rFonts w:ascii="Times New Roman" w:hAnsi="Times New Roman" w:eastAsia="宋体" w:cs="Times New Roman"/>
                <w:color w:val="auto"/>
                <w:szCs w:val="24"/>
                <w:highlight w:val="none"/>
              </w:rPr>
              <w:t>》</w:t>
            </w:r>
            <w:r>
              <w:rPr>
                <w:rFonts w:hint="eastAsia" w:ascii="宋体" w:hAnsi="宋体" w:eastAsia="宋体" w:cs="宋体"/>
                <w:color w:val="000000"/>
                <w:kern w:val="0"/>
                <w:sz w:val="24"/>
                <w:szCs w:val="24"/>
                <w:highlight w:val="none"/>
                <w:lang w:val="en-US" w:eastAsia="zh-CN" w:bidi="ar"/>
              </w:rPr>
              <w:t>及其他相关法律法规，对使用及</w:t>
            </w:r>
            <w:r>
              <w:rPr>
                <w:rFonts w:hint="eastAsia" w:ascii="宋体" w:hAnsi="宋体" w:cs="宋体"/>
                <w:color w:val="000000"/>
                <w:kern w:val="0"/>
                <w:sz w:val="24"/>
                <w:szCs w:val="24"/>
                <w:highlight w:val="none"/>
                <w:lang w:val="en-US" w:eastAsia="zh-CN" w:bidi="ar"/>
              </w:rPr>
              <w:t>贮存</w:t>
            </w:r>
            <w:r>
              <w:rPr>
                <w:rFonts w:hint="eastAsia" w:ascii="宋体" w:hAnsi="宋体" w:eastAsia="宋体" w:cs="宋体"/>
                <w:color w:val="000000"/>
                <w:kern w:val="0"/>
                <w:sz w:val="24"/>
                <w:szCs w:val="24"/>
                <w:highlight w:val="none"/>
                <w:lang w:val="en-US" w:eastAsia="zh-CN" w:bidi="ar"/>
              </w:rPr>
              <w:t>输送过程中的危险</w:t>
            </w:r>
            <w:r>
              <w:rPr>
                <w:rFonts w:hint="eastAsia" w:ascii="宋体" w:hAnsi="宋体" w:cs="宋体"/>
                <w:color w:val="000000"/>
                <w:kern w:val="0"/>
                <w:sz w:val="24"/>
                <w:szCs w:val="24"/>
                <w:highlight w:val="none"/>
                <w:lang w:val="en-US" w:eastAsia="zh-CN" w:bidi="ar"/>
              </w:rPr>
              <w:t>废物</w:t>
            </w:r>
            <w:r>
              <w:rPr>
                <w:rFonts w:hint="eastAsia" w:ascii="宋体" w:hAnsi="宋体" w:eastAsia="宋体" w:cs="宋体"/>
                <w:color w:val="000000"/>
                <w:kern w:val="0"/>
                <w:sz w:val="24"/>
                <w:szCs w:val="24"/>
                <w:highlight w:val="none"/>
                <w:lang w:val="en-US" w:eastAsia="zh-CN" w:bidi="ar"/>
              </w:rPr>
              <w:t xml:space="preserve">进行严格管理，制定切实可行的事故应急救援措施及预案下，本项目环境风险在可接受的范围内，对周围环境的影响不大。 </w:t>
            </w:r>
          </w:p>
          <w:bookmarkEnd w:id="149"/>
          <w:bookmarkEnd w:id="150"/>
          <w:bookmarkEnd w:id="151"/>
          <w:bookmarkEnd w:id="152"/>
          <w:p w14:paraId="0A350275">
            <w:pPr>
              <w:pStyle w:val="3"/>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165" w:name="_Toc17952"/>
            <w:bookmarkStart w:id="166" w:name="_Toc133251559"/>
            <w:bookmarkStart w:id="167" w:name="_Toc13009"/>
            <w:bookmarkStart w:id="168" w:name="_Toc9202"/>
            <w:bookmarkStart w:id="169" w:name="_Toc9472"/>
            <w:bookmarkStart w:id="170" w:name="_Toc28883"/>
            <w:bookmarkStart w:id="171" w:name="_Toc25377"/>
            <w:bookmarkStart w:id="172" w:name="_Toc18713"/>
            <w:bookmarkStart w:id="173" w:name="_Toc24026"/>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环境监测与管理</w:t>
            </w:r>
            <w:bookmarkEnd w:id="165"/>
            <w:bookmarkEnd w:id="166"/>
            <w:bookmarkEnd w:id="167"/>
            <w:bookmarkEnd w:id="168"/>
            <w:bookmarkEnd w:id="169"/>
            <w:bookmarkEnd w:id="170"/>
            <w:bookmarkEnd w:id="171"/>
            <w:bookmarkEnd w:id="172"/>
            <w:bookmarkEnd w:id="173"/>
          </w:p>
          <w:p w14:paraId="79FE9A42">
            <w:pPr>
              <w:pageBreakBefore w:val="0"/>
              <w:kinsoku/>
              <w:overflowPunct/>
              <w:autoSpaceDE/>
              <w:autoSpaceDN/>
              <w:bidi w:val="0"/>
              <w:adjustRightInd w:val="0"/>
              <w:snapToGrid w:val="0"/>
              <w:spacing w:line="360" w:lineRule="auto"/>
              <w:ind w:firstLine="465"/>
              <w:jc w:val="both"/>
              <w:rPr>
                <w:rFonts w:hint="default" w:ascii="Times New Roman" w:hAnsi="Times New Roman" w:cs="Times New Roman"/>
                <w:bCs/>
                <w:color w:val="auto"/>
                <w:highlight w:val="none"/>
              </w:rPr>
            </w:pPr>
            <w:r>
              <w:rPr>
                <w:rFonts w:hint="eastAsia" w:cs="Times New Roman"/>
                <w:bCs/>
                <w:color w:val="auto"/>
                <w:highlight w:val="none"/>
                <w:lang w:val="en-US" w:eastAsia="zh-CN"/>
              </w:rPr>
              <w:t>建设单位应</w:t>
            </w:r>
            <w:r>
              <w:rPr>
                <w:rFonts w:hint="default" w:ascii="Times New Roman" w:hAnsi="Times New Roman" w:cs="Times New Roman"/>
                <w:bCs/>
                <w:color w:val="auto"/>
                <w:highlight w:val="none"/>
              </w:rPr>
              <w:t>按国家、省、市有关机关的环境保护法律以及</w:t>
            </w:r>
            <w:r>
              <w:rPr>
                <w:rFonts w:hint="eastAsia" w:cs="Times New Roman"/>
                <w:bCs/>
                <w:color w:val="auto"/>
                <w:highlight w:val="none"/>
                <w:lang w:eastAsia="zh-CN"/>
              </w:rPr>
              <w:t>生态环境主管部门</w:t>
            </w:r>
            <w:r>
              <w:rPr>
                <w:rFonts w:hint="default" w:ascii="Times New Roman" w:hAnsi="Times New Roman" w:cs="Times New Roman"/>
                <w:bCs/>
                <w:color w:val="auto"/>
                <w:highlight w:val="none"/>
              </w:rPr>
              <w:t>审批的环境影响报告表落实有关环保责任，主要是加强对</w:t>
            </w:r>
            <w:r>
              <w:rPr>
                <w:rFonts w:hint="eastAsia" w:cs="Times New Roman"/>
                <w:bCs/>
                <w:color w:val="auto"/>
                <w:highlight w:val="none"/>
                <w:lang w:eastAsia="zh-CN"/>
              </w:rPr>
              <w:t>项目</w:t>
            </w:r>
            <w:r>
              <w:rPr>
                <w:rFonts w:hint="default" w:ascii="Times New Roman" w:hAnsi="Times New Roman" w:cs="Times New Roman"/>
                <w:bCs/>
                <w:color w:val="auto"/>
                <w:highlight w:val="none"/>
              </w:rPr>
              <w:t>建设运行期的环境管理，达到环境保护的目的。</w:t>
            </w:r>
          </w:p>
          <w:p w14:paraId="4D589379">
            <w:pPr>
              <w:pStyle w:val="4"/>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174" w:name="_Toc21680"/>
            <w:bookmarkStart w:id="175" w:name="_Toc4784"/>
            <w:bookmarkStart w:id="176" w:name="_Toc29690"/>
            <w:bookmarkStart w:id="177" w:name="_Toc23329"/>
            <w:bookmarkStart w:id="178" w:name="_Toc1718"/>
            <w:bookmarkStart w:id="179" w:name="_Toc6598"/>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.1环境管理目标</w:t>
            </w:r>
            <w:bookmarkEnd w:id="174"/>
            <w:bookmarkEnd w:id="175"/>
            <w:bookmarkEnd w:id="176"/>
            <w:bookmarkEnd w:id="177"/>
            <w:bookmarkEnd w:id="178"/>
            <w:bookmarkEnd w:id="179"/>
          </w:p>
          <w:p w14:paraId="19F933C8">
            <w:pPr>
              <w:pageBreakBefore w:val="0"/>
              <w:kinsoku/>
              <w:overflowPunct/>
              <w:autoSpaceDE/>
              <w:autoSpaceDN/>
              <w:bidi w:val="0"/>
              <w:adjustRightInd w:val="0"/>
              <w:snapToGrid w:val="0"/>
              <w:spacing w:line="360" w:lineRule="auto"/>
              <w:ind w:firstLine="465"/>
              <w:jc w:val="both"/>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通过严格的环境管理，可以有效</w:t>
            </w:r>
            <w:r>
              <w:rPr>
                <w:rFonts w:hint="eastAsia" w:cs="Times New Roman"/>
                <w:bCs/>
                <w:color w:val="auto"/>
                <w:highlight w:val="none"/>
                <w:lang w:val="en-US" w:eastAsia="zh-CN"/>
              </w:rPr>
              <w:t>地</w:t>
            </w:r>
            <w:r>
              <w:rPr>
                <w:rFonts w:hint="default" w:ascii="Times New Roman" w:hAnsi="Times New Roman" w:cs="Times New Roman"/>
                <w:bCs/>
                <w:color w:val="auto"/>
                <w:highlight w:val="none"/>
              </w:rPr>
              <w:t>预防和控制生态破坏和环境污染，使</w:t>
            </w:r>
            <w:r>
              <w:rPr>
                <w:rFonts w:hint="eastAsia" w:cs="Times New Roman"/>
                <w:bCs/>
                <w:color w:val="auto"/>
                <w:highlight w:val="none"/>
                <w:lang w:eastAsia="zh-CN"/>
              </w:rPr>
              <w:t>项目</w:t>
            </w:r>
            <w:r>
              <w:rPr>
                <w:rFonts w:hint="default" w:ascii="Times New Roman" w:hAnsi="Times New Roman" w:cs="Times New Roman"/>
                <w:bCs/>
                <w:color w:val="auto"/>
                <w:highlight w:val="none"/>
              </w:rPr>
              <w:t>建设在</w:t>
            </w:r>
            <w:r>
              <w:rPr>
                <w:rFonts w:hint="eastAsia" w:cs="Times New Roman"/>
                <w:bCs/>
                <w:color w:val="auto"/>
                <w:highlight w:val="none"/>
                <w:lang w:eastAsia="zh-CN"/>
              </w:rPr>
              <w:t>运营期</w:t>
            </w:r>
            <w:r>
              <w:rPr>
                <w:rFonts w:hint="default" w:ascii="Times New Roman" w:hAnsi="Times New Roman" w:cs="Times New Roman"/>
                <w:bCs/>
                <w:color w:val="auto"/>
                <w:highlight w:val="none"/>
              </w:rPr>
              <w:t>对环境造成的不良影响减少到最小程度，使项目建设符合</w:t>
            </w:r>
            <w:r>
              <w:rPr>
                <w:rFonts w:hint="eastAsia" w:cs="Times New Roman"/>
                <w:bCs/>
                <w:color w:val="auto"/>
                <w:highlight w:val="none"/>
                <w:lang w:eastAsia="zh-CN"/>
              </w:rPr>
              <w:t>“</w:t>
            </w:r>
            <w:r>
              <w:rPr>
                <w:rFonts w:hint="default" w:ascii="Times New Roman" w:hAnsi="Times New Roman" w:cs="Times New Roman"/>
                <w:bCs/>
                <w:color w:val="auto"/>
                <w:highlight w:val="none"/>
              </w:rPr>
              <w:t>三同时</w:t>
            </w:r>
            <w:r>
              <w:rPr>
                <w:rFonts w:hint="eastAsia" w:cs="Times New Roman"/>
                <w:bCs/>
                <w:color w:val="auto"/>
                <w:highlight w:val="none"/>
                <w:lang w:eastAsia="zh-CN"/>
              </w:rPr>
              <w:t>”</w:t>
            </w:r>
            <w:r>
              <w:rPr>
                <w:rFonts w:hint="default" w:ascii="Times New Roman" w:hAnsi="Times New Roman" w:cs="Times New Roman"/>
                <w:bCs/>
                <w:color w:val="auto"/>
                <w:highlight w:val="none"/>
              </w:rPr>
              <w:t>方针，努力实现</w:t>
            </w:r>
            <w:r>
              <w:rPr>
                <w:rFonts w:hint="eastAsia" w:cs="Times New Roman"/>
                <w:bCs/>
                <w:color w:val="auto"/>
                <w:highlight w:val="none"/>
                <w:lang w:val="en-US" w:eastAsia="zh-CN"/>
              </w:rPr>
              <w:t>建设项目</w:t>
            </w:r>
            <w:r>
              <w:rPr>
                <w:rFonts w:hint="default" w:ascii="Times New Roman" w:hAnsi="Times New Roman" w:cs="Times New Roman"/>
                <w:bCs/>
                <w:color w:val="auto"/>
                <w:highlight w:val="none"/>
              </w:rPr>
              <w:t>经济效益、社会效益和环境效益的统一。</w:t>
            </w:r>
          </w:p>
          <w:p w14:paraId="6FBE25A3">
            <w:pPr>
              <w:pStyle w:val="4"/>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180" w:name="_Toc31164"/>
            <w:bookmarkStart w:id="181" w:name="_Toc22226"/>
            <w:bookmarkStart w:id="182" w:name="_Toc3130"/>
            <w:bookmarkStart w:id="183" w:name="_Toc17883"/>
            <w:bookmarkStart w:id="184" w:name="_Toc7526"/>
            <w:bookmarkStart w:id="185" w:name="_Toc24122"/>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rPr>
              <w:t>.2环境管理与监测计划</w:t>
            </w:r>
            <w:bookmarkEnd w:id="180"/>
            <w:bookmarkEnd w:id="181"/>
            <w:bookmarkEnd w:id="182"/>
            <w:bookmarkEnd w:id="183"/>
            <w:bookmarkEnd w:id="184"/>
            <w:bookmarkEnd w:id="185"/>
          </w:p>
          <w:p w14:paraId="33D76A08">
            <w:pPr>
              <w:pStyle w:val="4"/>
              <w:pageBreakBefore w:val="0"/>
              <w:numPr>
                <w:ilvl w:val="0"/>
                <w:numId w:val="0"/>
              </w:numPr>
              <w:kinsoku/>
              <w:overflowPunct/>
              <w:autoSpaceDE/>
              <w:autoSpaceDN/>
              <w:bidi w:val="0"/>
              <w:ind w:firstLine="480" w:firstLineChars="200"/>
              <w:jc w:val="both"/>
              <w:rPr>
                <w:rFonts w:hint="default" w:ascii="Times New Roman" w:hAnsi="Times New Roman" w:cs="Times New Roman"/>
                <w:b w:val="0"/>
                <w:color w:val="auto"/>
                <w:szCs w:val="32"/>
                <w:highlight w:val="none"/>
              </w:rPr>
            </w:pPr>
            <w:r>
              <w:rPr>
                <w:rFonts w:hint="default" w:ascii="Times New Roman" w:hAnsi="Times New Roman" w:cs="Times New Roman"/>
                <w:b w:val="0"/>
                <w:color w:val="auto"/>
                <w:szCs w:val="32"/>
                <w:highlight w:val="none"/>
                <w:lang w:eastAsia="zh-CN"/>
              </w:rPr>
              <w:t>（</w:t>
            </w:r>
            <w:r>
              <w:rPr>
                <w:rFonts w:hint="default" w:ascii="Times New Roman" w:hAnsi="Times New Roman" w:cs="Times New Roman"/>
                <w:b w:val="0"/>
                <w:color w:val="auto"/>
                <w:szCs w:val="32"/>
                <w:highlight w:val="none"/>
                <w:lang w:val="en-US" w:eastAsia="zh-CN"/>
              </w:rPr>
              <w:t>1）</w:t>
            </w:r>
            <w:r>
              <w:rPr>
                <w:rFonts w:hint="default" w:ascii="Times New Roman" w:hAnsi="Times New Roman" w:cs="Times New Roman"/>
                <w:b w:val="0"/>
                <w:color w:val="auto"/>
                <w:szCs w:val="32"/>
                <w:highlight w:val="none"/>
              </w:rPr>
              <w:t>环境管理计划</w:t>
            </w:r>
          </w:p>
          <w:p w14:paraId="1729398C">
            <w:pPr>
              <w:pStyle w:val="157"/>
              <w:pageBreakBefore w:val="0"/>
              <w:kinsoku/>
              <w:overflowPunct/>
              <w:autoSpaceDE/>
              <w:autoSpaceDN/>
              <w:bidi w:val="0"/>
              <w:ind w:firstLine="480"/>
              <w:jc w:val="both"/>
              <w:rPr>
                <w:rFonts w:hint="default" w:ascii="Times New Roman" w:hAnsi="Times New Roman" w:cs="Times New Roman"/>
                <w:color w:val="auto"/>
                <w:szCs w:val="24"/>
                <w:highlight w:val="none"/>
              </w:rPr>
            </w:pPr>
            <w:r>
              <w:rPr>
                <w:rFonts w:hint="default" w:ascii="Times New Roman" w:hAnsi="Times New Roman" w:eastAsia="宋体" w:cs="Times New Roman"/>
                <w:color w:val="auto"/>
                <w:szCs w:val="24"/>
                <w:highlight w:val="none"/>
              </w:rPr>
              <w:t>环境管理计划要从项目建设全过程进行，如设计阶段污染防范、施工阶段污染防治、运营后环保设施环境管理、信息反馈和群众监督各方面形成网络管理，使环境管理工作贯穿于</w:t>
            </w:r>
            <w:r>
              <w:rPr>
                <w:rFonts w:hint="eastAsia" w:ascii="Times New Roman" w:hAnsi="Times New Roman" w:eastAsia="宋体" w:cs="Times New Roman"/>
                <w:color w:val="auto"/>
                <w:szCs w:val="24"/>
                <w:highlight w:val="none"/>
                <w:lang w:val="en-US" w:eastAsia="zh-CN"/>
              </w:rPr>
              <w:t>施工和运营</w:t>
            </w:r>
            <w:r>
              <w:rPr>
                <w:rFonts w:hint="default" w:ascii="Times New Roman" w:hAnsi="Times New Roman" w:eastAsia="宋体" w:cs="Times New Roman"/>
                <w:color w:val="auto"/>
                <w:szCs w:val="24"/>
                <w:highlight w:val="none"/>
              </w:rPr>
              <w:t>的全过程，</w:t>
            </w:r>
            <w:r>
              <w:rPr>
                <w:rFonts w:hint="eastAsia" w:ascii="Times New Roman" w:hAnsi="Times New Roman" w:eastAsia="宋体" w:cs="Times New Roman"/>
                <w:color w:val="auto"/>
                <w:szCs w:val="24"/>
                <w:highlight w:val="none"/>
                <w:lang w:eastAsia="zh-CN"/>
              </w:rPr>
              <w:t>项目</w:t>
            </w:r>
            <w:r>
              <w:rPr>
                <w:rFonts w:hint="default" w:ascii="Times New Roman" w:hAnsi="Times New Roman" w:eastAsia="宋体" w:cs="Times New Roman"/>
                <w:color w:val="auto"/>
                <w:szCs w:val="24"/>
                <w:highlight w:val="none"/>
              </w:rPr>
              <w:t>环境管理工作计划件见表4</w:t>
            </w:r>
            <w:r>
              <w:rPr>
                <w:rFonts w:hint="eastAsia" w:ascii="Times New Roman" w:hAnsi="Times New Roman" w:eastAsia="宋体" w:cs="Times New Roman"/>
                <w:color w:val="auto"/>
                <w:szCs w:val="24"/>
                <w:highlight w:val="none"/>
                <w:lang w:val="en-US" w:eastAsia="zh-CN"/>
              </w:rPr>
              <w:t>-11</w:t>
            </w:r>
            <w:r>
              <w:rPr>
                <w:rFonts w:hint="default" w:ascii="Times New Roman" w:hAnsi="Times New Roman" w:eastAsia="宋体" w:cs="Times New Roman"/>
                <w:color w:val="auto"/>
                <w:szCs w:val="24"/>
                <w:highlight w:val="none"/>
              </w:rPr>
              <w:t>。</w:t>
            </w:r>
          </w:p>
          <w:p w14:paraId="3F03F848">
            <w:pPr>
              <w:pStyle w:val="198"/>
              <w:pageBreakBefore w:val="0"/>
              <w:kinsoku/>
              <w:overflowPunct/>
              <w:autoSpaceDE/>
              <w:autoSpaceDN/>
              <w:bidi w:val="0"/>
              <w:spacing w:line="240" w:lineRule="auto"/>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表4-1</w:t>
            </w:r>
            <w:r>
              <w:rPr>
                <w:rFonts w:hint="eastAsia" w:ascii="Times New Roman" w:hAnsi="Times New Roman" w:cs="Times New Roman"/>
                <w:color w:val="auto"/>
                <w:szCs w:val="24"/>
                <w:highlight w:val="none"/>
                <w:lang w:val="en-US" w:eastAsia="zh-CN"/>
              </w:rPr>
              <w:t>1</w:t>
            </w:r>
            <w:r>
              <w:rPr>
                <w:rFonts w:hint="default" w:ascii="Times New Roman" w:hAnsi="Times New Roman" w:cs="Times New Roman"/>
                <w:color w:val="auto"/>
                <w:szCs w:val="24"/>
                <w:highlight w:val="none"/>
              </w:rPr>
              <w:t xml:space="preserve">  环境管理工作计划一览表</w:t>
            </w:r>
          </w:p>
          <w:tbl>
            <w:tblPr>
              <w:tblStyle w:val="50"/>
              <w:tblW w:w="8348" w:type="dxa"/>
              <w:jc w:val="center"/>
              <w:tblLayout w:type="autofit"/>
              <w:tblCellMar>
                <w:top w:w="0" w:type="dxa"/>
                <w:left w:w="108" w:type="dxa"/>
                <w:bottom w:w="0" w:type="dxa"/>
                <w:right w:w="108" w:type="dxa"/>
              </w:tblCellMar>
            </w:tblPr>
            <w:tblGrid>
              <w:gridCol w:w="1624"/>
              <w:gridCol w:w="6724"/>
            </w:tblGrid>
            <w:tr w14:paraId="40A4DD6E">
              <w:tblPrEx>
                <w:tblCellMar>
                  <w:top w:w="0" w:type="dxa"/>
                  <w:left w:w="108" w:type="dxa"/>
                  <w:bottom w:w="0" w:type="dxa"/>
                  <w:right w:w="108" w:type="dxa"/>
                </w:tblCellMar>
              </w:tblPrEx>
              <w:trPr>
                <w:trHeight w:val="268" w:hRule="atLeast"/>
                <w:jc w:val="center"/>
              </w:trPr>
              <w:tc>
                <w:tcPr>
                  <w:tcW w:w="1624" w:type="dxa"/>
                  <w:tcBorders>
                    <w:top w:val="single" w:color="000000" w:sz="12" w:space="0"/>
                    <w:bottom w:val="single" w:color="000000" w:sz="4" w:space="0"/>
                    <w:right w:val="single" w:color="000000" w:sz="4" w:space="0"/>
                  </w:tcBorders>
                </w:tcPr>
                <w:p w14:paraId="6CE971D8">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阶段</w:t>
                  </w:r>
                </w:p>
              </w:tc>
              <w:tc>
                <w:tcPr>
                  <w:tcW w:w="6724" w:type="dxa"/>
                  <w:tcBorders>
                    <w:top w:val="single" w:color="000000" w:sz="12" w:space="0"/>
                    <w:left w:val="single" w:color="000000" w:sz="4" w:space="0"/>
                    <w:bottom w:val="single" w:color="000000" w:sz="4" w:space="0"/>
                  </w:tcBorders>
                </w:tcPr>
                <w:p w14:paraId="60BE1A97">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环境管理工作内容</w:t>
                  </w:r>
                </w:p>
              </w:tc>
            </w:tr>
            <w:tr w14:paraId="77FE88C2">
              <w:tblPrEx>
                <w:tblCellMar>
                  <w:top w:w="0" w:type="dxa"/>
                  <w:left w:w="108" w:type="dxa"/>
                  <w:bottom w:w="0" w:type="dxa"/>
                  <w:right w:w="108" w:type="dxa"/>
                </w:tblCellMar>
              </w:tblPrEx>
              <w:trPr>
                <w:trHeight w:val="1062" w:hRule="atLeast"/>
                <w:jc w:val="center"/>
              </w:trPr>
              <w:tc>
                <w:tcPr>
                  <w:tcW w:w="1624" w:type="dxa"/>
                  <w:tcBorders>
                    <w:top w:val="single" w:color="000000" w:sz="4" w:space="0"/>
                    <w:bottom w:val="single" w:color="000000" w:sz="4" w:space="0"/>
                    <w:right w:val="single" w:color="000000" w:sz="4" w:space="0"/>
                  </w:tcBorders>
                  <w:vAlign w:val="center"/>
                </w:tcPr>
                <w:p w14:paraId="06C5C903">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环境管理总要求</w:t>
                  </w:r>
                </w:p>
              </w:tc>
              <w:tc>
                <w:tcPr>
                  <w:tcW w:w="6724" w:type="dxa"/>
                  <w:tcBorders>
                    <w:top w:val="single" w:color="000000" w:sz="4" w:space="0"/>
                    <w:left w:val="single" w:color="000000" w:sz="4" w:space="0"/>
                    <w:bottom w:val="single" w:color="000000" w:sz="4" w:space="0"/>
                  </w:tcBorders>
                </w:tcPr>
                <w:p w14:paraId="41E5BF2B">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根据国家建设项目环境保护管理规定，认真落实各项环保手续</w:t>
                  </w:r>
                </w:p>
                <w:p w14:paraId="4AE1D4F6">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（1）运营中，定期请当地</w:t>
                  </w:r>
                  <w:r>
                    <w:rPr>
                      <w:rFonts w:hint="eastAsia" w:ascii="Times New Roman" w:hAnsi="Times New Roman" w:eastAsia="宋体" w:cs="Times New Roman"/>
                      <w:color w:val="auto"/>
                      <w:highlight w:val="none"/>
                      <w:lang w:eastAsia="zh-CN"/>
                    </w:rPr>
                    <w:t>生态环境主管部门</w:t>
                  </w:r>
                  <w:r>
                    <w:rPr>
                      <w:rFonts w:hint="default" w:ascii="Times New Roman" w:hAnsi="Times New Roman" w:eastAsia="宋体" w:cs="Times New Roman"/>
                      <w:color w:val="auto"/>
                      <w:highlight w:val="none"/>
                    </w:rPr>
                    <w:t>监督、检查，协助主管部门做好环境管理工作，对不达标装置及时整改。</w:t>
                  </w:r>
                </w:p>
                <w:p w14:paraId="60746485">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（2）配合环境监测站做好监测工作。</w:t>
                  </w:r>
                </w:p>
              </w:tc>
            </w:tr>
            <w:tr w14:paraId="52E20D0D">
              <w:tblPrEx>
                <w:tblCellMar>
                  <w:top w:w="0" w:type="dxa"/>
                  <w:left w:w="108" w:type="dxa"/>
                  <w:bottom w:w="0" w:type="dxa"/>
                  <w:right w:w="108" w:type="dxa"/>
                </w:tblCellMar>
              </w:tblPrEx>
              <w:trPr>
                <w:trHeight w:val="1133" w:hRule="atLeast"/>
                <w:jc w:val="center"/>
              </w:trPr>
              <w:tc>
                <w:tcPr>
                  <w:tcW w:w="1624" w:type="dxa"/>
                  <w:tcBorders>
                    <w:top w:val="single" w:color="000000" w:sz="4" w:space="0"/>
                    <w:bottom w:val="single" w:color="000000" w:sz="4" w:space="0"/>
                    <w:right w:val="single" w:color="000000" w:sz="4" w:space="0"/>
                  </w:tcBorders>
                  <w:vAlign w:val="center"/>
                </w:tcPr>
                <w:p w14:paraId="1C9AAC51">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运营阶段</w:t>
                  </w:r>
                </w:p>
              </w:tc>
              <w:tc>
                <w:tcPr>
                  <w:tcW w:w="6724" w:type="dxa"/>
                  <w:tcBorders>
                    <w:top w:val="single" w:color="000000" w:sz="4" w:space="0"/>
                    <w:left w:val="single" w:color="000000" w:sz="4" w:space="0"/>
                    <w:bottom w:val="single" w:color="000000" w:sz="4" w:space="0"/>
                  </w:tcBorders>
                </w:tcPr>
                <w:p w14:paraId="4FE85F88">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建设单位</w:t>
                  </w:r>
                  <w:r>
                    <w:rPr>
                      <w:rFonts w:hint="default" w:ascii="Times New Roman" w:hAnsi="Times New Roman" w:eastAsia="宋体" w:cs="Times New Roman"/>
                      <w:color w:val="auto"/>
                      <w:highlight w:val="none"/>
                    </w:rPr>
                    <w:t>主动接受</w:t>
                  </w:r>
                  <w:r>
                    <w:rPr>
                      <w:rFonts w:hint="eastAsia" w:ascii="Times New Roman" w:hAnsi="Times New Roman" w:eastAsia="宋体" w:cs="Times New Roman"/>
                      <w:color w:val="auto"/>
                      <w:highlight w:val="none"/>
                      <w:lang w:eastAsia="zh-CN"/>
                    </w:rPr>
                    <w:t>生态环境主管部门</w:t>
                  </w:r>
                  <w:r>
                    <w:rPr>
                      <w:rFonts w:hint="default" w:ascii="Times New Roman" w:hAnsi="Times New Roman" w:eastAsia="宋体" w:cs="Times New Roman"/>
                      <w:color w:val="auto"/>
                      <w:highlight w:val="none"/>
                    </w:rPr>
                    <w:t>监督，备有事故应急措施</w:t>
                  </w:r>
                </w:p>
                <w:p w14:paraId="32F2AB83">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）负责</w:t>
                  </w:r>
                  <w:r>
                    <w:rPr>
                      <w:rFonts w:hint="eastAsia" w:ascii="Times New Roman" w:hAnsi="Times New Roman" w:eastAsia="宋体" w:cs="Times New Roman"/>
                      <w:color w:val="auto"/>
                      <w:highlight w:val="none"/>
                      <w:lang w:val="en-US" w:eastAsia="zh-CN"/>
                    </w:rPr>
                    <w:t>医院</w:t>
                  </w:r>
                  <w:r>
                    <w:rPr>
                      <w:rFonts w:hint="default" w:ascii="Times New Roman" w:hAnsi="Times New Roman" w:eastAsia="宋体" w:cs="Times New Roman"/>
                      <w:color w:val="auto"/>
                      <w:highlight w:val="none"/>
                    </w:rPr>
                    <w:t>内环保管理和维护。</w:t>
                  </w:r>
                </w:p>
                <w:p w14:paraId="75328469">
                  <w:pPr>
                    <w:pStyle w:val="189"/>
                    <w:pageBreakBefore w:val="0"/>
                    <w:kinsoku/>
                    <w:overflowPunct/>
                    <w:autoSpaceDE/>
                    <w:autoSpaceDN/>
                    <w:bidi w:val="0"/>
                    <w:spacing w:line="240" w:lineRule="auto"/>
                    <w:jc w:val="both"/>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）建立环保设施档案</w:t>
                  </w:r>
                  <w:r>
                    <w:rPr>
                      <w:rFonts w:hint="eastAsia" w:ascii="Times New Roman" w:hAnsi="Times New Roman" w:eastAsia="宋体" w:cs="Times New Roman"/>
                      <w:color w:val="auto"/>
                      <w:highlight w:val="none"/>
                      <w:lang w:eastAsia="zh-CN"/>
                    </w:rPr>
                    <w:t>。</w:t>
                  </w:r>
                </w:p>
                <w:p w14:paraId="18B7C13B">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）定期组织污染源和</w:t>
                  </w:r>
                  <w:r>
                    <w:rPr>
                      <w:rFonts w:hint="eastAsia" w:ascii="Times New Roman" w:hAnsi="Times New Roman" w:eastAsia="宋体" w:cs="Times New Roman"/>
                      <w:color w:val="auto"/>
                      <w:highlight w:val="none"/>
                      <w:lang w:val="en-US" w:eastAsia="zh-CN"/>
                    </w:rPr>
                    <w:t>医院</w:t>
                  </w:r>
                  <w:r>
                    <w:rPr>
                      <w:rFonts w:hint="default" w:ascii="Times New Roman" w:hAnsi="Times New Roman" w:eastAsia="宋体" w:cs="Times New Roman"/>
                      <w:color w:val="auto"/>
                      <w:highlight w:val="none"/>
                    </w:rPr>
                    <w:t>内环境监测。</w:t>
                  </w:r>
                </w:p>
              </w:tc>
            </w:tr>
            <w:tr w14:paraId="6845F869">
              <w:tblPrEx>
                <w:tblCellMar>
                  <w:top w:w="0" w:type="dxa"/>
                  <w:left w:w="108" w:type="dxa"/>
                  <w:bottom w:w="0" w:type="dxa"/>
                  <w:right w:w="108" w:type="dxa"/>
                </w:tblCellMar>
              </w:tblPrEx>
              <w:trPr>
                <w:trHeight w:val="806" w:hRule="atLeast"/>
                <w:jc w:val="center"/>
              </w:trPr>
              <w:tc>
                <w:tcPr>
                  <w:tcW w:w="1624" w:type="dxa"/>
                  <w:tcBorders>
                    <w:top w:val="single" w:color="000000" w:sz="4" w:space="0"/>
                    <w:bottom w:val="single" w:color="000000" w:sz="12" w:space="0"/>
                    <w:right w:val="single" w:color="000000" w:sz="4" w:space="0"/>
                  </w:tcBorders>
                </w:tcPr>
                <w:p w14:paraId="6A999E49">
                  <w:pPr>
                    <w:pStyle w:val="189"/>
                    <w:pageBreakBefore w:val="0"/>
                    <w:kinsoku/>
                    <w:overflowPunct/>
                    <w:autoSpaceDE/>
                    <w:autoSpaceDN/>
                    <w:bidi w:val="0"/>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信息反馈和群众监督</w:t>
                  </w:r>
                </w:p>
              </w:tc>
              <w:tc>
                <w:tcPr>
                  <w:tcW w:w="6724" w:type="dxa"/>
                  <w:tcBorders>
                    <w:top w:val="single" w:color="000000" w:sz="4" w:space="0"/>
                    <w:left w:val="single" w:color="000000" w:sz="4" w:space="0"/>
                    <w:bottom w:val="single" w:color="000000" w:sz="12" w:space="0"/>
                  </w:tcBorders>
                </w:tcPr>
                <w:p w14:paraId="0AAF36BF">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反馈监测数据，加强群众监督，改进污染防治工作</w:t>
                  </w:r>
                </w:p>
                <w:p w14:paraId="584829B8">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（1）建立奖惩制度，保证环保设施正常运行。</w:t>
                  </w:r>
                </w:p>
                <w:p w14:paraId="0FF490A6">
                  <w:pPr>
                    <w:pStyle w:val="189"/>
                    <w:pageBreakBefore w:val="0"/>
                    <w:kinsoku/>
                    <w:overflowPunct/>
                    <w:autoSpaceDE/>
                    <w:autoSpaceDN/>
                    <w:bidi w:val="0"/>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（2）归纳整理监测数据，发现异常问题及时与</w:t>
                  </w:r>
                  <w:r>
                    <w:rPr>
                      <w:rFonts w:hint="eastAsia" w:ascii="Times New Roman" w:hAnsi="Times New Roman" w:eastAsia="宋体" w:cs="Times New Roman"/>
                      <w:color w:val="auto"/>
                      <w:highlight w:val="none"/>
                      <w:lang w:eastAsia="zh-CN"/>
                    </w:rPr>
                    <w:t>生态环境主管部门</w:t>
                  </w:r>
                  <w:r>
                    <w:rPr>
                      <w:rFonts w:hint="default" w:ascii="Times New Roman" w:hAnsi="Times New Roman" w:eastAsia="宋体" w:cs="Times New Roman"/>
                      <w:color w:val="auto"/>
                      <w:highlight w:val="none"/>
                    </w:rPr>
                    <w:t>联系汇报。</w:t>
                  </w:r>
                </w:p>
              </w:tc>
            </w:tr>
          </w:tbl>
          <w:p w14:paraId="061640E8">
            <w:pPr>
              <w:pStyle w:val="4"/>
              <w:pageBreakBefore w:val="0"/>
              <w:numPr>
                <w:ilvl w:val="0"/>
                <w:numId w:val="0"/>
              </w:numPr>
              <w:kinsoku/>
              <w:overflowPunct/>
              <w:autoSpaceDE/>
              <w:autoSpaceDN/>
              <w:bidi w:val="0"/>
              <w:ind w:firstLine="480" w:firstLineChars="200"/>
              <w:jc w:val="both"/>
              <w:rPr>
                <w:rFonts w:hint="default" w:ascii="Times New Roman" w:hAnsi="Times New Roman" w:cs="Times New Roman"/>
                <w:b w:val="0"/>
                <w:color w:val="auto"/>
                <w:szCs w:val="32"/>
                <w:highlight w:val="none"/>
              </w:rPr>
            </w:pPr>
            <w:r>
              <w:rPr>
                <w:rFonts w:hint="default" w:ascii="Times New Roman" w:hAnsi="Times New Roman" w:cs="Times New Roman"/>
                <w:b w:val="0"/>
                <w:color w:val="auto"/>
                <w:szCs w:val="32"/>
                <w:highlight w:val="none"/>
                <w:lang w:eastAsia="zh-CN"/>
              </w:rPr>
              <w:t>（</w:t>
            </w:r>
            <w:r>
              <w:rPr>
                <w:rFonts w:hint="default" w:ascii="Times New Roman" w:hAnsi="Times New Roman" w:cs="Times New Roman"/>
                <w:b w:val="0"/>
                <w:color w:val="auto"/>
                <w:szCs w:val="32"/>
                <w:highlight w:val="none"/>
                <w:lang w:val="en-US" w:eastAsia="zh-CN"/>
              </w:rPr>
              <w:t>2）</w:t>
            </w:r>
            <w:r>
              <w:rPr>
                <w:rFonts w:hint="default" w:ascii="Times New Roman" w:hAnsi="Times New Roman" w:cs="Times New Roman"/>
                <w:b w:val="0"/>
                <w:color w:val="auto"/>
                <w:szCs w:val="32"/>
                <w:highlight w:val="none"/>
              </w:rPr>
              <w:t>监测计划</w:t>
            </w:r>
          </w:p>
          <w:p w14:paraId="157AD597">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建设单位</w:t>
            </w:r>
            <w:r>
              <w:rPr>
                <w:rFonts w:hint="default" w:ascii="Times New Roman" w:hAnsi="Times New Roman" w:eastAsia="宋体" w:cs="Times New Roman"/>
                <w:color w:val="auto"/>
                <w:highlight w:val="none"/>
              </w:rPr>
              <w:t>需要定期对废水、噪声</w:t>
            </w:r>
            <w:r>
              <w:rPr>
                <w:rFonts w:hint="eastAsia" w:ascii="Times New Roman" w:hAnsi="Times New Roman" w:eastAsia="宋体" w:cs="Times New Roman"/>
                <w:color w:val="auto"/>
                <w:highlight w:val="none"/>
                <w:lang w:val="en-US" w:eastAsia="zh-CN"/>
              </w:rPr>
              <w:t>进行</w:t>
            </w:r>
            <w:r>
              <w:rPr>
                <w:rFonts w:hint="default" w:ascii="Times New Roman" w:hAnsi="Times New Roman" w:eastAsia="宋体" w:cs="Times New Roman"/>
                <w:color w:val="auto"/>
                <w:highlight w:val="none"/>
              </w:rPr>
              <w:t>监测，受人员和设备等条件的限制，监测项目主要委托有资质的监测单位进行监测。</w:t>
            </w:r>
          </w:p>
          <w:p w14:paraId="79A5668A">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①环境监测方法应参考《环境监测技术规范》规定的方法，当水质监测在人员和设备上受到限制时，可委托有关监测单位进行监测。</w:t>
            </w:r>
          </w:p>
          <w:p w14:paraId="02E71220">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②每次监测都应有完整的记录。监测数据应及时整理、统计、按时向管理部门报告，做好监测资料的归档工作。</w:t>
            </w:r>
          </w:p>
          <w:p w14:paraId="4966CD31">
            <w:pPr>
              <w:pStyle w:val="157"/>
              <w:keepNext w:val="0"/>
              <w:keepLines w:val="0"/>
              <w:pageBreakBefore w:val="0"/>
              <w:widowControl/>
              <w:kinsoku/>
              <w:wordWrap/>
              <w:overflowPunct/>
              <w:topLinePunct w:val="0"/>
              <w:autoSpaceDE/>
              <w:autoSpaceDN/>
              <w:bidi w:val="0"/>
              <w:adjustRightInd/>
              <w:snapToGrid/>
              <w:ind w:firstLine="0" w:firstLineChars="0"/>
              <w:jc w:val="both"/>
              <w:textAlignment w:val="auto"/>
              <w:outlineLvl w:val="1"/>
              <w:rPr>
                <w:rFonts w:hint="default" w:ascii="Times New Roman" w:hAnsi="Times New Roman" w:eastAsia="宋体" w:cs="Times New Roman"/>
                <w:b/>
                <w:bCs w:val="0"/>
                <w:color w:val="auto"/>
                <w:sz w:val="28"/>
                <w:szCs w:val="28"/>
                <w:highlight w:val="none"/>
                <w:lang w:val="en-US" w:eastAsia="zh-CN"/>
              </w:rPr>
            </w:pPr>
            <w:r>
              <w:rPr>
                <w:rFonts w:hint="default" w:ascii="Times New Roman" w:hAnsi="Times New Roman" w:eastAsia="宋体" w:cs="Times New Roman"/>
                <w:b/>
                <w:bCs w:val="0"/>
                <w:color w:val="auto"/>
                <w:sz w:val="28"/>
                <w:szCs w:val="28"/>
                <w:highlight w:val="none"/>
                <w:lang w:val="en-US" w:eastAsia="zh-CN"/>
              </w:rPr>
              <w:t>4.11 污染物排放监测</w:t>
            </w:r>
          </w:p>
          <w:p w14:paraId="73D7C93F">
            <w:pPr>
              <w:pStyle w:val="60"/>
              <w:pageBreakBefore w:val="0"/>
              <w:kinsoku/>
              <w:overflowPunct/>
              <w:autoSpaceDE/>
              <w:autoSpaceDN/>
              <w:bidi w:val="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根据《固定污染源排污许可分类管理名录》（2019年版），</w:t>
            </w:r>
            <w:r>
              <w:rPr>
                <w:rFonts w:hint="eastAsia"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属于登记管理</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无需开展自行监测。</w:t>
            </w:r>
          </w:p>
          <w:p w14:paraId="1593B63B">
            <w:pPr>
              <w:pStyle w:val="3"/>
              <w:pageBreakBefore w:val="0"/>
              <w:numPr>
                <w:ilvl w:val="0"/>
                <w:numId w:val="0"/>
              </w:numPr>
              <w:kinsoku/>
              <w:overflowPunct/>
              <w:autoSpaceDE/>
              <w:autoSpaceDN/>
              <w:bidi w:val="0"/>
              <w:jc w:val="both"/>
              <w:rPr>
                <w:rFonts w:hint="default" w:ascii="Times New Roman" w:hAnsi="Times New Roman" w:cs="Times New Roman"/>
                <w:color w:val="auto"/>
                <w:highlight w:val="none"/>
              </w:rPr>
            </w:pPr>
            <w:bookmarkStart w:id="186" w:name="_Toc16831"/>
            <w:bookmarkStart w:id="187" w:name="_Toc133251561"/>
            <w:bookmarkStart w:id="188" w:name="_Toc20157"/>
            <w:bookmarkStart w:id="189" w:name="_Toc19517"/>
            <w:bookmarkStart w:id="190" w:name="_Toc6573"/>
            <w:bookmarkStart w:id="191" w:name="_Toc21690"/>
            <w:bookmarkStart w:id="192" w:name="_Toc30320"/>
            <w:bookmarkStart w:id="193" w:name="_Toc753"/>
            <w:r>
              <w:rPr>
                <w:rFonts w:hint="default" w:ascii="Times New Roman" w:hAnsi="Times New Roman" w:cs="Times New Roman"/>
                <w:color w:val="auto"/>
                <w:highlight w:val="none"/>
              </w:rPr>
              <w:t>4.</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rPr>
              <w:t>排污口规范化</w:t>
            </w:r>
            <w:bookmarkEnd w:id="186"/>
            <w:bookmarkEnd w:id="187"/>
            <w:bookmarkEnd w:id="188"/>
            <w:bookmarkEnd w:id="189"/>
            <w:bookmarkEnd w:id="190"/>
            <w:bookmarkEnd w:id="191"/>
            <w:bookmarkEnd w:id="192"/>
            <w:bookmarkEnd w:id="193"/>
          </w:p>
          <w:p w14:paraId="57532653">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污水排放口</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图形符号分为提示图形符号和警告图形符号两种，详见表4-1</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p>
          <w:p w14:paraId="6936CB0F">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生活垃圾和危险固废应分类存放，已设置专用的贮存固废设施或堆放场地</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固体废物贮存（处置）场所已在醒目处设置标志牌。</w:t>
            </w:r>
          </w:p>
          <w:p w14:paraId="47766F6B">
            <w:pPr>
              <w:pStyle w:val="157"/>
              <w:pageBreakBefore w:val="0"/>
              <w:kinsoku/>
              <w:overflowPunct/>
              <w:autoSpaceDE/>
              <w:autoSpaceDN/>
              <w:bidi w:val="0"/>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固体废物贮存、处置场图形符号分为提示图形符号和警告图形符号两种，图形符号的设置按《环境保护图形标志</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固体废物贮存（处置）场》（GB15562.2-1995）执行。</w:t>
            </w:r>
          </w:p>
          <w:p w14:paraId="6E28187E">
            <w:pPr>
              <w:pStyle w:val="198"/>
              <w:pageBreakBefore w:val="0"/>
              <w:kinsoku/>
              <w:overflowPunct/>
              <w:autoSpaceDE/>
              <w:autoSpaceDN/>
              <w:bidi w:val="0"/>
              <w:spacing w:line="240" w:lineRule="auto"/>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表4-1</w:t>
            </w:r>
            <w:r>
              <w:rPr>
                <w:rFonts w:hint="eastAsia" w:ascii="Times New Roman" w:hAnsi="Times New Roman" w:cs="Times New Roman"/>
                <w:color w:val="auto"/>
                <w:szCs w:val="24"/>
                <w:highlight w:val="none"/>
                <w:lang w:val="en-US" w:eastAsia="zh-CN"/>
              </w:rPr>
              <w:t>2</w:t>
            </w:r>
            <w:r>
              <w:rPr>
                <w:rFonts w:hint="default" w:ascii="Times New Roman" w:hAnsi="Times New Roman" w:cs="Times New Roman"/>
                <w:color w:val="auto"/>
                <w:szCs w:val="24"/>
                <w:highlight w:val="none"/>
              </w:rPr>
              <w:t xml:space="preserve">  各排放口（源）标志牌设置示意图</w:t>
            </w:r>
          </w:p>
          <w:tbl>
            <w:tblPr>
              <w:tblStyle w:val="50"/>
              <w:tblW w:w="80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52"/>
              <w:gridCol w:w="2204"/>
              <w:gridCol w:w="2237"/>
              <w:gridCol w:w="2230"/>
            </w:tblGrid>
            <w:tr w14:paraId="216A8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52" w:type="dxa"/>
                  <w:tcBorders>
                    <w:top w:val="single" w:color="auto" w:sz="12" w:space="0"/>
                    <w:left w:val="nil"/>
                  </w:tcBorders>
                  <w:vAlign w:val="center"/>
                </w:tcPr>
                <w:p w14:paraId="756C4CCB">
                  <w:pPr>
                    <w:pageBreakBefore w:val="0"/>
                    <w:kinsoku/>
                    <w:overflowPunct/>
                    <w:autoSpaceDE/>
                    <w:autoSpaceDN/>
                    <w:bidi w:val="0"/>
                    <w:jc w:val="center"/>
                    <w:rPr>
                      <w:rFonts w:hint="default" w:ascii="Times New Roman" w:hAnsi="Times New Roman" w:eastAsia="Arial" w:cs="Times New Roman"/>
                      <w:b/>
                      <w:color w:val="auto"/>
                      <w:sz w:val="21"/>
                      <w:szCs w:val="21"/>
                      <w:highlight w:val="none"/>
                    </w:rPr>
                  </w:pPr>
                  <w:r>
                    <w:rPr>
                      <w:rFonts w:hint="default" w:ascii="Times New Roman" w:hAnsi="Times New Roman" w:cs="Times New Roman"/>
                      <w:b/>
                      <w:color w:val="auto"/>
                      <w:sz w:val="21"/>
                      <w:szCs w:val="21"/>
                      <w:highlight w:val="none"/>
                    </w:rPr>
                    <w:t>名称</w:t>
                  </w:r>
                </w:p>
              </w:tc>
              <w:tc>
                <w:tcPr>
                  <w:tcW w:w="2204" w:type="dxa"/>
                  <w:tcBorders>
                    <w:top w:val="single" w:color="auto" w:sz="12" w:space="0"/>
                  </w:tcBorders>
                  <w:vAlign w:val="center"/>
                </w:tcPr>
                <w:p w14:paraId="67C0079D">
                  <w:pPr>
                    <w:pageBreakBefore w:val="0"/>
                    <w:kinsoku/>
                    <w:overflowPunct/>
                    <w:autoSpaceDE/>
                    <w:autoSpaceDN/>
                    <w:bidi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污水排放源</w:t>
                  </w:r>
                </w:p>
              </w:tc>
              <w:tc>
                <w:tcPr>
                  <w:tcW w:w="4467" w:type="dxa"/>
                  <w:gridSpan w:val="2"/>
                  <w:tcBorders>
                    <w:top w:val="single" w:color="auto" w:sz="12" w:space="0"/>
                    <w:right w:val="nil"/>
                  </w:tcBorders>
                  <w:vAlign w:val="center"/>
                </w:tcPr>
                <w:p w14:paraId="3E5A2924">
                  <w:pPr>
                    <w:pageBreakBefore w:val="0"/>
                    <w:kinsoku/>
                    <w:overflowPunct/>
                    <w:autoSpaceDE/>
                    <w:autoSpaceDN/>
                    <w:bidi w:val="0"/>
                    <w:jc w:val="center"/>
                    <w:rPr>
                      <w:rFonts w:hint="default" w:ascii="Times New Roman" w:hAnsi="Times New Roman" w:eastAsia="Arial" w:cs="Times New Roman"/>
                      <w:b/>
                      <w:color w:val="auto"/>
                      <w:sz w:val="21"/>
                      <w:szCs w:val="21"/>
                      <w:highlight w:val="none"/>
                    </w:rPr>
                  </w:pPr>
                  <w:r>
                    <w:rPr>
                      <w:rFonts w:hint="default" w:ascii="Times New Roman" w:hAnsi="Times New Roman" w:cs="Times New Roman"/>
                      <w:b/>
                      <w:color w:val="auto"/>
                      <w:sz w:val="21"/>
                      <w:szCs w:val="21"/>
                      <w:highlight w:val="none"/>
                    </w:rPr>
                    <w:t>固体废物</w:t>
                  </w:r>
                </w:p>
              </w:tc>
            </w:tr>
            <w:tr w14:paraId="376C9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52" w:type="dxa"/>
                  <w:tcBorders>
                    <w:left w:val="nil"/>
                  </w:tcBorders>
                  <w:vAlign w:val="center"/>
                </w:tcPr>
                <w:p w14:paraId="39BB8619">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提示图形符号</w:t>
                  </w:r>
                </w:p>
              </w:tc>
              <w:tc>
                <w:tcPr>
                  <w:tcW w:w="2204" w:type="dxa"/>
                  <w:vAlign w:val="center"/>
                </w:tcPr>
                <w:p w14:paraId="0D58B0DD">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0" distR="0">
                        <wp:extent cx="1122680" cy="1116965"/>
                        <wp:effectExtent l="0" t="0" r="1270" b="6985"/>
                        <wp:docPr id="39" name="图片 27" descr="绿色的标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7" descr="绿色的标志&#10;&#10;描述已自动生成"/>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122680" cy="1116965"/>
                                </a:xfrm>
                                <a:prstGeom prst="rect">
                                  <a:avLst/>
                                </a:prstGeom>
                                <a:noFill/>
                                <a:ln>
                                  <a:noFill/>
                                </a:ln>
                                <a:effectLst/>
                              </pic:spPr>
                            </pic:pic>
                          </a:graphicData>
                        </a:graphic>
                      </wp:inline>
                    </w:drawing>
                  </w:r>
                </w:p>
              </w:tc>
              <w:tc>
                <w:tcPr>
                  <w:tcW w:w="2237" w:type="dxa"/>
                  <w:tcBorders>
                    <w:right w:val="nil"/>
                  </w:tcBorders>
                  <w:vAlign w:val="center"/>
                </w:tcPr>
                <w:p w14:paraId="358750FD">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0" distR="0">
                        <wp:extent cx="1007110" cy="1191895"/>
                        <wp:effectExtent l="0" t="0" r="2540" b="8255"/>
                        <wp:docPr id="40" name="图片 26" descr="图片包含 游戏机, 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6" descr="图片包含 游戏机, 画&#10;&#10;描述已自动生成"/>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007110" cy="1191895"/>
                                </a:xfrm>
                                <a:prstGeom prst="rect">
                                  <a:avLst/>
                                </a:prstGeom>
                                <a:noFill/>
                                <a:ln>
                                  <a:noFill/>
                                </a:ln>
                              </pic:spPr>
                            </pic:pic>
                          </a:graphicData>
                        </a:graphic>
                      </wp:inline>
                    </w:drawing>
                  </w:r>
                </w:p>
              </w:tc>
              <w:tc>
                <w:tcPr>
                  <w:tcW w:w="2230" w:type="dxa"/>
                  <w:tcBorders>
                    <w:right w:val="nil"/>
                  </w:tcBorders>
                  <w:vAlign w:val="center"/>
                </w:tcPr>
                <w:p w14:paraId="42817089">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0" distR="0">
                        <wp:extent cx="1221740" cy="1152525"/>
                        <wp:effectExtent l="0" t="0" r="16510" b="9525"/>
                        <wp:docPr id="3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
                                <pic:cNvPicPr>
                                  <a:picLocks noChangeAspect="1" noChangeArrowheads="1"/>
                                </pic:cNvPicPr>
                              </pic:nvPicPr>
                              <pic:blipFill>
                                <a:blip r:embed="rId30"/>
                                <a:srcRect/>
                                <a:stretch>
                                  <a:fillRect/>
                                </a:stretch>
                              </pic:blipFill>
                              <pic:spPr>
                                <a:xfrm>
                                  <a:off x="0" y="0"/>
                                  <a:ext cx="1221786" cy="1152867"/>
                                </a:xfrm>
                                <a:prstGeom prst="rect">
                                  <a:avLst/>
                                </a:prstGeom>
                                <a:noFill/>
                                <a:ln w="9525">
                                  <a:noFill/>
                                  <a:miter lim="800000"/>
                                  <a:headEnd/>
                                  <a:tailEnd/>
                                </a:ln>
                              </pic:spPr>
                            </pic:pic>
                          </a:graphicData>
                        </a:graphic>
                      </wp:inline>
                    </w:drawing>
                  </w:r>
                </w:p>
              </w:tc>
            </w:tr>
            <w:tr w14:paraId="2A4B8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52" w:type="dxa"/>
                  <w:tcBorders>
                    <w:left w:val="nil"/>
                  </w:tcBorders>
                  <w:vAlign w:val="center"/>
                </w:tcPr>
                <w:p w14:paraId="7725E46D">
                  <w:pPr>
                    <w:jc w:val="center"/>
                    <w:rPr>
                      <w:rFonts w:hint="default" w:ascii="Times New Roman" w:hAnsi="Times New Roman" w:cs="Times New Roman"/>
                      <w:color w:val="auto"/>
                      <w:sz w:val="21"/>
                      <w:szCs w:val="21"/>
                      <w:highlight w:val="none"/>
                    </w:rPr>
                  </w:pPr>
                  <w:r>
                    <w:rPr>
                      <w:rFonts w:hint="eastAsia"/>
                      <w:color w:val="auto"/>
                      <w:sz w:val="21"/>
                      <w:szCs w:val="21"/>
                      <w:highlight w:val="none"/>
                    </w:rPr>
                    <w:t>排放口名称</w:t>
                  </w:r>
                </w:p>
              </w:tc>
              <w:tc>
                <w:tcPr>
                  <w:tcW w:w="2204" w:type="dxa"/>
                  <w:vAlign w:val="center"/>
                </w:tcPr>
                <w:p w14:paraId="093B5E58">
                  <w:pPr>
                    <w:jc w:val="center"/>
                    <w:rPr>
                      <w:rFonts w:hint="default" w:ascii="Times New Roman" w:hAnsi="Times New Roman" w:cs="Times New Roman"/>
                      <w:color w:val="auto"/>
                      <w:sz w:val="21"/>
                      <w:szCs w:val="21"/>
                      <w:highlight w:val="none"/>
                    </w:rPr>
                  </w:pPr>
                  <w:r>
                    <w:rPr>
                      <w:rFonts w:hint="eastAsia"/>
                      <w:color w:val="auto"/>
                      <w:sz w:val="21"/>
                      <w:szCs w:val="21"/>
                      <w:highlight w:val="none"/>
                    </w:rPr>
                    <w:t>污水排放口</w:t>
                  </w:r>
                </w:p>
              </w:tc>
              <w:tc>
                <w:tcPr>
                  <w:tcW w:w="2237" w:type="dxa"/>
                  <w:tcBorders>
                    <w:right w:val="nil"/>
                  </w:tcBorders>
                  <w:vAlign w:val="center"/>
                </w:tcPr>
                <w:p w14:paraId="5FCDABD4">
                  <w:pPr>
                    <w:jc w:val="center"/>
                    <w:rPr>
                      <w:rFonts w:hint="default" w:ascii="Times New Roman" w:hAnsi="Times New Roman" w:cs="Times New Roman"/>
                      <w:color w:val="auto"/>
                      <w:sz w:val="21"/>
                      <w:szCs w:val="21"/>
                      <w:highlight w:val="none"/>
                    </w:rPr>
                  </w:pPr>
                  <w:r>
                    <w:rPr>
                      <w:rFonts w:hint="eastAsia"/>
                      <w:color w:val="auto"/>
                      <w:sz w:val="21"/>
                      <w:szCs w:val="21"/>
                      <w:highlight w:val="none"/>
                    </w:rPr>
                    <w:t>生活垃圾存放处</w:t>
                  </w:r>
                </w:p>
              </w:tc>
              <w:tc>
                <w:tcPr>
                  <w:tcW w:w="2230" w:type="dxa"/>
                  <w:tcBorders>
                    <w:right w:val="nil"/>
                  </w:tcBorders>
                  <w:vAlign w:val="center"/>
                </w:tcPr>
                <w:p w14:paraId="31296F4D">
                  <w:pPr>
                    <w:jc w:val="center"/>
                    <w:rPr>
                      <w:rFonts w:hint="default" w:ascii="Times New Roman" w:hAnsi="Times New Roman" w:cs="Times New Roman"/>
                      <w:color w:val="auto"/>
                      <w:sz w:val="21"/>
                      <w:szCs w:val="21"/>
                      <w:highlight w:val="none"/>
                    </w:rPr>
                  </w:pPr>
                  <w:r>
                    <w:rPr>
                      <w:rFonts w:hint="eastAsia"/>
                      <w:color w:val="auto"/>
                      <w:sz w:val="21"/>
                      <w:szCs w:val="21"/>
                      <w:highlight w:val="none"/>
                    </w:rPr>
                    <w:t>危废间</w:t>
                  </w:r>
                </w:p>
              </w:tc>
            </w:tr>
            <w:tr w14:paraId="4725D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352" w:type="dxa"/>
                  <w:tcBorders>
                    <w:left w:val="nil"/>
                    <w:bottom w:val="single" w:color="auto" w:sz="12" w:space="0"/>
                  </w:tcBorders>
                  <w:vAlign w:val="center"/>
                </w:tcPr>
                <w:p w14:paraId="662DE7E6">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功能</w:t>
                  </w:r>
                </w:p>
              </w:tc>
              <w:tc>
                <w:tcPr>
                  <w:tcW w:w="2204" w:type="dxa"/>
                  <w:tcBorders>
                    <w:bottom w:val="single" w:color="auto" w:sz="12" w:space="0"/>
                  </w:tcBorders>
                  <w:vAlign w:val="center"/>
                </w:tcPr>
                <w:p w14:paraId="23DB5BDC">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表示向水体排放污水</w:t>
                  </w:r>
                </w:p>
              </w:tc>
              <w:tc>
                <w:tcPr>
                  <w:tcW w:w="2237" w:type="dxa"/>
                  <w:tcBorders>
                    <w:bottom w:val="single" w:color="auto" w:sz="12" w:space="0"/>
                    <w:right w:val="nil"/>
                  </w:tcBorders>
                  <w:vAlign w:val="center"/>
                </w:tcPr>
                <w:p w14:paraId="1DC2A5B6">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表示一般生活垃圾暂存处</w:t>
                  </w:r>
                </w:p>
              </w:tc>
              <w:tc>
                <w:tcPr>
                  <w:tcW w:w="2230" w:type="dxa"/>
                  <w:tcBorders>
                    <w:bottom w:val="single" w:color="auto" w:sz="12" w:space="0"/>
                    <w:right w:val="nil"/>
                  </w:tcBorders>
                  <w:vAlign w:val="center"/>
                </w:tcPr>
                <w:p w14:paraId="79429505">
                  <w:pPr>
                    <w:pageBreakBefore w:val="0"/>
                    <w:kinsoku/>
                    <w:overflowPunct/>
                    <w:autoSpaceDE/>
                    <w:autoSpaceDN/>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表示危险废物暂存处</w:t>
                  </w:r>
                </w:p>
              </w:tc>
            </w:tr>
          </w:tbl>
          <w:p w14:paraId="015C484A">
            <w:pPr>
              <w:pStyle w:val="3"/>
              <w:pageBreakBefore w:val="0"/>
              <w:numPr>
                <w:ilvl w:val="0"/>
                <w:numId w:val="0"/>
              </w:numPr>
              <w:kinsoku/>
              <w:overflowPunct/>
              <w:autoSpaceDE/>
              <w:autoSpaceDN/>
              <w:bidi w:val="0"/>
              <w:ind w:left="1"/>
              <w:jc w:val="both"/>
              <w:rPr>
                <w:rFonts w:hint="default" w:ascii="Times New Roman" w:hAnsi="Times New Roman" w:cs="Times New Roman"/>
                <w:color w:val="auto"/>
                <w:highlight w:val="none"/>
              </w:rPr>
            </w:pPr>
            <w:bookmarkStart w:id="194" w:name="_Toc21598"/>
            <w:bookmarkStart w:id="195" w:name="_Toc885"/>
            <w:bookmarkStart w:id="196" w:name="_Toc133251563"/>
            <w:bookmarkStart w:id="197" w:name="_Toc9805"/>
            <w:r>
              <w:rPr>
                <w:rFonts w:hint="default" w:ascii="Times New Roman" w:hAnsi="Times New Roman" w:cs="Times New Roman"/>
                <w:color w:val="auto"/>
                <w:highlight w:val="none"/>
              </w:rPr>
              <w:t>4.1</w:t>
            </w:r>
            <w:bookmarkStart w:id="198" w:name="_Toc26226"/>
            <w:bookmarkStart w:id="199" w:name="_Toc31757"/>
            <w:r>
              <w:rPr>
                <w:rFonts w:hint="eastAsia" w:cs="Times New Roman"/>
                <w:color w:val="auto"/>
                <w:highlight w:val="none"/>
                <w:lang w:val="en-US" w:eastAsia="zh-CN"/>
              </w:rPr>
              <w:t>3</w:t>
            </w:r>
            <w:r>
              <w:rPr>
                <w:rFonts w:hint="default" w:ascii="Times New Roman" w:hAnsi="Times New Roman" w:cs="Times New Roman"/>
                <w:color w:val="auto"/>
                <w:highlight w:val="none"/>
              </w:rPr>
              <w:t>污染物排放清单</w:t>
            </w:r>
            <w:bookmarkEnd w:id="194"/>
            <w:bookmarkEnd w:id="195"/>
            <w:bookmarkEnd w:id="196"/>
            <w:bookmarkEnd w:id="197"/>
            <w:bookmarkEnd w:id="198"/>
            <w:bookmarkEnd w:id="199"/>
          </w:p>
          <w:p w14:paraId="269DFBC7">
            <w:pPr>
              <w:pStyle w:val="157"/>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污染物排放清单包括项目拟采取的环境保护措施及主要运行参数、排放的污染物种类、排放浓度和总量、排放口信息、执行的环境标准以及环境监测等，详见表4-1</w:t>
            </w: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p>
          <w:p w14:paraId="1EC75CBF">
            <w:pPr>
              <w:pStyle w:val="157"/>
              <w:keepNext w:val="0"/>
              <w:keepLines w:val="0"/>
              <w:pageBreakBefore w:val="0"/>
              <w:widowControl/>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建设单位</w:t>
            </w:r>
            <w:r>
              <w:rPr>
                <w:rFonts w:hint="default" w:ascii="Times New Roman" w:hAnsi="Times New Roman" w:eastAsia="宋体" w:cs="Times New Roman"/>
                <w:color w:val="auto"/>
                <w:highlight w:val="none"/>
              </w:rPr>
              <w:t>应向社会公开污染物排放清单内容和环境监测内容及其监测数据</w:t>
            </w:r>
            <w:r>
              <w:rPr>
                <w:rFonts w:hint="default" w:ascii="Times New Roman" w:hAnsi="Times New Roman" w:cs="Times New Roman"/>
                <w:color w:val="auto"/>
                <w:highlight w:val="none"/>
              </w:rPr>
              <w:t>。</w:t>
            </w:r>
          </w:p>
        </w:tc>
      </w:tr>
    </w:tbl>
    <w:p w14:paraId="18E09FA8">
      <w:pPr>
        <w:adjustRightInd w:val="0"/>
        <w:snapToGrid w:val="0"/>
        <w:rPr>
          <w:bCs/>
          <w:color w:val="auto"/>
          <w:szCs w:val="21"/>
          <w:highlight w:val="none"/>
        </w:rPr>
        <w:sectPr>
          <w:footerReference r:id="rId8" w:type="default"/>
          <w:pgSz w:w="11906" w:h="16838"/>
          <w:pgMar w:top="1418" w:right="1418" w:bottom="1418" w:left="1418" w:header="851" w:footer="992" w:gutter="0"/>
          <w:pgBorders>
            <w:top w:val="none" w:sz="0" w:space="0"/>
            <w:left w:val="none" w:sz="0" w:space="0"/>
            <w:bottom w:val="none" w:sz="0" w:space="0"/>
            <w:right w:val="none" w:sz="0" w:space="0"/>
          </w:pgBorders>
          <w:pgNumType w:fmt="decimal"/>
          <w:cols w:space="720" w:num="1"/>
          <w:docGrid w:linePitch="367" w:charSpace="915"/>
        </w:sectPr>
      </w:pP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20"/>
      </w:tblGrid>
      <w:tr w14:paraId="670BB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1" w:hRule="atLeast"/>
        </w:trPr>
        <w:tc>
          <w:tcPr>
            <w:tcW w:w="14220" w:type="dxa"/>
          </w:tcPr>
          <w:p w14:paraId="5B7A9F9E">
            <w:pPr>
              <w:jc w:val="center"/>
              <w:rPr>
                <w:rFonts w:ascii="Times New Roman" w:hAnsi="Times New Roman" w:cs="Times New Roman"/>
                <w:b/>
                <w:bCs/>
                <w:color w:val="auto"/>
                <w:szCs w:val="24"/>
                <w:highlight w:val="none"/>
              </w:rPr>
            </w:pPr>
            <w:bookmarkStart w:id="200" w:name="_Hlk54167917"/>
            <w:r>
              <w:rPr>
                <w:rFonts w:ascii="Times New Roman" w:hAnsi="Times New Roman" w:cs="Times New Roman"/>
                <w:b/>
                <w:bCs/>
                <w:color w:val="auto"/>
                <w:szCs w:val="24"/>
                <w:highlight w:val="none"/>
              </w:rPr>
              <w:t>表4-1</w:t>
            </w:r>
            <w:r>
              <w:rPr>
                <w:rFonts w:hint="eastAsia" w:cs="Times New Roman"/>
                <w:b/>
                <w:bCs/>
                <w:color w:val="auto"/>
                <w:szCs w:val="24"/>
                <w:highlight w:val="none"/>
                <w:lang w:val="en-US" w:eastAsia="zh-CN"/>
              </w:rPr>
              <w:t xml:space="preserve">3  </w:t>
            </w:r>
            <w:r>
              <w:rPr>
                <w:rFonts w:hint="eastAsia" w:cs="Times New Roman"/>
                <w:b/>
                <w:bCs/>
                <w:color w:val="auto"/>
                <w:szCs w:val="24"/>
                <w:highlight w:val="none"/>
                <w:lang w:eastAsia="zh-CN"/>
              </w:rPr>
              <w:t>项目</w:t>
            </w:r>
            <w:r>
              <w:rPr>
                <w:rFonts w:ascii="Times New Roman" w:hAnsi="Times New Roman" w:cs="Times New Roman"/>
                <w:b/>
                <w:bCs/>
                <w:color w:val="auto"/>
                <w:szCs w:val="24"/>
                <w:highlight w:val="none"/>
              </w:rPr>
              <w:t>污染物排放清单一览表</w:t>
            </w:r>
          </w:p>
          <w:tbl>
            <w:tblPr>
              <w:tblStyle w:val="50"/>
              <w:tblW w:w="14002"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44"/>
              <w:gridCol w:w="1356"/>
              <w:gridCol w:w="2026"/>
              <w:gridCol w:w="1869"/>
              <w:gridCol w:w="1316"/>
              <w:gridCol w:w="1424"/>
              <w:gridCol w:w="1436"/>
              <w:gridCol w:w="1317"/>
              <w:gridCol w:w="2414"/>
            </w:tblGrid>
            <w:tr w14:paraId="627062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844" w:type="dxa"/>
                  <w:tcBorders>
                    <w:tl2br w:val="nil"/>
                    <w:tr2bl w:val="nil"/>
                  </w:tcBorders>
                  <w:vAlign w:val="center"/>
                </w:tcPr>
                <w:p w14:paraId="4EB98568">
                  <w:pPr>
                    <w:pStyle w:val="189"/>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类别</w:t>
                  </w:r>
                </w:p>
              </w:tc>
              <w:tc>
                <w:tcPr>
                  <w:tcW w:w="1356" w:type="dxa"/>
                  <w:tcBorders>
                    <w:tl2br w:val="nil"/>
                    <w:tr2bl w:val="nil"/>
                  </w:tcBorders>
                  <w:vAlign w:val="center"/>
                </w:tcPr>
                <w:p w14:paraId="45A2D69D">
                  <w:pPr>
                    <w:pStyle w:val="189"/>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环境问题</w:t>
                  </w:r>
                </w:p>
              </w:tc>
              <w:tc>
                <w:tcPr>
                  <w:tcW w:w="2026" w:type="dxa"/>
                  <w:tcBorders>
                    <w:tl2br w:val="nil"/>
                    <w:tr2bl w:val="nil"/>
                  </w:tcBorders>
                  <w:vAlign w:val="center"/>
                </w:tcPr>
                <w:p w14:paraId="23DD008D">
                  <w:pPr>
                    <w:pStyle w:val="189"/>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环保措施</w:t>
                  </w:r>
                </w:p>
              </w:tc>
              <w:tc>
                <w:tcPr>
                  <w:tcW w:w="1869" w:type="dxa"/>
                  <w:tcBorders>
                    <w:tl2br w:val="nil"/>
                    <w:tr2bl w:val="nil"/>
                  </w:tcBorders>
                  <w:vAlign w:val="center"/>
                </w:tcPr>
                <w:p w14:paraId="33959FAD">
                  <w:pPr>
                    <w:pStyle w:val="189"/>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主要运行参数或目的</w:t>
                  </w:r>
                </w:p>
              </w:tc>
              <w:tc>
                <w:tcPr>
                  <w:tcW w:w="1316" w:type="dxa"/>
                  <w:tcBorders>
                    <w:tl2br w:val="nil"/>
                    <w:tr2bl w:val="nil"/>
                  </w:tcBorders>
                  <w:vAlign w:val="center"/>
                </w:tcPr>
                <w:p w14:paraId="2D54665E">
                  <w:pPr>
                    <w:pStyle w:val="189"/>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污染物种类</w:t>
                  </w:r>
                </w:p>
              </w:tc>
              <w:tc>
                <w:tcPr>
                  <w:tcW w:w="1424" w:type="dxa"/>
                  <w:tcBorders>
                    <w:tl2br w:val="nil"/>
                    <w:tr2bl w:val="nil"/>
                  </w:tcBorders>
                  <w:vAlign w:val="center"/>
                </w:tcPr>
                <w:p w14:paraId="7158AC00">
                  <w:pPr>
                    <w:pStyle w:val="189"/>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排放浓度</w:t>
                  </w:r>
                </w:p>
              </w:tc>
              <w:tc>
                <w:tcPr>
                  <w:tcW w:w="1436" w:type="dxa"/>
                  <w:tcBorders>
                    <w:tl2br w:val="nil"/>
                    <w:tr2bl w:val="nil"/>
                  </w:tcBorders>
                  <w:vAlign w:val="center"/>
                </w:tcPr>
                <w:p w14:paraId="07643913">
                  <w:pPr>
                    <w:pStyle w:val="189"/>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排放总量</w:t>
                  </w:r>
                </w:p>
              </w:tc>
              <w:tc>
                <w:tcPr>
                  <w:tcW w:w="1317" w:type="dxa"/>
                  <w:tcBorders>
                    <w:tl2br w:val="nil"/>
                    <w:tr2bl w:val="nil"/>
                  </w:tcBorders>
                  <w:vAlign w:val="center"/>
                </w:tcPr>
                <w:p w14:paraId="2A5A4FFA">
                  <w:pPr>
                    <w:pStyle w:val="189"/>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排放标准</w:t>
                  </w:r>
                </w:p>
              </w:tc>
              <w:tc>
                <w:tcPr>
                  <w:tcW w:w="2414" w:type="dxa"/>
                  <w:tcBorders>
                    <w:tl2br w:val="nil"/>
                    <w:tr2bl w:val="nil"/>
                  </w:tcBorders>
                  <w:vAlign w:val="center"/>
                </w:tcPr>
                <w:p w14:paraId="5A6479FB">
                  <w:pPr>
                    <w:pStyle w:val="189"/>
                    <w:spacing w:line="240" w:lineRule="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备注</w:t>
                  </w:r>
                </w:p>
              </w:tc>
            </w:tr>
            <w:tr w14:paraId="2523DF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restart"/>
                  <w:tcBorders>
                    <w:tl2br w:val="nil"/>
                    <w:tr2bl w:val="nil"/>
                  </w:tcBorders>
                  <w:vAlign w:val="center"/>
                </w:tcPr>
                <w:p w14:paraId="202BD9C1">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w:t>
                  </w:r>
                </w:p>
              </w:tc>
              <w:tc>
                <w:tcPr>
                  <w:tcW w:w="1356" w:type="dxa"/>
                  <w:vMerge w:val="restart"/>
                  <w:tcBorders>
                    <w:tl2br w:val="nil"/>
                    <w:tr2bl w:val="nil"/>
                  </w:tcBorders>
                  <w:vAlign w:val="center"/>
                </w:tcPr>
                <w:p w14:paraId="4915FB5C">
                  <w:pPr>
                    <w:pStyle w:val="189"/>
                    <w:spacing w:line="240" w:lineRule="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异味</w:t>
                  </w:r>
                </w:p>
              </w:tc>
              <w:tc>
                <w:tcPr>
                  <w:tcW w:w="2026" w:type="dxa"/>
                  <w:vMerge w:val="restart"/>
                  <w:tcBorders>
                    <w:tl2br w:val="nil"/>
                    <w:tr2bl w:val="nil"/>
                  </w:tcBorders>
                  <w:vAlign w:val="center"/>
                </w:tcPr>
                <w:p w14:paraId="2BD452EB">
                  <w:pPr>
                    <w:pStyle w:val="189"/>
                    <w:spacing w:line="240" w:lineRule="auto"/>
                    <w:rPr>
                      <w:rFonts w:hint="default"/>
                      <w:highlight w:val="none"/>
                      <w:lang w:val="en-US" w:eastAsia="zh-CN"/>
                    </w:rPr>
                  </w:pPr>
                  <w:r>
                    <w:rPr>
                      <w:rFonts w:hint="default" w:ascii="Times New Roman" w:hAnsi="Times New Roman" w:eastAsia="宋体" w:cs="Times New Roman"/>
                      <w:color w:val="auto"/>
                      <w:highlight w:val="none"/>
                    </w:rPr>
                    <w:t>除臭剂</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新风系统</w:t>
                  </w:r>
                </w:p>
              </w:tc>
              <w:tc>
                <w:tcPr>
                  <w:tcW w:w="1869" w:type="dxa"/>
                  <w:vMerge w:val="restart"/>
                  <w:tcBorders>
                    <w:tl2br w:val="nil"/>
                    <w:tr2bl w:val="nil"/>
                  </w:tcBorders>
                  <w:vAlign w:val="center"/>
                </w:tcPr>
                <w:p w14:paraId="72D97E04">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达标排放</w:t>
                  </w:r>
                </w:p>
              </w:tc>
              <w:tc>
                <w:tcPr>
                  <w:tcW w:w="1316" w:type="dxa"/>
                  <w:tcBorders>
                    <w:tl2br w:val="nil"/>
                    <w:tr2bl w:val="nil"/>
                  </w:tcBorders>
                  <w:vAlign w:val="center"/>
                </w:tcPr>
                <w:p w14:paraId="284CBE90">
                  <w:pPr>
                    <w:autoSpaceDE w:val="0"/>
                    <w:autoSpaceDN w:val="0"/>
                    <w:adjustRightIn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3</w:t>
                  </w:r>
                </w:p>
              </w:tc>
              <w:tc>
                <w:tcPr>
                  <w:tcW w:w="1424" w:type="dxa"/>
                  <w:tcBorders>
                    <w:tl2br w:val="nil"/>
                    <w:tr2bl w:val="nil"/>
                  </w:tcBorders>
                  <w:vAlign w:val="center"/>
                </w:tcPr>
                <w:p w14:paraId="6775D7A8">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c>
                <w:tcPr>
                  <w:tcW w:w="1436" w:type="dxa"/>
                  <w:tcBorders>
                    <w:tl2br w:val="nil"/>
                    <w:tr2bl w:val="nil"/>
                  </w:tcBorders>
                  <w:vAlign w:val="center"/>
                </w:tcPr>
                <w:p w14:paraId="4D5064D2">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c>
                <w:tcPr>
                  <w:tcW w:w="1317" w:type="dxa"/>
                  <w:tcBorders>
                    <w:tl2br w:val="nil"/>
                    <w:tr2bl w:val="nil"/>
                  </w:tcBorders>
                  <w:vAlign w:val="center"/>
                </w:tcPr>
                <w:p w14:paraId="607FB7FF">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1.5mg/m</w:t>
                  </w:r>
                  <w:r>
                    <w:rPr>
                      <w:rFonts w:hint="default" w:ascii="Times New Roman" w:hAnsi="Times New Roman" w:eastAsia="宋体" w:cs="Times New Roman"/>
                      <w:color w:val="000000" w:themeColor="text1"/>
                      <w:highlight w:val="none"/>
                      <w:vertAlign w:val="superscript"/>
                      <w14:textFill>
                        <w14:solidFill>
                          <w14:schemeClr w14:val="tx1"/>
                        </w14:solidFill>
                      </w14:textFill>
                    </w:rPr>
                    <w:t>3</w:t>
                  </w:r>
                </w:p>
              </w:tc>
              <w:tc>
                <w:tcPr>
                  <w:tcW w:w="2414" w:type="dxa"/>
                  <w:vMerge w:val="restart"/>
                  <w:tcBorders>
                    <w:tl2br w:val="nil"/>
                    <w:tr2bl w:val="nil"/>
                  </w:tcBorders>
                  <w:vAlign w:val="center"/>
                </w:tcPr>
                <w:p w14:paraId="1546A4A6">
                  <w:pPr>
                    <w:pStyle w:val="189"/>
                    <w:spacing w:line="240" w:lineRule="auto"/>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szCs w:val="24"/>
                      <w:highlight w:val="none"/>
                    </w:rPr>
                    <w:t>《恶臭污染物排放标准》（GB14554-93）表1</w:t>
                  </w:r>
                  <w:r>
                    <w:rPr>
                      <w:rFonts w:hint="eastAsia" w:ascii="Times New Roman" w:hAnsi="Times New Roman" w:eastAsia="宋体" w:cs="Times New Roman"/>
                      <w:color w:val="auto"/>
                      <w:szCs w:val="24"/>
                      <w:highlight w:val="none"/>
                      <w:lang w:val="en-US" w:eastAsia="zh-CN"/>
                    </w:rPr>
                    <w:t>中</w:t>
                  </w:r>
                  <w:r>
                    <w:rPr>
                      <w:rFonts w:hint="eastAsia" w:ascii="Times New Roman" w:hAnsi="Times New Roman" w:eastAsia="宋体" w:cs="Times New Roman"/>
                      <w:color w:val="auto"/>
                      <w:szCs w:val="24"/>
                      <w:highlight w:val="none"/>
                      <w:lang w:eastAsia="zh-CN"/>
                    </w:rPr>
                    <w:t>二级标准</w:t>
                  </w:r>
                </w:p>
              </w:tc>
            </w:tr>
            <w:tr w14:paraId="619B76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14:paraId="399F6D0F">
                  <w:pPr>
                    <w:pStyle w:val="189"/>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14:paraId="383613FB">
                  <w:pPr>
                    <w:pStyle w:val="189"/>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14:paraId="11BB9CE0">
                  <w:pPr>
                    <w:pStyle w:val="189"/>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14:paraId="3A392D54">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16" w:type="dxa"/>
                  <w:tcBorders>
                    <w:tl2br w:val="nil"/>
                    <w:tr2bl w:val="nil"/>
                  </w:tcBorders>
                  <w:vAlign w:val="center"/>
                </w:tcPr>
                <w:p w14:paraId="4E54E28D">
                  <w:pPr>
                    <w:autoSpaceDE w:val="0"/>
                    <w:autoSpaceDN w:val="0"/>
                    <w:adjustRightIn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S</w:t>
                  </w:r>
                </w:p>
              </w:tc>
              <w:tc>
                <w:tcPr>
                  <w:tcW w:w="1424" w:type="dxa"/>
                  <w:tcBorders>
                    <w:tl2br w:val="nil"/>
                    <w:tr2bl w:val="nil"/>
                  </w:tcBorders>
                  <w:vAlign w:val="center"/>
                </w:tcPr>
                <w:p w14:paraId="043A3977">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c>
                <w:tcPr>
                  <w:tcW w:w="1436" w:type="dxa"/>
                  <w:tcBorders>
                    <w:tl2br w:val="nil"/>
                    <w:tr2bl w:val="nil"/>
                  </w:tcBorders>
                  <w:vAlign w:val="center"/>
                </w:tcPr>
                <w:p w14:paraId="57B423A9">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c>
                <w:tcPr>
                  <w:tcW w:w="1317" w:type="dxa"/>
                  <w:tcBorders>
                    <w:tl2br w:val="nil"/>
                    <w:tr2bl w:val="nil"/>
                  </w:tcBorders>
                  <w:vAlign w:val="center"/>
                </w:tcPr>
                <w:p w14:paraId="34999857">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0.06mg/m</w:t>
                  </w:r>
                  <w:r>
                    <w:rPr>
                      <w:rFonts w:hint="default" w:ascii="Times New Roman" w:hAnsi="Times New Roman" w:eastAsia="宋体" w:cs="Times New Roman"/>
                      <w:color w:val="000000" w:themeColor="text1"/>
                      <w:highlight w:val="none"/>
                      <w:vertAlign w:val="superscript"/>
                      <w14:textFill>
                        <w14:solidFill>
                          <w14:schemeClr w14:val="tx1"/>
                        </w14:solidFill>
                      </w14:textFill>
                    </w:rPr>
                    <w:t>3</w:t>
                  </w:r>
                </w:p>
              </w:tc>
              <w:tc>
                <w:tcPr>
                  <w:tcW w:w="2414" w:type="dxa"/>
                  <w:vMerge w:val="continue"/>
                  <w:tcBorders>
                    <w:tl2br w:val="nil"/>
                    <w:tr2bl w:val="nil"/>
                  </w:tcBorders>
                  <w:vAlign w:val="center"/>
                </w:tcPr>
                <w:p w14:paraId="7FF8FD0B">
                  <w:pPr>
                    <w:pStyle w:val="189"/>
                    <w:spacing w:line="240" w:lineRule="auto"/>
                    <w:rPr>
                      <w:rFonts w:hint="default" w:ascii="Times New Roman" w:hAnsi="Times New Roman" w:eastAsia="宋体" w:cs="Times New Roman"/>
                      <w:color w:val="auto"/>
                      <w:highlight w:val="none"/>
                    </w:rPr>
                  </w:pPr>
                </w:p>
              </w:tc>
            </w:tr>
            <w:tr w14:paraId="541486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9" w:hRule="atLeast"/>
                <w:jc w:val="center"/>
              </w:trPr>
              <w:tc>
                <w:tcPr>
                  <w:tcW w:w="844" w:type="dxa"/>
                  <w:vMerge w:val="continue"/>
                  <w:tcBorders>
                    <w:tl2br w:val="nil"/>
                    <w:tr2bl w:val="nil"/>
                  </w:tcBorders>
                  <w:vAlign w:val="center"/>
                </w:tcPr>
                <w:p w14:paraId="5894231D">
                  <w:pPr>
                    <w:pStyle w:val="189"/>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14:paraId="046E37CF">
                  <w:pPr>
                    <w:pStyle w:val="189"/>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14:paraId="0145634C">
                  <w:pPr>
                    <w:pStyle w:val="189"/>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14:paraId="7F3FA8C4">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16" w:type="dxa"/>
                  <w:tcBorders>
                    <w:tl2br w:val="nil"/>
                    <w:tr2bl w:val="nil"/>
                  </w:tcBorders>
                  <w:vAlign w:val="center"/>
                </w:tcPr>
                <w:p w14:paraId="16F88F97">
                  <w:pPr>
                    <w:autoSpaceDE w:val="0"/>
                    <w:autoSpaceDN w:val="0"/>
                    <w:adjustRightIn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臭气浓度</w:t>
                  </w:r>
                </w:p>
              </w:tc>
              <w:tc>
                <w:tcPr>
                  <w:tcW w:w="1424" w:type="dxa"/>
                  <w:tcBorders>
                    <w:tl2br w:val="nil"/>
                    <w:tr2bl w:val="nil"/>
                  </w:tcBorders>
                  <w:vAlign w:val="center"/>
                </w:tcPr>
                <w:p w14:paraId="7752FEB6">
                  <w:pPr>
                    <w:pStyle w:val="189"/>
                    <w:spacing w:line="240" w:lineRule="auto"/>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c>
                <w:tcPr>
                  <w:tcW w:w="1436" w:type="dxa"/>
                  <w:tcBorders>
                    <w:tl2br w:val="nil"/>
                    <w:tr2bl w:val="nil"/>
                  </w:tcBorders>
                  <w:vAlign w:val="center"/>
                </w:tcPr>
                <w:p w14:paraId="661EEFA5">
                  <w:pPr>
                    <w:pStyle w:val="189"/>
                    <w:spacing w:line="240" w:lineRule="auto"/>
                    <w:rPr>
                      <w:rFonts w:hint="default" w:ascii="Times New Roman" w:hAnsi="Times New Roman" w:eastAsia="宋体" w:cs="Times New Roman"/>
                      <w:i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c>
                <w:tcPr>
                  <w:tcW w:w="1317" w:type="dxa"/>
                  <w:tcBorders>
                    <w:tl2br w:val="nil"/>
                    <w:tr2bl w:val="nil"/>
                  </w:tcBorders>
                  <w:vAlign w:val="center"/>
                </w:tcPr>
                <w:p w14:paraId="4F5B52F2">
                  <w:pPr>
                    <w:pStyle w:val="189"/>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20（无量纲）</w:t>
                  </w:r>
                </w:p>
              </w:tc>
              <w:tc>
                <w:tcPr>
                  <w:tcW w:w="2414" w:type="dxa"/>
                  <w:vMerge w:val="continue"/>
                  <w:tcBorders>
                    <w:tl2br w:val="nil"/>
                    <w:tr2bl w:val="nil"/>
                  </w:tcBorders>
                  <w:vAlign w:val="center"/>
                </w:tcPr>
                <w:p w14:paraId="01459C00">
                  <w:pPr>
                    <w:pStyle w:val="189"/>
                    <w:spacing w:line="240" w:lineRule="auto"/>
                    <w:rPr>
                      <w:rFonts w:hint="default" w:ascii="Times New Roman" w:hAnsi="Times New Roman" w:eastAsia="宋体" w:cs="Times New Roman"/>
                      <w:color w:val="auto"/>
                      <w:highlight w:val="none"/>
                    </w:rPr>
                  </w:pPr>
                </w:p>
              </w:tc>
            </w:tr>
            <w:tr w14:paraId="36DDC4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restart"/>
                  <w:tcBorders>
                    <w:tl2br w:val="nil"/>
                    <w:tr2bl w:val="nil"/>
                  </w:tcBorders>
                  <w:vAlign w:val="center"/>
                </w:tcPr>
                <w:p w14:paraId="1F47A64D">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1356" w:type="dxa"/>
                  <w:vMerge w:val="restart"/>
                  <w:tcBorders>
                    <w:tl2br w:val="nil"/>
                    <w:tr2bl w:val="nil"/>
                  </w:tcBorders>
                  <w:vAlign w:val="center"/>
                </w:tcPr>
                <w:p w14:paraId="3FD03A5F">
                  <w:pPr>
                    <w:pStyle w:val="189"/>
                    <w:spacing w:line="240" w:lineRule="auto"/>
                    <w:rPr>
                      <w:rFonts w:hint="eastAsia" w:ascii="Times New Roman" w:hAnsi="Times New Roman" w:eastAsia="宋体" w:cs="Times New Roman"/>
                      <w:color w:val="auto"/>
                      <w:highlight w:val="none"/>
                      <w:lang w:val="en-US" w:eastAsia="zh-CN"/>
                    </w:rPr>
                  </w:pPr>
                  <w:r>
                    <w:rPr>
                      <w:rFonts w:hint="eastAsia" w:ascii="宋体" w:hAnsi="宋体" w:eastAsia="宋体" w:cs="宋体"/>
                      <w:color w:val="auto"/>
                      <w:highlight w:val="none"/>
                      <w:lang w:val="en-US" w:eastAsia="zh-CN"/>
                    </w:rPr>
                    <w:t>①</w:t>
                  </w:r>
                  <w:r>
                    <w:rPr>
                      <w:rFonts w:hint="eastAsia" w:ascii="Times New Roman" w:hAnsi="Times New Roman" w:eastAsia="宋体" w:cs="Times New Roman"/>
                      <w:color w:val="auto"/>
                      <w:highlight w:val="none"/>
                      <w:lang w:val="en-US" w:eastAsia="zh-CN"/>
                    </w:rPr>
                    <w:t>宠物医疗废水</w:t>
                  </w:r>
                </w:p>
                <w:p w14:paraId="213D0B0E">
                  <w:pPr>
                    <w:pStyle w:val="189"/>
                    <w:spacing w:line="240" w:lineRule="auto"/>
                    <w:rPr>
                      <w:rFonts w:hint="eastAsia" w:ascii="Times New Roman" w:hAnsi="Times New Roman" w:eastAsia="宋体" w:cs="Times New Roman"/>
                      <w:color w:val="auto"/>
                      <w:highlight w:val="none"/>
                      <w:lang w:val="en-US" w:eastAsia="zh-CN"/>
                    </w:rPr>
                  </w:pPr>
                  <w:r>
                    <w:rPr>
                      <w:rFonts w:hint="eastAsia" w:ascii="宋体" w:hAnsi="宋体" w:eastAsia="宋体" w:cs="宋体"/>
                      <w:color w:val="auto"/>
                      <w:highlight w:val="none"/>
                      <w:lang w:val="en-US" w:eastAsia="zh-CN"/>
                    </w:rPr>
                    <w:t>②</w:t>
                  </w:r>
                  <w:r>
                    <w:rPr>
                      <w:rFonts w:hint="eastAsia" w:ascii="Times New Roman" w:hAnsi="Times New Roman" w:eastAsia="宋体" w:cs="Times New Roman"/>
                      <w:color w:val="auto"/>
                      <w:highlight w:val="none"/>
                      <w:lang w:val="en-US" w:eastAsia="zh-CN"/>
                    </w:rPr>
                    <w:t>宠物美容废水</w:t>
                  </w:r>
                </w:p>
                <w:p w14:paraId="4AC171D1">
                  <w:pPr>
                    <w:pStyle w:val="189"/>
                    <w:spacing w:line="240" w:lineRule="auto"/>
                    <w:rPr>
                      <w:rFonts w:hint="default" w:ascii="Times New Roman" w:hAnsi="Times New Roman" w:eastAsia="宋体" w:cs="Times New Roman"/>
                      <w:color w:val="auto"/>
                      <w:highlight w:val="none"/>
                      <w:lang w:val="en-US" w:eastAsia="zh-CN"/>
                    </w:rPr>
                  </w:pPr>
                  <w:r>
                    <w:rPr>
                      <w:rFonts w:hint="eastAsia" w:ascii="宋体" w:hAnsi="宋体" w:eastAsia="宋体" w:cs="宋体"/>
                      <w:color w:val="auto"/>
                      <w:highlight w:val="none"/>
                      <w:lang w:val="en-US" w:eastAsia="zh-CN"/>
                    </w:rPr>
                    <w:t>③</w:t>
                  </w:r>
                  <w:r>
                    <w:rPr>
                      <w:rFonts w:hint="eastAsia" w:ascii="Times New Roman" w:hAnsi="Times New Roman" w:eastAsia="宋体" w:cs="Times New Roman"/>
                      <w:color w:val="auto"/>
                      <w:highlight w:val="none"/>
                      <w:lang w:val="en-US" w:eastAsia="zh-CN"/>
                    </w:rPr>
                    <w:t>第二、三道检验设备清洗废水</w:t>
                  </w:r>
                </w:p>
              </w:tc>
              <w:tc>
                <w:tcPr>
                  <w:tcW w:w="2026" w:type="dxa"/>
                  <w:vMerge w:val="restart"/>
                  <w:tcBorders>
                    <w:tl2br w:val="nil"/>
                    <w:tr2bl w:val="nil"/>
                  </w:tcBorders>
                  <w:vAlign w:val="center"/>
                </w:tcPr>
                <w:p w14:paraId="4D6449DC">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消毒设备、</w:t>
                  </w:r>
                  <w:r>
                    <w:rPr>
                      <w:rFonts w:hint="eastAsia" w:ascii="Times New Roman" w:hAnsi="Times New Roman" w:eastAsia="宋体" w:cs="Times New Roman"/>
                      <w:color w:val="auto"/>
                      <w:highlight w:val="none"/>
                      <w:lang w:val="en-US" w:eastAsia="zh-CN"/>
                    </w:rPr>
                    <w:t>化粪池</w:t>
                  </w:r>
                </w:p>
              </w:tc>
              <w:tc>
                <w:tcPr>
                  <w:tcW w:w="1869" w:type="dxa"/>
                  <w:vMerge w:val="restart"/>
                  <w:tcBorders>
                    <w:tl2br w:val="nil"/>
                    <w:tr2bl w:val="nil"/>
                  </w:tcBorders>
                  <w:vAlign w:val="center"/>
                </w:tcPr>
                <w:p w14:paraId="12A70E4F">
                  <w:pPr>
                    <w:pStyle w:val="189"/>
                    <w:spacing w:line="240" w:lineRule="auto"/>
                    <w:rPr>
                      <w:rFonts w:hint="default" w:ascii="Times New Roman" w:hAnsi="Times New Roman" w:eastAsia="宋体" w:cs="Times New Roman"/>
                      <w:color w:val="000000" w:themeColor="text1"/>
                      <w:highlight w:val="none"/>
                      <w:lang w:val="en-US"/>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消毒设备消毒</w:t>
                  </w:r>
                  <w:r>
                    <w:rPr>
                      <w:rFonts w:hint="default" w:ascii="Times New Roman" w:hAnsi="Times New Roman" w:eastAsia="宋体" w:cs="Times New Roman"/>
                      <w:color w:val="000000" w:themeColor="text1"/>
                      <w:highlight w:val="none"/>
                      <w14:textFill>
                        <w14:solidFill>
                          <w14:schemeClr w14:val="tx1"/>
                        </w14:solidFill>
                      </w14:textFill>
                    </w:rPr>
                    <w:t>后</w:t>
                  </w:r>
                  <w:r>
                    <w:rPr>
                      <w:rFonts w:hint="eastAsia" w:ascii="Times New Roman" w:hAnsi="Times New Roman" w:eastAsia="宋体" w:cs="Times New Roman"/>
                      <w:color w:val="000000" w:themeColor="text1"/>
                      <w:highlight w:val="none"/>
                      <w:lang w:val="en-US" w:eastAsia="zh-CN"/>
                      <w14:textFill>
                        <w14:solidFill>
                          <w14:schemeClr w14:val="tx1"/>
                        </w14:solidFill>
                      </w14:textFill>
                    </w:rPr>
                    <w:t>排放</w:t>
                  </w:r>
                  <w:r>
                    <w:rPr>
                      <w:rFonts w:hint="default" w:ascii="Times New Roman" w:hAnsi="Times New Roman" w:eastAsia="宋体" w:cs="Times New Roman"/>
                      <w:color w:val="000000" w:themeColor="text1"/>
                      <w:highlight w:val="none"/>
                      <w14:textFill>
                        <w14:solidFill>
                          <w14:schemeClr w14:val="tx1"/>
                        </w14:solidFill>
                      </w14:textFill>
                    </w:rPr>
                    <w:t>化粪池</w:t>
                  </w:r>
                  <w:r>
                    <w:rPr>
                      <w:rFonts w:hint="eastAsia" w:ascii="Times New Roman" w:hAnsi="Times New Roman" w:eastAsia="宋体" w:cs="Times New Roman"/>
                      <w:color w:val="000000" w:themeColor="text1"/>
                      <w:highlight w:val="none"/>
                      <w:lang w:val="en-US" w:eastAsia="zh-CN"/>
                      <w14:textFill>
                        <w14:solidFill>
                          <w14:schemeClr w14:val="tx1"/>
                        </w14:solidFill>
                      </w14:textFill>
                    </w:rPr>
                    <w:t>经市政污水管网纳入洋里污水处理厂</w:t>
                  </w:r>
                </w:p>
              </w:tc>
              <w:tc>
                <w:tcPr>
                  <w:tcW w:w="1316" w:type="dxa"/>
                  <w:tcBorders>
                    <w:tl2br w:val="nil"/>
                    <w:tr2bl w:val="nil"/>
                  </w:tcBorders>
                  <w:vAlign w:val="center"/>
                </w:tcPr>
                <w:p w14:paraId="07498C9D">
                  <w:pPr>
                    <w:widowControl/>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pH</w:t>
                  </w:r>
                </w:p>
              </w:tc>
              <w:tc>
                <w:tcPr>
                  <w:tcW w:w="1424" w:type="dxa"/>
                  <w:tcBorders>
                    <w:tl2br w:val="nil"/>
                    <w:tr2bl w:val="nil"/>
                  </w:tcBorders>
                  <w:vAlign w:val="center"/>
                </w:tcPr>
                <w:p w14:paraId="26B24626">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c>
                <w:tcPr>
                  <w:tcW w:w="1436" w:type="dxa"/>
                  <w:tcBorders>
                    <w:tl2br w:val="nil"/>
                    <w:tr2bl w:val="nil"/>
                  </w:tcBorders>
                  <w:vAlign w:val="center"/>
                </w:tcPr>
                <w:p w14:paraId="64DB9A7C">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c>
                <w:tcPr>
                  <w:tcW w:w="1317" w:type="dxa"/>
                  <w:tcBorders>
                    <w:tl2br w:val="nil"/>
                    <w:tr2bl w:val="nil"/>
                  </w:tcBorders>
                  <w:vAlign w:val="center"/>
                </w:tcPr>
                <w:p w14:paraId="0F1FADC2">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6-9</w:t>
                  </w:r>
                </w:p>
              </w:tc>
              <w:tc>
                <w:tcPr>
                  <w:tcW w:w="2414" w:type="dxa"/>
                  <w:vMerge w:val="restart"/>
                  <w:tcBorders>
                    <w:tl2br w:val="nil"/>
                    <w:tr2bl w:val="nil"/>
                  </w:tcBorders>
                  <w:vAlign w:val="center"/>
                </w:tcPr>
                <w:p w14:paraId="246E27BF">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《污水综合排放标准》（GB8978-1996）表4中三级标准（氨氮排放标准参考《污水排入城镇下水道水质标准》（GB/T31962-2015）B等级标准限值）</w:t>
                  </w:r>
                </w:p>
              </w:tc>
            </w:tr>
            <w:tr w14:paraId="2C004C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14:paraId="693512AD">
                  <w:pPr>
                    <w:pStyle w:val="189"/>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14:paraId="0096D94D">
                  <w:pPr>
                    <w:pStyle w:val="189"/>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14:paraId="11F82D54">
                  <w:pPr>
                    <w:pStyle w:val="189"/>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14:paraId="64302424">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16" w:type="dxa"/>
                  <w:tcBorders>
                    <w:tl2br w:val="nil"/>
                    <w:tr2bl w:val="nil"/>
                  </w:tcBorders>
                  <w:vAlign w:val="center"/>
                </w:tcPr>
                <w:p w14:paraId="1265A3DE">
                  <w:pPr>
                    <w:widowControl/>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COD</w:t>
                  </w:r>
                  <w:r>
                    <w:rPr>
                      <w:rFonts w:hint="eastAsia"/>
                      <w:color w:val="000000" w:themeColor="text1"/>
                      <w:sz w:val="21"/>
                      <w:szCs w:val="21"/>
                      <w:highlight w:val="none"/>
                      <w:vertAlign w:val="subscript"/>
                      <w:lang w:val="en-US" w:eastAsia="zh-CN"/>
                      <w14:textFill>
                        <w14:solidFill>
                          <w14:schemeClr w14:val="tx1"/>
                        </w14:solidFill>
                      </w14:textFill>
                    </w:rPr>
                    <w:t>Cr</w:t>
                  </w:r>
                </w:p>
              </w:tc>
              <w:tc>
                <w:tcPr>
                  <w:tcW w:w="1424" w:type="dxa"/>
                  <w:tcBorders>
                    <w:tl2br w:val="nil"/>
                    <w:tr2bl w:val="nil"/>
                  </w:tcBorders>
                  <w:vAlign w:val="center"/>
                </w:tcPr>
                <w:p w14:paraId="19D30D15">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250</w:t>
                  </w:r>
                  <w:r>
                    <w:rPr>
                      <w:rFonts w:hint="default" w:ascii="Times New Roman" w:hAnsi="Times New Roman" w:eastAsia="宋体" w:cs="Times New Roman"/>
                      <w:color w:val="000000" w:themeColor="text1"/>
                      <w:highlight w:val="none"/>
                      <w14:textFill>
                        <w14:solidFill>
                          <w14:schemeClr w14:val="tx1"/>
                        </w14:solidFill>
                      </w14:textFill>
                    </w:rPr>
                    <w:t>mg/L</w:t>
                  </w:r>
                </w:p>
              </w:tc>
              <w:tc>
                <w:tcPr>
                  <w:tcW w:w="1436" w:type="dxa"/>
                  <w:tcBorders>
                    <w:tl2br w:val="nil"/>
                    <w:tr2bl w:val="nil"/>
                  </w:tcBorders>
                  <w:vAlign w:val="center"/>
                </w:tcPr>
                <w:p w14:paraId="58DC336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05408</w:t>
                  </w:r>
                  <w:r>
                    <w:rPr>
                      <w:rFonts w:hint="default" w:ascii="Times New Roman" w:hAnsi="Times New Roman" w:eastAsia="宋体" w:cs="Times New Roman"/>
                      <w:color w:val="000000" w:themeColor="text1"/>
                      <w:sz w:val="21"/>
                      <w:szCs w:val="21"/>
                      <w:highlight w:val="none"/>
                      <w14:textFill>
                        <w14:solidFill>
                          <w14:schemeClr w14:val="tx1"/>
                        </w14:solidFill>
                      </w14:textFill>
                    </w:rPr>
                    <w:t>t/a</w:t>
                  </w:r>
                </w:p>
              </w:tc>
              <w:tc>
                <w:tcPr>
                  <w:tcW w:w="1317" w:type="dxa"/>
                  <w:tcBorders>
                    <w:tl2br w:val="nil"/>
                    <w:tr2bl w:val="nil"/>
                  </w:tcBorders>
                  <w:vAlign w:val="center"/>
                </w:tcPr>
                <w:p w14:paraId="1A080C70">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250</w:t>
                  </w:r>
                  <w:r>
                    <w:rPr>
                      <w:rFonts w:hint="default" w:ascii="Times New Roman" w:hAnsi="Times New Roman" w:eastAsia="宋体" w:cs="Times New Roman"/>
                      <w:color w:val="000000" w:themeColor="text1"/>
                      <w:highlight w:val="none"/>
                      <w14:textFill>
                        <w14:solidFill>
                          <w14:schemeClr w14:val="tx1"/>
                        </w14:solidFill>
                      </w14:textFill>
                    </w:rPr>
                    <w:t>mg/L</w:t>
                  </w:r>
                </w:p>
              </w:tc>
              <w:tc>
                <w:tcPr>
                  <w:tcW w:w="2414" w:type="dxa"/>
                  <w:vMerge w:val="continue"/>
                  <w:tcBorders>
                    <w:tl2br w:val="nil"/>
                    <w:tr2bl w:val="nil"/>
                  </w:tcBorders>
                  <w:vAlign w:val="center"/>
                </w:tcPr>
                <w:p w14:paraId="3841ABD5">
                  <w:pPr>
                    <w:pStyle w:val="189"/>
                    <w:spacing w:line="240" w:lineRule="auto"/>
                    <w:rPr>
                      <w:rFonts w:hint="default" w:ascii="Times New Roman" w:hAnsi="Times New Roman" w:eastAsia="宋体" w:cs="Times New Roman"/>
                      <w:color w:val="auto"/>
                      <w:highlight w:val="none"/>
                    </w:rPr>
                  </w:pPr>
                </w:p>
              </w:tc>
            </w:tr>
            <w:tr w14:paraId="396532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844" w:type="dxa"/>
                  <w:vMerge w:val="continue"/>
                  <w:tcBorders>
                    <w:tl2br w:val="nil"/>
                    <w:tr2bl w:val="nil"/>
                  </w:tcBorders>
                  <w:vAlign w:val="center"/>
                </w:tcPr>
                <w:p w14:paraId="046A5E18">
                  <w:pPr>
                    <w:pStyle w:val="189"/>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14:paraId="24F96096">
                  <w:pPr>
                    <w:pStyle w:val="189"/>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14:paraId="5864A6A3">
                  <w:pPr>
                    <w:pStyle w:val="189"/>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14:paraId="5978FFB4">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16" w:type="dxa"/>
                  <w:tcBorders>
                    <w:tl2br w:val="nil"/>
                    <w:tr2bl w:val="nil"/>
                  </w:tcBorders>
                  <w:vAlign w:val="center"/>
                </w:tcPr>
                <w:p w14:paraId="35610F1D">
                  <w:pPr>
                    <w:widowControl/>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BOD</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5</w:t>
                  </w:r>
                </w:p>
              </w:tc>
              <w:tc>
                <w:tcPr>
                  <w:tcW w:w="1424" w:type="dxa"/>
                  <w:tcBorders>
                    <w:tl2br w:val="nil"/>
                    <w:tr2bl w:val="nil"/>
                  </w:tcBorders>
                  <w:vAlign w:val="center"/>
                </w:tcPr>
                <w:p w14:paraId="6D8029C5">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100</w:t>
                  </w:r>
                  <w:r>
                    <w:rPr>
                      <w:rFonts w:hint="default" w:ascii="Times New Roman" w:hAnsi="Times New Roman" w:eastAsia="宋体" w:cs="Times New Roman"/>
                      <w:color w:val="000000" w:themeColor="text1"/>
                      <w:highlight w:val="none"/>
                      <w14:textFill>
                        <w14:solidFill>
                          <w14:schemeClr w14:val="tx1"/>
                        </w14:solidFill>
                      </w14:textFill>
                    </w:rPr>
                    <w:t>mg/L</w:t>
                  </w:r>
                </w:p>
              </w:tc>
              <w:tc>
                <w:tcPr>
                  <w:tcW w:w="1436" w:type="dxa"/>
                  <w:tcBorders>
                    <w:tl2br w:val="nil"/>
                    <w:tr2bl w:val="nil"/>
                  </w:tcBorders>
                  <w:vAlign w:val="center"/>
                </w:tcPr>
                <w:p w14:paraId="00F70818">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0.01947</w:t>
                  </w:r>
                  <w:r>
                    <w:rPr>
                      <w:rFonts w:hint="default" w:ascii="Times New Roman" w:hAnsi="Times New Roman" w:eastAsia="宋体" w:cs="Times New Roman"/>
                      <w:color w:val="000000" w:themeColor="text1"/>
                      <w:sz w:val="21"/>
                      <w:szCs w:val="21"/>
                      <w:highlight w:val="none"/>
                      <w14:textFill>
                        <w14:solidFill>
                          <w14:schemeClr w14:val="tx1"/>
                        </w14:solidFill>
                      </w14:textFill>
                    </w:rPr>
                    <w:t>t/a</w:t>
                  </w:r>
                </w:p>
              </w:tc>
              <w:tc>
                <w:tcPr>
                  <w:tcW w:w="1317" w:type="dxa"/>
                  <w:tcBorders>
                    <w:tl2br w:val="nil"/>
                    <w:tr2bl w:val="nil"/>
                  </w:tcBorders>
                  <w:vAlign w:val="center"/>
                </w:tcPr>
                <w:p w14:paraId="725B724B">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100</w:t>
                  </w:r>
                  <w:r>
                    <w:rPr>
                      <w:rFonts w:hint="default" w:ascii="Times New Roman" w:hAnsi="Times New Roman" w:eastAsia="宋体" w:cs="Times New Roman"/>
                      <w:color w:val="000000" w:themeColor="text1"/>
                      <w:highlight w:val="none"/>
                      <w14:textFill>
                        <w14:solidFill>
                          <w14:schemeClr w14:val="tx1"/>
                        </w14:solidFill>
                      </w14:textFill>
                    </w:rPr>
                    <w:t>mg/L</w:t>
                  </w:r>
                </w:p>
              </w:tc>
              <w:tc>
                <w:tcPr>
                  <w:tcW w:w="2414" w:type="dxa"/>
                  <w:vMerge w:val="continue"/>
                  <w:tcBorders>
                    <w:tl2br w:val="nil"/>
                    <w:tr2bl w:val="nil"/>
                  </w:tcBorders>
                  <w:vAlign w:val="center"/>
                </w:tcPr>
                <w:p w14:paraId="3C6818B2">
                  <w:pPr>
                    <w:pStyle w:val="189"/>
                    <w:spacing w:line="240" w:lineRule="auto"/>
                    <w:rPr>
                      <w:rFonts w:hint="default" w:ascii="Times New Roman" w:hAnsi="Times New Roman" w:eastAsia="宋体" w:cs="Times New Roman"/>
                      <w:color w:val="auto"/>
                      <w:highlight w:val="none"/>
                    </w:rPr>
                  </w:pPr>
                </w:p>
              </w:tc>
            </w:tr>
            <w:tr w14:paraId="591729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14:paraId="13A763B0">
                  <w:pPr>
                    <w:pStyle w:val="189"/>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14:paraId="03293132">
                  <w:pPr>
                    <w:pStyle w:val="189"/>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14:paraId="00BF538A">
                  <w:pPr>
                    <w:pStyle w:val="189"/>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14:paraId="3A0B913E">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16" w:type="dxa"/>
                  <w:tcBorders>
                    <w:tl2br w:val="nil"/>
                    <w:tr2bl w:val="nil"/>
                  </w:tcBorders>
                  <w:vAlign w:val="center"/>
                </w:tcPr>
                <w:p w14:paraId="6298B2D7">
                  <w:pPr>
                    <w:widowControl/>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SS</w:t>
                  </w:r>
                </w:p>
              </w:tc>
              <w:tc>
                <w:tcPr>
                  <w:tcW w:w="1424" w:type="dxa"/>
                  <w:tcBorders>
                    <w:tl2br w:val="nil"/>
                    <w:tr2bl w:val="nil"/>
                  </w:tcBorders>
                  <w:vAlign w:val="center"/>
                </w:tcPr>
                <w:p w14:paraId="16EBC713">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80</w:t>
                  </w:r>
                  <w:r>
                    <w:rPr>
                      <w:rFonts w:hint="default" w:ascii="Times New Roman" w:hAnsi="Times New Roman" w:eastAsia="宋体" w:cs="Times New Roman"/>
                      <w:color w:val="000000" w:themeColor="text1"/>
                      <w:highlight w:val="none"/>
                      <w14:textFill>
                        <w14:solidFill>
                          <w14:schemeClr w14:val="tx1"/>
                        </w14:solidFill>
                      </w14:textFill>
                    </w:rPr>
                    <w:t>mg/L</w:t>
                  </w:r>
                </w:p>
              </w:tc>
              <w:tc>
                <w:tcPr>
                  <w:tcW w:w="1436" w:type="dxa"/>
                  <w:tcBorders>
                    <w:tl2br w:val="nil"/>
                    <w:tr2bl w:val="nil"/>
                  </w:tcBorders>
                  <w:vAlign w:val="center"/>
                </w:tcPr>
                <w:p w14:paraId="577613B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0.01731</w:t>
                  </w:r>
                  <w:r>
                    <w:rPr>
                      <w:rFonts w:hint="default" w:ascii="Times New Roman" w:hAnsi="Times New Roman" w:eastAsia="宋体" w:cs="Times New Roman"/>
                      <w:color w:val="000000" w:themeColor="text1"/>
                      <w:sz w:val="21"/>
                      <w:szCs w:val="21"/>
                      <w:highlight w:val="none"/>
                      <w14:textFill>
                        <w14:solidFill>
                          <w14:schemeClr w14:val="tx1"/>
                        </w14:solidFill>
                      </w14:textFill>
                    </w:rPr>
                    <w:t>t/a</w:t>
                  </w:r>
                </w:p>
              </w:tc>
              <w:tc>
                <w:tcPr>
                  <w:tcW w:w="1317" w:type="dxa"/>
                  <w:tcBorders>
                    <w:tl2br w:val="nil"/>
                    <w:tr2bl w:val="nil"/>
                  </w:tcBorders>
                  <w:vAlign w:val="center"/>
                </w:tcPr>
                <w:p w14:paraId="470E4AC5">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80</w:t>
                  </w:r>
                  <w:r>
                    <w:rPr>
                      <w:rFonts w:hint="default" w:ascii="Times New Roman" w:hAnsi="Times New Roman" w:eastAsia="宋体" w:cs="Times New Roman"/>
                      <w:color w:val="000000" w:themeColor="text1"/>
                      <w:highlight w:val="none"/>
                      <w14:textFill>
                        <w14:solidFill>
                          <w14:schemeClr w14:val="tx1"/>
                        </w14:solidFill>
                      </w14:textFill>
                    </w:rPr>
                    <w:t>mg/L</w:t>
                  </w:r>
                </w:p>
              </w:tc>
              <w:tc>
                <w:tcPr>
                  <w:tcW w:w="2414" w:type="dxa"/>
                  <w:vMerge w:val="continue"/>
                  <w:tcBorders>
                    <w:tl2br w:val="nil"/>
                    <w:tr2bl w:val="nil"/>
                  </w:tcBorders>
                  <w:vAlign w:val="center"/>
                </w:tcPr>
                <w:p w14:paraId="763E5EB3">
                  <w:pPr>
                    <w:pStyle w:val="189"/>
                    <w:spacing w:line="240" w:lineRule="auto"/>
                    <w:rPr>
                      <w:rFonts w:hint="default" w:ascii="Times New Roman" w:hAnsi="Times New Roman" w:eastAsia="宋体" w:cs="Times New Roman"/>
                      <w:color w:val="auto"/>
                      <w:highlight w:val="none"/>
                    </w:rPr>
                  </w:pPr>
                </w:p>
              </w:tc>
            </w:tr>
            <w:tr w14:paraId="152A23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14:paraId="6414C000">
                  <w:pPr>
                    <w:pStyle w:val="189"/>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14:paraId="71BC9313">
                  <w:pPr>
                    <w:pStyle w:val="189"/>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14:paraId="44ABCFA1">
                  <w:pPr>
                    <w:pStyle w:val="189"/>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14:paraId="57B8C493">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16" w:type="dxa"/>
                  <w:tcBorders>
                    <w:tl2br w:val="nil"/>
                    <w:tr2bl w:val="nil"/>
                  </w:tcBorders>
                  <w:vAlign w:val="center"/>
                </w:tcPr>
                <w:p w14:paraId="5B6BF996">
                  <w:pPr>
                    <w:widowControl/>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粪大肠菌群</w:t>
                  </w:r>
                </w:p>
              </w:tc>
              <w:tc>
                <w:tcPr>
                  <w:tcW w:w="1424" w:type="dxa"/>
                  <w:tcBorders>
                    <w:tl2br w:val="nil"/>
                    <w:tr2bl w:val="nil"/>
                  </w:tcBorders>
                  <w:vAlign w:val="center"/>
                </w:tcPr>
                <w:p w14:paraId="32C4197D">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16</w:t>
                  </w:r>
                  <w:r>
                    <w:rPr>
                      <w:rFonts w:hint="default" w:ascii="Times New Roman" w:hAnsi="Times New Roman" w:eastAsia="宋体" w:cs="Times New Roman"/>
                      <w:color w:val="000000" w:themeColor="text1"/>
                      <w:highlight w:val="none"/>
                      <w14:textFill>
                        <w14:solidFill>
                          <w14:schemeClr w14:val="tx1"/>
                        </w14:solidFill>
                      </w14:textFill>
                    </w:rPr>
                    <w:t>MPN/L</w:t>
                  </w:r>
                </w:p>
              </w:tc>
              <w:tc>
                <w:tcPr>
                  <w:tcW w:w="1436" w:type="dxa"/>
                  <w:tcBorders>
                    <w:tl2br w:val="nil"/>
                    <w:tr2bl w:val="nil"/>
                  </w:tcBorders>
                  <w:vAlign w:val="center"/>
                </w:tcPr>
                <w:p w14:paraId="53DF736B">
                  <w:pPr>
                    <w:pStyle w:val="189"/>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3.46</w:t>
                  </w:r>
                  <w:r>
                    <w:rPr>
                      <w:rFonts w:hint="default" w:ascii="Times New Roman" w:hAnsi="Times New Roman" w:eastAsia="宋体" w:cs="Times New Roman"/>
                      <w:color w:val="000000" w:themeColor="text1"/>
                      <w:highlight w:val="none"/>
                      <w14:textFill>
                        <w14:solidFill>
                          <w14:schemeClr w14:val="tx1"/>
                        </w14:solidFill>
                      </w14:textFill>
                    </w:rPr>
                    <w:t>×10</w:t>
                  </w:r>
                  <w:r>
                    <w:rPr>
                      <w:rFonts w:hint="eastAsia" w:ascii="Times New Roman" w:hAnsi="Times New Roman" w:eastAsia="宋体" w:cs="Times New Roman"/>
                      <w:color w:val="000000" w:themeColor="text1"/>
                      <w:highlight w:val="none"/>
                      <w:vertAlign w:val="superscript"/>
                      <w:lang w:val="en-US" w:eastAsia="zh-CN"/>
                      <w14:textFill>
                        <w14:solidFill>
                          <w14:schemeClr w14:val="tx1"/>
                        </w14:solidFill>
                      </w14:textFill>
                    </w:rPr>
                    <w:t>6</w:t>
                  </w:r>
                  <w:r>
                    <w:rPr>
                      <w:rFonts w:hint="default" w:ascii="Times New Roman" w:hAnsi="Times New Roman" w:eastAsia="宋体" w:cs="Times New Roman"/>
                      <w:color w:val="000000" w:themeColor="text1"/>
                      <w:highlight w:val="none"/>
                      <w14:textFill>
                        <w14:solidFill>
                          <w14:schemeClr w14:val="tx1"/>
                        </w14:solidFill>
                      </w14:textFill>
                    </w:rPr>
                    <w:t>MPN</w:t>
                  </w:r>
                </w:p>
              </w:tc>
              <w:tc>
                <w:tcPr>
                  <w:tcW w:w="1317" w:type="dxa"/>
                  <w:tcBorders>
                    <w:tl2br w:val="nil"/>
                    <w:tr2bl w:val="nil"/>
                  </w:tcBorders>
                  <w:vAlign w:val="center"/>
                </w:tcPr>
                <w:p w14:paraId="0CB83D8F">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5000MPN/L</w:t>
                  </w:r>
                </w:p>
              </w:tc>
              <w:tc>
                <w:tcPr>
                  <w:tcW w:w="2414" w:type="dxa"/>
                  <w:vMerge w:val="continue"/>
                  <w:tcBorders>
                    <w:tl2br w:val="nil"/>
                    <w:tr2bl w:val="nil"/>
                  </w:tcBorders>
                  <w:vAlign w:val="center"/>
                </w:tcPr>
                <w:p w14:paraId="6B32639C">
                  <w:pPr>
                    <w:pStyle w:val="189"/>
                    <w:spacing w:line="240" w:lineRule="auto"/>
                    <w:rPr>
                      <w:rFonts w:hint="default" w:ascii="Times New Roman" w:hAnsi="Times New Roman" w:eastAsia="宋体" w:cs="Times New Roman"/>
                      <w:color w:val="auto"/>
                      <w:highlight w:val="none"/>
                    </w:rPr>
                  </w:pPr>
                </w:p>
              </w:tc>
            </w:tr>
            <w:tr w14:paraId="7DDFFC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14:paraId="56BE8E4C">
                  <w:pPr>
                    <w:pStyle w:val="189"/>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14:paraId="714E3526">
                  <w:pPr>
                    <w:pStyle w:val="189"/>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14:paraId="76B077F8">
                  <w:pPr>
                    <w:pStyle w:val="189"/>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14:paraId="54BA1DCF">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16" w:type="dxa"/>
                  <w:tcBorders>
                    <w:tl2br w:val="nil"/>
                    <w:tr2bl w:val="nil"/>
                  </w:tcBorders>
                  <w:vAlign w:val="center"/>
                </w:tcPr>
                <w:p w14:paraId="03D35D9B">
                  <w:pPr>
                    <w:widowControl/>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氨氮</w:t>
                  </w:r>
                </w:p>
              </w:tc>
              <w:tc>
                <w:tcPr>
                  <w:tcW w:w="1424" w:type="dxa"/>
                  <w:tcBorders>
                    <w:tl2br w:val="nil"/>
                    <w:tr2bl w:val="nil"/>
                  </w:tcBorders>
                  <w:vAlign w:val="center"/>
                </w:tcPr>
                <w:p w14:paraId="03B15783">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30</w:t>
                  </w:r>
                  <w:r>
                    <w:rPr>
                      <w:rFonts w:hint="default" w:ascii="Times New Roman" w:hAnsi="Times New Roman" w:eastAsia="宋体" w:cs="Times New Roman"/>
                      <w:color w:val="000000" w:themeColor="text1"/>
                      <w:highlight w:val="none"/>
                      <w14:textFill>
                        <w14:solidFill>
                          <w14:schemeClr w14:val="tx1"/>
                        </w14:solidFill>
                      </w14:textFill>
                    </w:rPr>
                    <w:t>mg/L</w:t>
                  </w:r>
                </w:p>
              </w:tc>
              <w:tc>
                <w:tcPr>
                  <w:tcW w:w="1436" w:type="dxa"/>
                  <w:tcBorders>
                    <w:tl2br w:val="nil"/>
                    <w:tr2bl w:val="nil"/>
                  </w:tcBorders>
                  <w:vAlign w:val="center"/>
                </w:tcPr>
                <w:p w14:paraId="056BF82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2"/>
                      <w:sz w:val="21"/>
                      <w:szCs w:val="21"/>
                      <w:highlight w:val="none"/>
                      <w:u w:val="none"/>
                      <w:lang w:val="en-US" w:eastAsia="zh-CN" w:bidi="ar-SA"/>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0.0058</w:t>
                  </w:r>
                  <w:r>
                    <w:rPr>
                      <w:rFonts w:hint="default" w:ascii="Times New Roman" w:hAnsi="Times New Roman" w:eastAsia="宋体" w:cs="Times New Roman"/>
                      <w:color w:val="000000" w:themeColor="text1"/>
                      <w:sz w:val="21"/>
                      <w:szCs w:val="21"/>
                      <w:highlight w:val="none"/>
                      <w14:textFill>
                        <w14:solidFill>
                          <w14:schemeClr w14:val="tx1"/>
                        </w14:solidFill>
                      </w14:textFill>
                    </w:rPr>
                    <w:t>t/a</w:t>
                  </w:r>
                </w:p>
              </w:tc>
              <w:tc>
                <w:tcPr>
                  <w:tcW w:w="1317" w:type="dxa"/>
                  <w:tcBorders>
                    <w:tl2br w:val="nil"/>
                    <w:tr2bl w:val="nil"/>
                  </w:tcBorders>
                  <w:vAlign w:val="center"/>
                </w:tcPr>
                <w:p w14:paraId="24FBE550">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30</w:t>
                  </w:r>
                  <w:r>
                    <w:rPr>
                      <w:rFonts w:hint="default" w:ascii="Times New Roman" w:hAnsi="Times New Roman" w:eastAsia="宋体" w:cs="Times New Roman"/>
                      <w:color w:val="000000" w:themeColor="text1"/>
                      <w:highlight w:val="none"/>
                      <w14:textFill>
                        <w14:solidFill>
                          <w14:schemeClr w14:val="tx1"/>
                        </w14:solidFill>
                      </w14:textFill>
                    </w:rPr>
                    <w:t>mg/L</w:t>
                  </w:r>
                </w:p>
              </w:tc>
              <w:tc>
                <w:tcPr>
                  <w:tcW w:w="2414" w:type="dxa"/>
                  <w:vMerge w:val="continue"/>
                  <w:tcBorders>
                    <w:tl2br w:val="nil"/>
                    <w:tr2bl w:val="nil"/>
                  </w:tcBorders>
                  <w:vAlign w:val="center"/>
                </w:tcPr>
                <w:p w14:paraId="4FBEE84F">
                  <w:pPr>
                    <w:pStyle w:val="189"/>
                    <w:spacing w:line="240" w:lineRule="auto"/>
                    <w:rPr>
                      <w:rFonts w:hint="default" w:ascii="Times New Roman" w:hAnsi="Times New Roman" w:eastAsia="宋体" w:cs="Times New Roman"/>
                      <w:color w:val="auto"/>
                      <w:highlight w:val="none"/>
                    </w:rPr>
                  </w:pPr>
                </w:p>
              </w:tc>
            </w:tr>
            <w:tr w14:paraId="171F53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14:paraId="64F66BF8">
                  <w:pPr>
                    <w:pStyle w:val="189"/>
                    <w:spacing w:line="240" w:lineRule="auto"/>
                    <w:rPr>
                      <w:rFonts w:hint="default" w:ascii="Times New Roman" w:hAnsi="Times New Roman" w:eastAsia="宋体" w:cs="Times New Roman"/>
                      <w:color w:val="auto"/>
                      <w:highlight w:val="none"/>
                    </w:rPr>
                  </w:pPr>
                </w:p>
              </w:tc>
              <w:tc>
                <w:tcPr>
                  <w:tcW w:w="1356" w:type="dxa"/>
                  <w:vMerge w:val="restart"/>
                  <w:tcBorders>
                    <w:tl2br w:val="nil"/>
                    <w:tr2bl w:val="nil"/>
                  </w:tcBorders>
                  <w:vAlign w:val="center"/>
                </w:tcPr>
                <w:p w14:paraId="1053647E">
                  <w:pPr>
                    <w:pStyle w:val="189"/>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综合废水</w:t>
                  </w:r>
                </w:p>
              </w:tc>
              <w:tc>
                <w:tcPr>
                  <w:tcW w:w="2026" w:type="dxa"/>
                  <w:vMerge w:val="restart"/>
                  <w:tcBorders>
                    <w:tl2br w:val="nil"/>
                    <w:tr2bl w:val="nil"/>
                  </w:tcBorders>
                  <w:vAlign w:val="center"/>
                </w:tcPr>
                <w:p w14:paraId="18517EBA">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消毒设备、</w:t>
                  </w:r>
                  <w:r>
                    <w:rPr>
                      <w:rFonts w:hint="eastAsia" w:ascii="Times New Roman" w:hAnsi="Times New Roman" w:eastAsia="宋体" w:cs="Times New Roman"/>
                      <w:color w:val="auto"/>
                      <w:highlight w:val="none"/>
                      <w:lang w:val="en-US" w:eastAsia="zh-CN"/>
                    </w:rPr>
                    <w:t>化粪池</w:t>
                  </w:r>
                </w:p>
              </w:tc>
              <w:tc>
                <w:tcPr>
                  <w:tcW w:w="1869" w:type="dxa"/>
                  <w:vMerge w:val="restart"/>
                  <w:tcBorders>
                    <w:tl2br w:val="nil"/>
                    <w:tr2bl w:val="nil"/>
                  </w:tcBorders>
                  <w:vAlign w:val="center"/>
                </w:tcPr>
                <w:p w14:paraId="45EB3B45">
                  <w:pPr>
                    <w:pStyle w:val="189"/>
                    <w:spacing w:line="240" w:lineRule="auto"/>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宠物医疗废水、宠物美容废水和第二、三道检验设备清洗废水经消毒设备消毒后与生活污水一并排放化粪池经</w:t>
                  </w:r>
                  <w:r>
                    <w:rPr>
                      <w:rFonts w:hint="eastAsia" w:ascii="Times New Roman" w:hAnsi="Times New Roman" w:eastAsia="宋体" w:cs="Times New Roman"/>
                      <w:color w:val="000000" w:themeColor="text1"/>
                      <w:highlight w:val="none"/>
                      <w:lang w:eastAsia="zh-CN"/>
                      <w14:textFill>
                        <w14:solidFill>
                          <w14:schemeClr w14:val="tx1"/>
                        </w14:solidFill>
                      </w14:textFill>
                    </w:rPr>
                    <w:t>市政污水管网</w:t>
                  </w:r>
                  <w:r>
                    <w:rPr>
                      <w:rFonts w:hint="eastAsia" w:ascii="Times New Roman" w:hAnsi="Times New Roman" w:eastAsia="宋体" w:cs="Times New Roman"/>
                      <w:color w:val="000000" w:themeColor="text1"/>
                      <w:highlight w:val="none"/>
                      <w:lang w:val="en-US" w:eastAsia="zh-CN"/>
                      <w14:textFill>
                        <w14:solidFill>
                          <w14:schemeClr w14:val="tx1"/>
                        </w14:solidFill>
                      </w14:textFill>
                    </w:rPr>
                    <w:t>纳入</w:t>
                  </w:r>
                  <w:r>
                    <w:rPr>
                      <w:rFonts w:hint="eastAsia" w:ascii="Times New Roman" w:hAnsi="Times New Roman" w:eastAsia="宋体" w:cs="Times New Roman"/>
                      <w:color w:val="000000" w:themeColor="text1"/>
                      <w:highlight w:val="none"/>
                      <w:lang w:eastAsia="zh-CN"/>
                      <w14:textFill>
                        <w14:solidFill>
                          <w14:schemeClr w14:val="tx1"/>
                        </w14:solidFill>
                      </w14:textFill>
                    </w:rPr>
                    <w:t>洋里污水处理厂</w:t>
                  </w:r>
                </w:p>
              </w:tc>
              <w:tc>
                <w:tcPr>
                  <w:tcW w:w="1316" w:type="dxa"/>
                  <w:tcBorders>
                    <w:tl2br w:val="nil"/>
                    <w:tr2bl w:val="nil"/>
                  </w:tcBorders>
                  <w:vAlign w:val="center"/>
                </w:tcPr>
                <w:p w14:paraId="501A8BF6">
                  <w:pPr>
                    <w:widowControl/>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pH</w:t>
                  </w:r>
                </w:p>
              </w:tc>
              <w:tc>
                <w:tcPr>
                  <w:tcW w:w="1424" w:type="dxa"/>
                  <w:tcBorders>
                    <w:tl2br w:val="nil"/>
                    <w:tr2bl w:val="nil"/>
                  </w:tcBorders>
                  <w:vAlign w:val="center"/>
                </w:tcPr>
                <w:p w14:paraId="5E7E2712">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c>
                <w:tcPr>
                  <w:tcW w:w="1436" w:type="dxa"/>
                  <w:tcBorders>
                    <w:tl2br w:val="nil"/>
                    <w:tr2bl w:val="nil"/>
                  </w:tcBorders>
                  <w:vAlign w:val="center"/>
                </w:tcPr>
                <w:p w14:paraId="3A32E7A3">
                  <w:pPr>
                    <w:pStyle w:val="189"/>
                    <w:spacing w:line="240" w:lineRule="auto"/>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1317" w:type="dxa"/>
                  <w:tcBorders>
                    <w:tl2br w:val="nil"/>
                    <w:tr2bl w:val="nil"/>
                  </w:tcBorders>
                  <w:vAlign w:val="center"/>
                </w:tcPr>
                <w:p w14:paraId="1B0A43F7">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6-9</w:t>
                  </w:r>
                </w:p>
              </w:tc>
              <w:tc>
                <w:tcPr>
                  <w:tcW w:w="2414" w:type="dxa"/>
                  <w:vMerge w:val="continue"/>
                  <w:tcBorders>
                    <w:tl2br w:val="nil"/>
                    <w:tr2bl w:val="nil"/>
                  </w:tcBorders>
                  <w:vAlign w:val="center"/>
                </w:tcPr>
                <w:p w14:paraId="48804EEC">
                  <w:pPr>
                    <w:pStyle w:val="189"/>
                    <w:spacing w:line="240" w:lineRule="auto"/>
                    <w:rPr>
                      <w:rFonts w:hint="default" w:ascii="Times New Roman" w:hAnsi="Times New Roman" w:eastAsia="宋体" w:cs="Times New Roman"/>
                      <w:color w:val="auto"/>
                      <w:highlight w:val="none"/>
                    </w:rPr>
                  </w:pPr>
                </w:p>
              </w:tc>
            </w:tr>
            <w:tr w14:paraId="1B4DB8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14:paraId="1998F630">
                  <w:pPr>
                    <w:pStyle w:val="189"/>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14:paraId="05671F0E">
                  <w:pPr>
                    <w:pStyle w:val="189"/>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14:paraId="084B6A4D">
                  <w:pPr>
                    <w:pStyle w:val="189"/>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14:paraId="72615FCF">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16" w:type="dxa"/>
                  <w:tcBorders>
                    <w:tl2br w:val="nil"/>
                    <w:tr2bl w:val="nil"/>
                  </w:tcBorders>
                  <w:vAlign w:val="center"/>
                </w:tcPr>
                <w:p w14:paraId="6084D72F">
                  <w:pPr>
                    <w:widowControl/>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COD</w:t>
                  </w:r>
                  <w:r>
                    <w:rPr>
                      <w:rFonts w:hint="eastAsia"/>
                      <w:color w:val="000000" w:themeColor="text1"/>
                      <w:sz w:val="21"/>
                      <w:szCs w:val="21"/>
                      <w:highlight w:val="none"/>
                      <w:vertAlign w:val="subscript"/>
                      <w:lang w:val="en-US" w:eastAsia="zh-CN"/>
                      <w14:textFill>
                        <w14:solidFill>
                          <w14:schemeClr w14:val="tx1"/>
                        </w14:solidFill>
                      </w14:textFill>
                    </w:rPr>
                    <w:t>Cr</w:t>
                  </w:r>
                </w:p>
              </w:tc>
              <w:tc>
                <w:tcPr>
                  <w:tcW w:w="1424" w:type="dxa"/>
                  <w:tcBorders>
                    <w:tl2br w:val="nil"/>
                    <w:tr2bl w:val="nil"/>
                  </w:tcBorders>
                  <w:vAlign w:val="center"/>
                </w:tcPr>
                <w:p w14:paraId="661B3A92">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247.2353</w:t>
                  </w:r>
                  <w:r>
                    <w:rPr>
                      <w:rFonts w:hint="default" w:ascii="Times New Roman" w:hAnsi="Times New Roman" w:eastAsia="宋体" w:cs="Times New Roman"/>
                      <w:color w:val="000000" w:themeColor="text1"/>
                      <w:highlight w:val="none"/>
                      <w14:textFill>
                        <w14:solidFill>
                          <w14:schemeClr w14:val="tx1"/>
                        </w14:solidFill>
                      </w14:textFill>
                    </w:rPr>
                    <w:t>mg/L</w:t>
                  </w:r>
                </w:p>
              </w:tc>
              <w:tc>
                <w:tcPr>
                  <w:tcW w:w="1436" w:type="dxa"/>
                  <w:tcBorders>
                    <w:tl2br w:val="nil"/>
                    <w:tr2bl w:val="nil"/>
                  </w:tcBorders>
                  <w:vAlign w:val="center"/>
                </w:tcPr>
                <w:p w14:paraId="063F513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0698</w:t>
                  </w:r>
                  <w:r>
                    <w:rPr>
                      <w:rFonts w:hint="default" w:ascii="Times New Roman" w:hAnsi="Times New Roman" w:eastAsia="宋体" w:cs="Times New Roman"/>
                      <w:color w:val="000000" w:themeColor="text1"/>
                      <w:sz w:val="21"/>
                      <w:szCs w:val="21"/>
                      <w:highlight w:val="none"/>
                      <w14:textFill>
                        <w14:solidFill>
                          <w14:schemeClr w14:val="tx1"/>
                        </w14:solidFill>
                      </w14:textFill>
                    </w:rPr>
                    <w:t>t/a</w:t>
                  </w:r>
                </w:p>
              </w:tc>
              <w:tc>
                <w:tcPr>
                  <w:tcW w:w="1317" w:type="dxa"/>
                  <w:tcBorders>
                    <w:tl2br w:val="nil"/>
                    <w:tr2bl w:val="nil"/>
                  </w:tcBorders>
                  <w:vAlign w:val="center"/>
                </w:tcPr>
                <w:p w14:paraId="623271F1">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highlight w:val="none"/>
                      <w14:textFill>
                        <w14:solidFill>
                          <w14:schemeClr w14:val="tx1"/>
                        </w14:solidFill>
                      </w14:textFill>
                    </w:rPr>
                    <w:t>00mg/L</w:t>
                  </w:r>
                </w:p>
              </w:tc>
              <w:tc>
                <w:tcPr>
                  <w:tcW w:w="2414" w:type="dxa"/>
                  <w:vMerge w:val="continue"/>
                  <w:tcBorders>
                    <w:tl2br w:val="nil"/>
                    <w:tr2bl w:val="nil"/>
                  </w:tcBorders>
                  <w:vAlign w:val="center"/>
                </w:tcPr>
                <w:p w14:paraId="461C5A86">
                  <w:pPr>
                    <w:pStyle w:val="189"/>
                    <w:spacing w:line="240" w:lineRule="auto"/>
                    <w:rPr>
                      <w:rFonts w:hint="default" w:ascii="Times New Roman" w:hAnsi="Times New Roman" w:eastAsia="宋体" w:cs="Times New Roman"/>
                      <w:color w:val="auto"/>
                      <w:highlight w:val="none"/>
                    </w:rPr>
                  </w:pPr>
                </w:p>
              </w:tc>
            </w:tr>
            <w:tr w14:paraId="7206A5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14:paraId="279C2426">
                  <w:pPr>
                    <w:pStyle w:val="189"/>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14:paraId="0DBFE0CA">
                  <w:pPr>
                    <w:pStyle w:val="189"/>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14:paraId="06530990">
                  <w:pPr>
                    <w:pStyle w:val="189"/>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14:paraId="476B3AF2">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16" w:type="dxa"/>
                  <w:tcBorders>
                    <w:tl2br w:val="nil"/>
                    <w:tr2bl w:val="nil"/>
                  </w:tcBorders>
                  <w:vAlign w:val="center"/>
                </w:tcPr>
                <w:p w14:paraId="1B00366A">
                  <w:pPr>
                    <w:widowControl/>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BOD</w:t>
                  </w:r>
                  <w:r>
                    <w:rPr>
                      <w:rFonts w:hint="default" w:ascii="Times New Roman" w:hAnsi="Times New Roman" w:eastAsia="宋体" w:cs="Times New Roman"/>
                      <w:color w:val="000000" w:themeColor="text1"/>
                      <w:sz w:val="21"/>
                      <w:szCs w:val="21"/>
                      <w:highlight w:val="none"/>
                      <w:vertAlign w:val="subscript"/>
                      <w14:textFill>
                        <w14:solidFill>
                          <w14:schemeClr w14:val="tx1"/>
                        </w14:solidFill>
                      </w14:textFill>
                    </w:rPr>
                    <w:t>5</w:t>
                  </w:r>
                </w:p>
              </w:tc>
              <w:tc>
                <w:tcPr>
                  <w:tcW w:w="1424" w:type="dxa"/>
                  <w:tcBorders>
                    <w:tl2br w:val="nil"/>
                    <w:tr2bl w:val="nil"/>
                  </w:tcBorders>
                  <w:vAlign w:val="center"/>
                </w:tcPr>
                <w:p w14:paraId="3C4EC625">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109.1804</w:t>
                  </w:r>
                  <w:r>
                    <w:rPr>
                      <w:rFonts w:hint="default" w:ascii="Times New Roman" w:hAnsi="Times New Roman" w:eastAsia="宋体" w:cs="Times New Roman"/>
                      <w:color w:val="000000" w:themeColor="text1"/>
                      <w:highlight w:val="none"/>
                      <w14:textFill>
                        <w14:solidFill>
                          <w14:schemeClr w14:val="tx1"/>
                        </w14:solidFill>
                      </w14:textFill>
                    </w:rPr>
                    <w:t>mg/L</w:t>
                  </w:r>
                </w:p>
              </w:tc>
              <w:tc>
                <w:tcPr>
                  <w:tcW w:w="1436" w:type="dxa"/>
                  <w:tcBorders>
                    <w:tl2br w:val="nil"/>
                    <w:tr2bl w:val="nil"/>
                  </w:tcBorders>
                  <w:vAlign w:val="center"/>
                </w:tcPr>
                <w:p w14:paraId="646B6918">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0.0325</w:t>
                  </w:r>
                  <w:r>
                    <w:rPr>
                      <w:rFonts w:hint="default" w:ascii="Times New Roman" w:hAnsi="Times New Roman" w:eastAsia="宋体" w:cs="Times New Roman"/>
                      <w:color w:val="000000" w:themeColor="text1"/>
                      <w:sz w:val="21"/>
                      <w:szCs w:val="21"/>
                      <w:highlight w:val="none"/>
                      <w14:textFill>
                        <w14:solidFill>
                          <w14:schemeClr w14:val="tx1"/>
                        </w14:solidFill>
                      </w14:textFill>
                    </w:rPr>
                    <w:t>t/a</w:t>
                  </w:r>
                </w:p>
              </w:tc>
              <w:tc>
                <w:tcPr>
                  <w:tcW w:w="1317" w:type="dxa"/>
                  <w:tcBorders>
                    <w:tl2br w:val="nil"/>
                    <w:tr2bl w:val="nil"/>
                  </w:tcBorders>
                  <w:vAlign w:val="center"/>
                </w:tcPr>
                <w:p w14:paraId="49F4D505">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highlight w:val="none"/>
                      <w14:textFill>
                        <w14:solidFill>
                          <w14:schemeClr w14:val="tx1"/>
                        </w14:solidFill>
                      </w14:textFill>
                    </w:rPr>
                    <w:t>00mg/L</w:t>
                  </w:r>
                </w:p>
              </w:tc>
              <w:tc>
                <w:tcPr>
                  <w:tcW w:w="2414" w:type="dxa"/>
                  <w:vMerge w:val="continue"/>
                  <w:tcBorders>
                    <w:tl2br w:val="nil"/>
                    <w:tr2bl w:val="nil"/>
                  </w:tcBorders>
                  <w:vAlign w:val="center"/>
                </w:tcPr>
                <w:p w14:paraId="5BBC6B9D">
                  <w:pPr>
                    <w:pStyle w:val="189"/>
                    <w:spacing w:line="240" w:lineRule="auto"/>
                    <w:rPr>
                      <w:rFonts w:hint="default" w:ascii="Times New Roman" w:hAnsi="Times New Roman" w:eastAsia="宋体" w:cs="Times New Roman"/>
                      <w:color w:val="auto"/>
                      <w:highlight w:val="none"/>
                    </w:rPr>
                  </w:pPr>
                </w:p>
              </w:tc>
            </w:tr>
            <w:tr w14:paraId="6A1E50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14:paraId="13015643">
                  <w:pPr>
                    <w:pStyle w:val="189"/>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14:paraId="5D278B53">
                  <w:pPr>
                    <w:pStyle w:val="189"/>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14:paraId="61B80E36">
                  <w:pPr>
                    <w:pStyle w:val="189"/>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14:paraId="0D9F41D6">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16" w:type="dxa"/>
                  <w:tcBorders>
                    <w:tl2br w:val="nil"/>
                    <w:tr2bl w:val="nil"/>
                  </w:tcBorders>
                  <w:vAlign w:val="center"/>
                </w:tcPr>
                <w:p w14:paraId="2A10145C">
                  <w:pPr>
                    <w:widowControl/>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SS</w:t>
                  </w:r>
                </w:p>
              </w:tc>
              <w:tc>
                <w:tcPr>
                  <w:tcW w:w="1424" w:type="dxa"/>
                  <w:tcBorders>
                    <w:tl2br w:val="nil"/>
                    <w:tr2bl w:val="nil"/>
                  </w:tcBorders>
                  <w:vAlign w:val="center"/>
                </w:tcPr>
                <w:p w14:paraId="55C2F7E9">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82.6985</w:t>
                  </w:r>
                  <w:r>
                    <w:rPr>
                      <w:rFonts w:hint="default" w:ascii="Times New Roman" w:hAnsi="Times New Roman" w:eastAsia="宋体" w:cs="Times New Roman"/>
                      <w:color w:val="000000" w:themeColor="text1"/>
                      <w:highlight w:val="none"/>
                      <w14:textFill>
                        <w14:solidFill>
                          <w14:schemeClr w14:val="tx1"/>
                        </w14:solidFill>
                      </w14:textFill>
                    </w:rPr>
                    <w:t>mg/L</w:t>
                  </w:r>
                </w:p>
              </w:tc>
              <w:tc>
                <w:tcPr>
                  <w:tcW w:w="1436" w:type="dxa"/>
                  <w:tcBorders>
                    <w:tl2br w:val="nil"/>
                    <w:tr2bl w:val="nil"/>
                  </w:tcBorders>
                  <w:vAlign w:val="center"/>
                </w:tcPr>
                <w:p w14:paraId="1813EA67">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0.0249</w:t>
                  </w:r>
                  <w:r>
                    <w:rPr>
                      <w:rFonts w:hint="default" w:ascii="Times New Roman" w:hAnsi="Times New Roman" w:eastAsia="宋体" w:cs="Times New Roman"/>
                      <w:color w:val="000000" w:themeColor="text1"/>
                      <w:sz w:val="21"/>
                      <w:szCs w:val="21"/>
                      <w:highlight w:val="none"/>
                      <w14:textFill>
                        <w14:solidFill>
                          <w14:schemeClr w14:val="tx1"/>
                        </w14:solidFill>
                      </w14:textFill>
                    </w:rPr>
                    <w:t>t/a</w:t>
                  </w:r>
                </w:p>
              </w:tc>
              <w:tc>
                <w:tcPr>
                  <w:tcW w:w="1317" w:type="dxa"/>
                  <w:tcBorders>
                    <w:tl2br w:val="nil"/>
                    <w:tr2bl w:val="nil"/>
                  </w:tcBorders>
                  <w:vAlign w:val="center"/>
                </w:tcPr>
                <w:p w14:paraId="0E1083BE">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400mg/L</w:t>
                  </w:r>
                </w:p>
              </w:tc>
              <w:tc>
                <w:tcPr>
                  <w:tcW w:w="2414" w:type="dxa"/>
                  <w:vMerge w:val="continue"/>
                  <w:tcBorders>
                    <w:tl2br w:val="nil"/>
                    <w:tr2bl w:val="nil"/>
                  </w:tcBorders>
                  <w:vAlign w:val="center"/>
                </w:tcPr>
                <w:p w14:paraId="5EF1A3CA">
                  <w:pPr>
                    <w:pStyle w:val="189"/>
                    <w:spacing w:line="240" w:lineRule="auto"/>
                    <w:rPr>
                      <w:rFonts w:hint="default" w:ascii="Times New Roman" w:hAnsi="Times New Roman" w:eastAsia="宋体" w:cs="Times New Roman"/>
                      <w:color w:val="auto"/>
                      <w:highlight w:val="none"/>
                    </w:rPr>
                  </w:pPr>
                </w:p>
              </w:tc>
            </w:tr>
            <w:tr w14:paraId="2676C3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14:paraId="2ABAF5F6">
                  <w:pPr>
                    <w:pStyle w:val="189"/>
                    <w:spacing w:line="240" w:lineRule="auto"/>
                    <w:rPr>
                      <w:rFonts w:hint="default" w:ascii="Times New Roman" w:hAnsi="Times New Roman" w:eastAsia="宋体" w:cs="Times New Roman"/>
                      <w:color w:val="auto"/>
                      <w:highlight w:val="none"/>
                    </w:rPr>
                  </w:pPr>
                </w:p>
              </w:tc>
              <w:tc>
                <w:tcPr>
                  <w:tcW w:w="1356" w:type="dxa"/>
                  <w:vMerge w:val="continue"/>
                  <w:tcBorders>
                    <w:tl2br w:val="nil"/>
                    <w:tr2bl w:val="nil"/>
                  </w:tcBorders>
                  <w:vAlign w:val="center"/>
                </w:tcPr>
                <w:p w14:paraId="020B57CB">
                  <w:pPr>
                    <w:pStyle w:val="189"/>
                    <w:spacing w:line="240" w:lineRule="auto"/>
                    <w:rPr>
                      <w:rFonts w:hint="default" w:ascii="Times New Roman" w:hAnsi="Times New Roman" w:eastAsia="宋体" w:cs="Times New Roman"/>
                      <w:color w:val="auto"/>
                      <w:highlight w:val="none"/>
                    </w:rPr>
                  </w:pPr>
                </w:p>
              </w:tc>
              <w:tc>
                <w:tcPr>
                  <w:tcW w:w="2026" w:type="dxa"/>
                  <w:vMerge w:val="continue"/>
                  <w:tcBorders>
                    <w:tl2br w:val="nil"/>
                    <w:tr2bl w:val="nil"/>
                  </w:tcBorders>
                  <w:vAlign w:val="center"/>
                </w:tcPr>
                <w:p w14:paraId="2EFBC787">
                  <w:pPr>
                    <w:pStyle w:val="189"/>
                    <w:spacing w:line="240" w:lineRule="auto"/>
                    <w:rPr>
                      <w:rFonts w:hint="default" w:ascii="Times New Roman" w:hAnsi="Times New Roman" w:eastAsia="宋体" w:cs="Times New Roman"/>
                      <w:color w:val="auto"/>
                      <w:highlight w:val="none"/>
                    </w:rPr>
                  </w:pPr>
                </w:p>
              </w:tc>
              <w:tc>
                <w:tcPr>
                  <w:tcW w:w="1869" w:type="dxa"/>
                  <w:vMerge w:val="continue"/>
                  <w:tcBorders>
                    <w:tl2br w:val="nil"/>
                    <w:tr2bl w:val="nil"/>
                  </w:tcBorders>
                  <w:vAlign w:val="center"/>
                </w:tcPr>
                <w:p w14:paraId="69D8987A">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p>
              </w:tc>
              <w:tc>
                <w:tcPr>
                  <w:tcW w:w="1316" w:type="dxa"/>
                  <w:tcBorders>
                    <w:tl2br w:val="nil"/>
                    <w:tr2bl w:val="nil"/>
                  </w:tcBorders>
                  <w:vAlign w:val="center"/>
                </w:tcPr>
                <w:p w14:paraId="5405B0C6">
                  <w:pPr>
                    <w:widowControl/>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氨氮</w:t>
                  </w:r>
                </w:p>
              </w:tc>
              <w:tc>
                <w:tcPr>
                  <w:tcW w:w="1424" w:type="dxa"/>
                  <w:tcBorders>
                    <w:tl2br w:val="nil"/>
                    <w:tr2bl w:val="nil"/>
                  </w:tcBorders>
                  <w:vAlign w:val="center"/>
                </w:tcPr>
                <w:p w14:paraId="5B9DABA5">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30.9498</w:t>
                  </w:r>
                  <w:r>
                    <w:rPr>
                      <w:rFonts w:hint="default" w:ascii="Times New Roman" w:hAnsi="Times New Roman" w:eastAsia="宋体" w:cs="Times New Roman"/>
                      <w:color w:val="000000" w:themeColor="text1"/>
                      <w:highlight w:val="none"/>
                      <w14:textFill>
                        <w14:solidFill>
                          <w14:schemeClr w14:val="tx1"/>
                        </w14:solidFill>
                      </w14:textFill>
                    </w:rPr>
                    <w:t>mg/L</w:t>
                  </w:r>
                </w:p>
              </w:tc>
              <w:tc>
                <w:tcPr>
                  <w:tcW w:w="1436" w:type="dxa"/>
                  <w:tcBorders>
                    <w:tl2br w:val="nil"/>
                    <w:tr2bl w:val="nil"/>
                  </w:tcBorders>
                  <w:vAlign w:val="center"/>
                </w:tcPr>
                <w:p w14:paraId="7CF5E7D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0.0092</w:t>
                  </w:r>
                  <w:r>
                    <w:rPr>
                      <w:rFonts w:hint="default" w:ascii="Times New Roman" w:hAnsi="Times New Roman" w:eastAsia="宋体" w:cs="Times New Roman"/>
                      <w:color w:val="000000" w:themeColor="text1"/>
                      <w:sz w:val="21"/>
                      <w:szCs w:val="21"/>
                      <w:highlight w:val="none"/>
                      <w14:textFill>
                        <w14:solidFill>
                          <w14:schemeClr w14:val="tx1"/>
                        </w14:solidFill>
                      </w14:textFill>
                    </w:rPr>
                    <w:t>t/a</w:t>
                  </w:r>
                </w:p>
              </w:tc>
              <w:tc>
                <w:tcPr>
                  <w:tcW w:w="1317" w:type="dxa"/>
                  <w:tcBorders>
                    <w:tl2br w:val="nil"/>
                    <w:tr2bl w:val="nil"/>
                  </w:tcBorders>
                  <w:vAlign w:val="center"/>
                </w:tcPr>
                <w:p w14:paraId="119D228D">
                  <w:pPr>
                    <w:pStyle w:val="189"/>
                    <w:spacing w:line="240" w:lineRule="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45mg/L</w:t>
                  </w:r>
                </w:p>
              </w:tc>
              <w:tc>
                <w:tcPr>
                  <w:tcW w:w="2414" w:type="dxa"/>
                  <w:vMerge w:val="continue"/>
                  <w:tcBorders>
                    <w:tl2br w:val="nil"/>
                    <w:tr2bl w:val="nil"/>
                  </w:tcBorders>
                  <w:vAlign w:val="center"/>
                </w:tcPr>
                <w:p w14:paraId="68C6790F">
                  <w:pPr>
                    <w:pStyle w:val="189"/>
                    <w:spacing w:line="240" w:lineRule="auto"/>
                    <w:rPr>
                      <w:rFonts w:hint="default" w:ascii="Times New Roman" w:hAnsi="Times New Roman" w:eastAsia="宋体" w:cs="Times New Roman"/>
                      <w:color w:val="auto"/>
                      <w:highlight w:val="none"/>
                    </w:rPr>
                  </w:pPr>
                </w:p>
              </w:tc>
            </w:tr>
            <w:tr w14:paraId="46C0A3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tcBorders>
                    <w:tl2br w:val="nil"/>
                    <w:tr2bl w:val="nil"/>
                  </w:tcBorders>
                  <w:vAlign w:val="center"/>
                </w:tcPr>
                <w:p w14:paraId="4E6C3C3D">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w:t>
                  </w:r>
                </w:p>
              </w:tc>
              <w:tc>
                <w:tcPr>
                  <w:tcW w:w="1356" w:type="dxa"/>
                  <w:tcBorders>
                    <w:tl2br w:val="nil"/>
                    <w:tr2bl w:val="nil"/>
                  </w:tcBorders>
                  <w:vAlign w:val="center"/>
                </w:tcPr>
                <w:p w14:paraId="2DC6B900">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宠物叫声</w:t>
                  </w:r>
                </w:p>
              </w:tc>
              <w:tc>
                <w:tcPr>
                  <w:tcW w:w="2026" w:type="dxa"/>
                  <w:tcBorders>
                    <w:tl2br w:val="nil"/>
                    <w:tr2bl w:val="nil"/>
                  </w:tcBorders>
                  <w:vAlign w:val="center"/>
                </w:tcPr>
                <w:p w14:paraId="0FDD64DF">
                  <w:pPr>
                    <w:pStyle w:val="189"/>
                    <w:spacing w:line="240" w:lineRule="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墙体</w:t>
                  </w:r>
                  <w:r>
                    <w:rPr>
                      <w:rFonts w:hint="default" w:ascii="Times New Roman" w:hAnsi="Times New Roman" w:eastAsia="宋体" w:cs="Times New Roman"/>
                      <w:color w:val="auto"/>
                      <w:highlight w:val="none"/>
                    </w:rPr>
                    <w:t>隔声</w:t>
                  </w:r>
                </w:p>
              </w:tc>
              <w:tc>
                <w:tcPr>
                  <w:tcW w:w="1869" w:type="dxa"/>
                  <w:tcBorders>
                    <w:tl2br w:val="nil"/>
                    <w:tr2bl w:val="nil"/>
                  </w:tcBorders>
                  <w:vAlign w:val="center"/>
                </w:tcPr>
                <w:p w14:paraId="4C395AC7">
                  <w:pPr>
                    <w:pStyle w:val="189"/>
                    <w:spacing w:line="240" w:lineRule="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降噪15dB</w:t>
                  </w:r>
                  <w:r>
                    <w:rPr>
                      <w:rFonts w:hint="eastAsia" w:ascii="Times New Roman" w:hAnsi="Times New Roman" w:eastAsia="宋体" w:cs="Times New Roman"/>
                      <w:color w:val="auto"/>
                      <w:highlight w:val="none"/>
                      <w:lang w:eastAsia="zh-CN"/>
                    </w:rPr>
                    <w:t>”</w:t>
                  </w:r>
                </w:p>
              </w:tc>
              <w:tc>
                <w:tcPr>
                  <w:tcW w:w="1316" w:type="dxa"/>
                  <w:tcBorders>
                    <w:tl2br w:val="nil"/>
                    <w:tr2bl w:val="nil"/>
                  </w:tcBorders>
                  <w:vAlign w:val="center"/>
                </w:tcPr>
                <w:p w14:paraId="2A4DB13C">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424" w:type="dxa"/>
                  <w:tcBorders>
                    <w:tl2br w:val="nil"/>
                    <w:tr2bl w:val="nil"/>
                  </w:tcBorders>
                  <w:vAlign w:val="center"/>
                </w:tcPr>
                <w:p w14:paraId="2AE7BF5C">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436" w:type="dxa"/>
                  <w:tcBorders>
                    <w:tl2br w:val="nil"/>
                    <w:tr2bl w:val="nil"/>
                  </w:tcBorders>
                  <w:vAlign w:val="center"/>
                </w:tcPr>
                <w:p w14:paraId="268E9438">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17" w:type="dxa"/>
                  <w:tcBorders>
                    <w:tl2br w:val="nil"/>
                    <w:tr2bl w:val="nil"/>
                  </w:tcBorders>
                  <w:vAlign w:val="center"/>
                </w:tcPr>
                <w:p w14:paraId="13541846">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414" w:type="dxa"/>
                  <w:tcBorders>
                    <w:tl2br w:val="nil"/>
                    <w:tr2bl w:val="nil"/>
                  </w:tcBorders>
                  <w:vAlign w:val="center"/>
                </w:tcPr>
                <w:p w14:paraId="5C957273">
                  <w:pPr>
                    <w:pStyle w:val="189"/>
                    <w:spacing w:line="240" w:lineRule="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1"/>
                      <w:szCs w:val="21"/>
                      <w:highlight w:val="none"/>
                      <w:lang w:val="en-US" w:eastAsia="zh-CN"/>
                    </w:rPr>
                    <w:t>项目</w:t>
                  </w:r>
                  <w:r>
                    <w:rPr>
                      <w:rFonts w:hint="eastAsia" w:ascii="Times New Roman" w:hAnsi="Times New Roman" w:eastAsia="宋体" w:cs="Times New Roman"/>
                      <w:color w:val="auto"/>
                      <w:sz w:val="21"/>
                      <w:szCs w:val="21"/>
                      <w:highlight w:val="none"/>
                      <w:lang w:val="en-US" w:eastAsia="zh-CN"/>
                    </w:rPr>
                    <w:t>西侧环境</w:t>
                  </w:r>
                  <w:r>
                    <w:rPr>
                      <w:rFonts w:hint="default" w:ascii="Times New Roman" w:hAnsi="Times New Roman" w:eastAsia="宋体" w:cs="Times New Roman"/>
                      <w:color w:val="auto"/>
                      <w:sz w:val="21"/>
                      <w:szCs w:val="21"/>
                      <w:highlight w:val="none"/>
                      <w:lang w:val="en-US" w:eastAsia="zh-CN"/>
                    </w:rPr>
                    <w:t>噪声执行《社会生活环境噪声排放标准》（GB22337-2008）中表1中的4a类标准；其余边界噪声</w:t>
                  </w:r>
                  <w:r>
                    <w:rPr>
                      <w:rFonts w:hint="eastAsia" w:ascii="Times New Roman" w:hAnsi="Times New Roman" w:eastAsia="宋体" w:cs="Times New Roman"/>
                      <w:color w:val="auto"/>
                      <w:sz w:val="21"/>
                      <w:szCs w:val="21"/>
                      <w:highlight w:val="none"/>
                      <w:lang w:val="en-US" w:eastAsia="zh-CN"/>
                    </w:rPr>
                    <w:t>执行</w:t>
                  </w:r>
                  <w:r>
                    <w:rPr>
                      <w:rFonts w:hint="default" w:ascii="Times New Roman" w:hAnsi="Times New Roman" w:eastAsia="宋体" w:cs="Times New Roman"/>
                      <w:color w:val="auto"/>
                      <w:sz w:val="21"/>
                      <w:szCs w:val="21"/>
                      <w:highlight w:val="none"/>
                      <w:lang w:val="en-US" w:eastAsia="zh-CN"/>
                    </w:rPr>
                    <w:t>《社会生活声环境噪声排放标准》（GB22337-2008）中2类标准</w:t>
                  </w:r>
                </w:p>
              </w:tc>
            </w:tr>
            <w:tr w14:paraId="599069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451" w:hRule="atLeast"/>
                <w:jc w:val="center"/>
              </w:trPr>
              <w:tc>
                <w:tcPr>
                  <w:tcW w:w="844" w:type="dxa"/>
                  <w:tcBorders>
                    <w:tl2br w:val="nil"/>
                    <w:tr2bl w:val="nil"/>
                  </w:tcBorders>
                  <w:vAlign w:val="center"/>
                </w:tcPr>
                <w:p w14:paraId="6BED977B">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w:t>
                  </w:r>
                </w:p>
              </w:tc>
              <w:tc>
                <w:tcPr>
                  <w:tcW w:w="1356" w:type="dxa"/>
                  <w:tcBorders>
                    <w:tl2br w:val="nil"/>
                    <w:tr2bl w:val="nil"/>
                  </w:tcBorders>
                  <w:vAlign w:val="center"/>
                </w:tcPr>
                <w:p w14:paraId="34219D4B">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利用方式</w:t>
                  </w:r>
                </w:p>
              </w:tc>
              <w:tc>
                <w:tcPr>
                  <w:tcW w:w="2026" w:type="dxa"/>
                  <w:tcBorders>
                    <w:tl2br w:val="nil"/>
                    <w:tr2bl w:val="nil"/>
                  </w:tcBorders>
                  <w:vAlign w:val="center"/>
                </w:tcPr>
                <w:p w14:paraId="5567339F">
                  <w:pPr>
                    <w:pStyle w:val="189"/>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w:t>
                  </w:r>
                  <w:r>
                    <w:rPr>
                      <w:rFonts w:hint="eastAsia" w:ascii="Times New Roman" w:hAnsi="Times New Roman" w:eastAsia="宋体" w:cs="Times New Roman"/>
                      <w:color w:val="auto"/>
                      <w:highlight w:val="none"/>
                      <w:lang w:val="en-US" w:eastAsia="zh-CN"/>
                    </w:rPr>
                    <w:t>医疗</w:t>
                  </w:r>
                  <w:r>
                    <w:rPr>
                      <w:rFonts w:hint="default" w:ascii="Times New Roman" w:hAnsi="Times New Roman" w:eastAsia="宋体" w:cs="Times New Roman"/>
                      <w:color w:val="auto"/>
                      <w:highlight w:val="none"/>
                    </w:rPr>
                    <w:t>废物：统一收集于</w:t>
                  </w:r>
                  <w:r>
                    <w:rPr>
                      <w:rFonts w:hint="eastAsia" w:ascii="Times New Roman" w:hAnsi="Times New Roman" w:eastAsia="宋体" w:cs="Times New Roman"/>
                      <w:color w:val="auto"/>
                      <w:highlight w:val="none"/>
                      <w:lang w:val="en-US" w:eastAsia="zh-CN"/>
                    </w:rPr>
                    <w:t>危废间</w:t>
                  </w:r>
                  <w:r>
                    <w:rPr>
                      <w:rFonts w:hint="default" w:ascii="Times New Roman" w:hAnsi="Times New Roman" w:eastAsia="宋体" w:cs="Times New Roman"/>
                      <w:color w:val="auto"/>
                      <w:highlight w:val="none"/>
                    </w:rPr>
                    <w:t>后</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交由有资质单位</w:t>
                  </w:r>
                  <w:r>
                    <w:rPr>
                      <w:rFonts w:hint="eastAsia" w:ascii="Times New Roman" w:hAnsi="Times New Roman" w:eastAsia="宋体" w:cs="Times New Roman"/>
                      <w:color w:val="auto"/>
                      <w:highlight w:val="none"/>
                      <w:lang w:val="en-US" w:eastAsia="zh-CN"/>
                    </w:rPr>
                    <w:t>定期</w:t>
                  </w:r>
                  <w:r>
                    <w:rPr>
                      <w:rFonts w:hint="default" w:ascii="Times New Roman" w:hAnsi="Times New Roman" w:eastAsia="宋体" w:cs="Times New Roman"/>
                      <w:color w:val="auto"/>
                      <w:highlight w:val="none"/>
                    </w:rPr>
                    <w:t>处置</w:t>
                  </w:r>
                  <w:r>
                    <w:rPr>
                      <w:rFonts w:hint="eastAsia" w:ascii="Times New Roman" w:hAnsi="Times New Roman" w:eastAsia="宋体" w:cs="Times New Roman"/>
                      <w:color w:val="auto"/>
                      <w:highlight w:val="none"/>
                      <w:lang w:val="en-US" w:eastAsia="zh-CN"/>
                    </w:rPr>
                    <w:t>清运</w:t>
                  </w:r>
                  <w:r>
                    <w:rPr>
                      <w:rFonts w:hint="default" w:ascii="Times New Roman" w:hAnsi="Times New Roman" w:eastAsia="宋体" w:cs="Times New Roman"/>
                      <w:color w:val="auto"/>
                      <w:highlight w:val="none"/>
                    </w:rPr>
                    <w:t>；</w:t>
                  </w:r>
                </w:p>
                <w:p w14:paraId="776CE43B">
                  <w:pPr>
                    <w:pStyle w:val="189"/>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②生活垃圾：统一收集</w:t>
                  </w:r>
                  <w:r>
                    <w:rPr>
                      <w:rFonts w:hint="eastAsia" w:ascii="Times New Roman" w:hAnsi="Times New Roman" w:eastAsia="宋体" w:cs="Times New Roman"/>
                      <w:color w:val="auto"/>
                      <w:highlight w:val="none"/>
                      <w:lang w:val="en-US" w:eastAsia="zh-CN"/>
                    </w:rPr>
                    <w:t>于垃圾桶</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由</w:t>
                  </w:r>
                  <w:r>
                    <w:rPr>
                      <w:rFonts w:hint="default" w:ascii="Times New Roman" w:hAnsi="Times New Roman" w:eastAsia="宋体" w:cs="Times New Roman"/>
                      <w:color w:val="auto"/>
                      <w:highlight w:val="none"/>
                    </w:rPr>
                    <w:t>环卫</w:t>
                  </w:r>
                  <w:r>
                    <w:rPr>
                      <w:rFonts w:hint="eastAsia" w:ascii="Times New Roman" w:hAnsi="Times New Roman" w:eastAsia="宋体" w:cs="Times New Roman"/>
                      <w:color w:val="auto"/>
                      <w:highlight w:val="none"/>
                      <w:lang w:val="en-US" w:eastAsia="zh-CN"/>
                    </w:rPr>
                    <w:t>部门定期</w:t>
                  </w:r>
                  <w:r>
                    <w:rPr>
                      <w:rFonts w:hint="default" w:ascii="Times New Roman" w:hAnsi="Times New Roman" w:eastAsia="宋体" w:cs="Times New Roman"/>
                      <w:color w:val="auto"/>
                      <w:highlight w:val="none"/>
                    </w:rPr>
                    <w:t>清运处置。</w:t>
                  </w:r>
                </w:p>
                <w:p w14:paraId="4E9BA9CB">
                  <w:pPr>
                    <w:pStyle w:val="20"/>
                    <w:rPr>
                      <w:rFonts w:hint="default"/>
                      <w:lang w:val="en-US" w:eastAsia="zh-CN"/>
                    </w:rPr>
                  </w:pPr>
                  <w:r>
                    <w:rPr>
                      <w:rFonts w:hint="eastAsia" w:ascii="宋体" w:hAnsi="宋体" w:cs="宋体"/>
                      <w:sz w:val="21"/>
                      <w:szCs w:val="21"/>
                      <w:highlight w:val="none"/>
                    </w:rPr>
                    <w:t>③污泥：3套废水消毒设备定期清理产生的污泥委托</w:t>
                  </w:r>
                  <w:r>
                    <w:rPr>
                      <w:rFonts w:hint="eastAsia" w:ascii="宋体" w:hAnsi="宋体" w:cs="宋体"/>
                      <w:sz w:val="21"/>
                      <w:szCs w:val="21"/>
                      <w:highlight w:val="none"/>
                      <w:lang w:val="en-US" w:eastAsia="zh-CN"/>
                    </w:rPr>
                    <w:t>有资质单位</w:t>
                  </w:r>
                  <w:r>
                    <w:rPr>
                      <w:rFonts w:hint="eastAsia" w:ascii="宋体" w:hAnsi="宋体" w:cs="宋体"/>
                      <w:sz w:val="21"/>
                      <w:szCs w:val="21"/>
                      <w:highlight w:val="none"/>
                    </w:rPr>
                    <w:t>定期清运。</w:t>
                  </w:r>
                </w:p>
              </w:tc>
              <w:tc>
                <w:tcPr>
                  <w:tcW w:w="1869" w:type="dxa"/>
                  <w:tcBorders>
                    <w:tl2br w:val="nil"/>
                    <w:tr2bl w:val="nil"/>
                  </w:tcBorders>
                  <w:vAlign w:val="center"/>
                </w:tcPr>
                <w:p w14:paraId="3CC752F8">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实现固废全部妥善处置、综合利用。</w:t>
                  </w:r>
                </w:p>
              </w:tc>
              <w:tc>
                <w:tcPr>
                  <w:tcW w:w="1316" w:type="dxa"/>
                  <w:tcBorders>
                    <w:tl2br w:val="nil"/>
                    <w:tr2bl w:val="nil"/>
                  </w:tcBorders>
                  <w:vAlign w:val="center"/>
                </w:tcPr>
                <w:p w14:paraId="50A66B64">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424" w:type="dxa"/>
                  <w:tcBorders>
                    <w:tl2br w:val="nil"/>
                    <w:tr2bl w:val="nil"/>
                  </w:tcBorders>
                  <w:vAlign w:val="center"/>
                </w:tcPr>
                <w:p w14:paraId="62A3735A">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436" w:type="dxa"/>
                  <w:tcBorders>
                    <w:tl2br w:val="nil"/>
                    <w:tr2bl w:val="nil"/>
                  </w:tcBorders>
                  <w:vAlign w:val="center"/>
                </w:tcPr>
                <w:p w14:paraId="407ACC24">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17" w:type="dxa"/>
                  <w:tcBorders>
                    <w:tl2br w:val="nil"/>
                    <w:tr2bl w:val="nil"/>
                  </w:tcBorders>
                  <w:vAlign w:val="center"/>
                </w:tcPr>
                <w:p w14:paraId="485B7F6A">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414" w:type="dxa"/>
                  <w:tcBorders>
                    <w:tl2br w:val="nil"/>
                    <w:tr2bl w:val="nil"/>
                  </w:tcBorders>
                  <w:vAlign w:val="center"/>
                </w:tcPr>
                <w:p w14:paraId="14189A73">
                  <w:pPr>
                    <w:widowControl/>
                    <w:adjustRightInd w:val="0"/>
                    <w:snapToGrid w:val="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《医疗废物管理条例</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2021年版</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》；《危险废物贮存污染控制标准》（GB18597-2023）</w:t>
                  </w:r>
                </w:p>
              </w:tc>
            </w:tr>
            <w:tr w14:paraId="2C1945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restart"/>
                  <w:tcBorders>
                    <w:tl2br w:val="nil"/>
                    <w:tr2bl w:val="nil"/>
                  </w:tcBorders>
                  <w:vAlign w:val="center"/>
                </w:tcPr>
                <w:p w14:paraId="37C64B7E">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环境管理与监测</w:t>
                  </w:r>
                </w:p>
              </w:tc>
              <w:tc>
                <w:tcPr>
                  <w:tcW w:w="1356" w:type="dxa"/>
                  <w:tcBorders>
                    <w:tl2br w:val="nil"/>
                    <w:tr2bl w:val="nil"/>
                  </w:tcBorders>
                  <w:vAlign w:val="center"/>
                </w:tcPr>
                <w:p w14:paraId="2D1A2BCC">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环境管理</w:t>
                  </w:r>
                </w:p>
              </w:tc>
              <w:tc>
                <w:tcPr>
                  <w:tcW w:w="2026" w:type="dxa"/>
                  <w:tcBorders>
                    <w:tl2br w:val="nil"/>
                    <w:tr2bl w:val="nil"/>
                  </w:tcBorders>
                  <w:vAlign w:val="center"/>
                </w:tcPr>
                <w:p w14:paraId="2F1CE2E0">
                  <w:pPr>
                    <w:pStyle w:val="189"/>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①设立专门的环保机构环安科，配备专职环保工作人员。</w:t>
                  </w:r>
                </w:p>
                <w:p w14:paraId="6D0DB846">
                  <w:pPr>
                    <w:pStyle w:val="189"/>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②建立日常环境管理制度和环境管理工作计划；</w:t>
                  </w:r>
                </w:p>
                <w:p w14:paraId="34C2CBB6">
                  <w:pPr>
                    <w:pStyle w:val="189"/>
                    <w:spacing w:line="240" w:lineRule="auto"/>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③加强环保设施运行管理维护，建立环保设施运行台账，确保环保设施正常运行及污染物稳定达标排放。</w:t>
                  </w:r>
                </w:p>
              </w:tc>
              <w:tc>
                <w:tcPr>
                  <w:tcW w:w="1869" w:type="dxa"/>
                  <w:tcBorders>
                    <w:tl2br w:val="nil"/>
                    <w:tr2bl w:val="nil"/>
                  </w:tcBorders>
                  <w:vAlign w:val="center"/>
                </w:tcPr>
                <w:p w14:paraId="7F9A1134">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避免因管理不善而可能产生的各种环境事故和风险，确保污染源稳定达标排放</w:t>
                  </w:r>
                </w:p>
              </w:tc>
              <w:tc>
                <w:tcPr>
                  <w:tcW w:w="1316" w:type="dxa"/>
                  <w:tcBorders>
                    <w:tl2br w:val="nil"/>
                    <w:tr2bl w:val="nil"/>
                  </w:tcBorders>
                  <w:vAlign w:val="center"/>
                </w:tcPr>
                <w:p w14:paraId="0A8518C3">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424" w:type="dxa"/>
                  <w:tcBorders>
                    <w:tl2br w:val="nil"/>
                    <w:tr2bl w:val="nil"/>
                  </w:tcBorders>
                  <w:vAlign w:val="center"/>
                </w:tcPr>
                <w:p w14:paraId="72C364E7">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436" w:type="dxa"/>
                  <w:tcBorders>
                    <w:tl2br w:val="nil"/>
                    <w:tr2bl w:val="nil"/>
                  </w:tcBorders>
                  <w:vAlign w:val="center"/>
                </w:tcPr>
                <w:p w14:paraId="0069C5B0">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17" w:type="dxa"/>
                  <w:tcBorders>
                    <w:tl2br w:val="nil"/>
                    <w:tr2bl w:val="nil"/>
                  </w:tcBorders>
                  <w:vAlign w:val="center"/>
                </w:tcPr>
                <w:p w14:paraId="1C452AB9">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414" w:type="dxa"/>
                  <w:tcBorders>
                    <w:tl2br w:val="nil"/>
                    <w:tr2bl w:val="nil"/>
                  </w:tcBorders>
                  <w:vAlign w:val="center"/>
                </w:tcPr>
                <w:p w14:paraId="79562154">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14:paraId="59A193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44" w:type="dxa"/>
                  <w:vMerge w:val="continue"/>
                  <w:tcBorders>
                    <w:tl2br w:val="nil"/>
                    <w:tr2bl w:val="nil"/>
                  </w:tcBorders>
                  <w:vAlign w:val="center"/>
                </w:tcPr>
                <w:p w14:paraId="071483BE">
                  <w:pPr>
                    <w:pStyle w:val="189"/>
                    <w:spacing w:line="240" w:lineRule="auto"/>
                    <w:rPr>
                      <w:rFonts w:hint="default" w:ascii="Times New Roman" w:hAnsi="Times New Roman" w:eastAsia="宋体" w:cs="Times New Roman"/>
                      <w:color w:val="auto"/>
                      <w:highlight w:val="none"/>
                    </w:rPr>
                  </w:pPr>
                </w:p>
              </w:tc>
              <w:tc>
                <w:tcPr>
                  <w:tcW w:w="1356" w:type="dxa"/>
                  <w:tcBorders>
                    <w:tl2br w:val="nil"/>
                    <w:tr2bl w:val="nil"/>
                  </w:tcBorders>
                  <w:vAlign w:val="center"/>
                </w:tcPr>
                <w:p w14:paraId="77DA8BFE">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环境监测</w:t>
                  </w:r>
                </w:p>
              </w:tc>
              <w:tc>
                <w:tcPr>
                  <w:tcW w:w="2026" w:type="dxa"/>
                  <w:tcBorders>
                    <w:tl2br w:val="nil"/>
                    <w:tr2bl w:val="nil"/>
                  </w:tcBorders>
                  <w:vAlign w:val="center"/>
                </w:tcPr>
                <w:p w14:paraId="579FCC00">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日常生产中落实环境监测计划。</w:t>
                  </w:r>
                </w:p>
              </w:tc>
              <w:tc>
                <w:tcPr>
                  <w:tcW w:w="1869" w:type="dxa"/>
                  <w:tcBorders>
                    <w:tl2br w:val="nil"/>
                    <w:tr2bl w:val="nil"/>
                  </w:tcBorders>
                  <w:vAlign w:val="center"/>
                </w:tcPr>
                <w:p w14:paraId="17F2041C">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①以便及时发现问题，采取措施。</w:t>
                  </w:r>
                </w:p>
                <w:p w14:paraId="770A93DC">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②环境监测数据应向社会公开。</w:t>
                  </w:r>
                </w:p>
              </w:tc>
              <w:tc>
                <w:tcPr>
                  <w:tcW w:w="1316" w:type="dxa"/>
                  <w:tcBorders>
                    <w:tl2br w:val="nil"/>
                    <w:tr2bl w:val="nil"/>
                  </w:tcBorders>
                  <w:vAlign w:val="center"/>
                </w:tcPr>
                <w:p w14:paraId="6C5FE9B8">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424" w:type="dxa"/>
                  <w:tcBorders>
                    <w:tl2br w:val="nil"/>
                    <w:tr2bl w:val="nil"/>
                  </w:tcBorders>
                  <w:vAlign w:val="center"/>
                </w:tcPr>
                <w:p w14:paraId="51328D67">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436" w:type="dxa"/>
                  <w:tcBorders>
                    <w:tl2br w:val="nil"/>
                    <w:tr2bl w:val="nil"/>
                  </w:tcBorders>
                  <w:vAlign w:val="center"/>
                </w:tcPr>
                <w:p w14:paraId="1BBCC8D9">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317" w:type="dxa"/>
                  <w:tcBorders>
                    <w:tl2br w:val="nil"/>
                    <w:tr2bl w:val="nil"/>
                  </w:tcBorders>
                  <w:vAlign w:val="center"/>
                </w:tcPr>
                <w:p w14:paraId="17653FC2">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414" w:type="dxa"/>
                  <w:tcBorders>
                    <w:tl2br w:val="nil"/>
                    <w:tr2bl w:val="nil"/>
                  </w:tcBorders>
                  <w:vAlign w:val="center"/>
                </w:tcPr>
                <w:p w14:paraId="3C34EA92">
                  <w:pPr>
                    <w:pStyle w:val="189"/>
                    <w:spacing w:line="24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bl>
          <w:p w14:paraId="42149A65">
            <w:pPr>
              <w:jc w:val="center"/>
              <w:rPr>
                <w:rFonts w:ascii="Times New Roman" w:hAnsi="Times New Roman" w:cs="Times New Roman"/>
                <w:b/>
                <w:bCs/>
                <w:color w:val="auto"/>
                <w:szCs w:val="24"/>
                <w:highlight w:val="none"/>
                <w:vertAlign w:val="baseline"/>
              </w:rPr>
            </w:pPr>
          </w:p>
        </w:tc>
      </w:tr>
    </w:tbl>
    <w:p w14:paraId="18282118">
      <w:pPr>
        <w:pStyle w:val="2"/>
        <w:rPr>
          <w:color w:val="auto"/>
          <w:highlight w:val="none"/>
        </w:rPr>
        <w:sectPr>
          <w:footerReference r:id="rId9" w:type="default"/>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linePitch="367" w:charSpace="0"/>
        </w:sectPr>
      </w:pPr>
    </w:p>
    <w:bookmarkEnd w:id="200"/>
    <w:tbl>
      <w:tblPr>
        <w:tblStyle w:val="50"/>
        <w:tblW w:w="894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99"/>
      </w:tblGrid>
      <w:tr w14:paraId="4643B0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05" w:hRule="atLeast"/>
          <w:jc w:val="center"/>
        </w:trPr>
        <w:tc>
          <w:tcPr>
            <w:tcW w:w="746" w:type="dxa"/>
            <w:tcBorders>
              <w:top w:val="single" w:color="000000" w:sz="12" w:space="0"/>
            </w:tcBorders>
            <w:tcMar>
              <w:left w:w="28" w:type="dxa"/>
              <w:right w:w="28" w:type="dxa"/>
            </w:tcMar>
            <w:vAlign w:val="center"/>
          </w:tcPr>
          <w:p w14:paraId="62ACA998">
            <w:pPr>
              <w:pStyle w:val="320"/>
              <w:ind w:firstLine="480"/>
              <w:rPr>
                <w:color w:val="auto"/>
                <w:highlight w:val="none"/>
              </w:rPr>
            </w:pPr>
            <w:bookmarkStart w:id="201" w:name="_Toc23088"/>
            <w:bookmarkStart w:id="202" w:name="_Toc19382"/>
          </w:p>
        </w:tc>
        <w:tc>
          <w:tcPr>
            <w:tcW w:w="8199" w:type="dxa"/>
            <w:tcBorders>
              <w:top w:val="single" w:color="000000" w:sz="12" w:space="0"/>
            </w:tcBorders>
          </w:tcPr>
          <w:p w14:paraId="393297AC">
            <w:pPr>
              <w:pStyle w:val="3"/>
              <w:numPr>
                <w:ilvl w:val="0"/>
                <w:numId w:val="0"/>
              </w:numPr>
              <w:rPr>
                <w:color w:val="auto"/>
                <w:highlight w:val="none"/>
              </w:rPr>
            </w:pPr>
            <w:bookmarkStart w:id="203" w:name="_Toc14937"/>
            <w:bookmarkStart w:id="204" w:name="_Toc133251564"/>
            <w:bookmarkStart w:id="205" w:name="_Toc25019"/>
            <w:bookmarkStart w:id="206" w:name="_Toc25474"/>
            <w:bookmarkStart w:id="207" w:name="_Toc23227"/>
            <w:r>
              <w:rPr>
                <w:color w:val="auto"/>
                <w:highlight w:val="none"/>
              </w:rPr>
              <w:t>4.1</w:t>
            </w:r>
            <w:r>
              <w:rPr>
                <w:rFonts w:hint="eastAsia"/>
                <w:color w:val="auto"/>
                <w:highlight w:val="none"/>
                <w:lang w:val="en-US" w:eastAsia="zh-CN"/>
              </w:rPr>
              <w:t>4</w:t>
            </w:r>
            <w:r>
              <w:rPr>
                <w:color w:val="auto"/>
                <w:highlight w:val="none"/>
              </w:rPr>
              <w:t>环境保护投资及环境影响经济损益分析</w:t>
            </w:r>
            <w:bookmarkEnd w:id="203"/>
            <w:bookmarkEnd w:id="204"/>
            <w:bookmarkEnd w:id="205"/>
            <w:bookmarkEnd w:id="206"/>
            <w:bookmarkEnd w:id="207"/>
          </w:p>
          <w:p w14:paraId="5BB57748">
            <w:pPr>
              <w:widowControl/>
              <w:spacing w:line="360" w:lineRule="auto"/>
              <w:jc w:val="left"/>
              <w:rPr>
                <w:b/>
                <w:bCs/>
                <w:color w:val="auto"/>
                <w:szCs w:val="30"/>
                <w:highlight w:val="none"/>
              </w:rPr>
            </w:pPr>
            <w:r>
              <w:rPr>
                <w:b/>
                <w:bCs/>
                <w:color w:val="auto"/>
                <w:szCs w:val="30"/>
                <w:highlight w:val="none"/>
              </w:rPr>
              <w:t>4.1</w:t>
            </w:r>
            <w:r>
              <w:rPr>
                <w:rFonts w:hint="eastAsia"/>
                <w:b/>
                <w:bCs/>
                <w:color w:val="auto"/>
                <w:szCs w:val="30"/>
                <w:highlight w:val="none"/>
                <w:lang w:val="en-US" w:eastAsia="zh-CN"/>
              </w:rPr>
              <w:t>4</w:t>
            </w:r>
            <w:r>
              <w:rPr>
                <w:b/>
                <w:bCs/>
                <w:color w:val="auto"/>
                <w:szCs w:val="30"/>
                <w:highlight w:val="none"/>
              </w:rPr>
              <w:t>.1环保投资估算</w:t>
            </w:r>
          </w:p>
          <w:p w14:paraId="67B93A52">
            <w:pPr>
              <w:widowControl/>
              <w:spacing w:line="360" w:lineRule="auto"/>
              <w:ind w:firstLine="480" w:firstLineChars="200"/>
              <w:jc w:val="left"/>
              <w:rPr>
                <w:bCs/>
                <w:color w:val="auto"/>
                <w:szCs w:val="32"/>
                <w:highlight w:val="none"/>
              </w:rPr>
            </w:pPr>
            <w:r>
              <w:rPr>
                <w:bCs/>
                <w:color w:val="auto"/>
                <w:szCs w:val="32"/>
                <w:highlight w:val="none"/>
              </w:rPr>
              <w:t>该项目总投资</w:t>
            </w:r>
            <w:r>
              <w:rPr>
                <w:rFonts w:hint="eastAsia"/>
                <w:bCs/>
                <w:color w:val="auto"/>
                <w:szCs w:val="32"/>
                <w:highlight w:val="none"/>
                <w:lang w:val="en-US" w:eastAsia="zh-CN"/>
              </w:rPr>
              <w:t>90万</w:t>
            </w:r>
            <w:r>
              <w:rPr>
                <w:bCs/>
                <w:color w:val="auto"/>
                <w:szCs w:val="32"/>
                <w:highlight w:val="none"/>
              </w:rPr>
              <w:t>元，其中环保投资</w:t>
            </w:r>
            <w:r>
              <w:rPr>
                <w:rFonts w:hint="eastAsia"/>
                <w:bCs/>
                <w:color w:val="auto"/>
                <w:szCs w:val="32"/>
                <w:highlight w:val="none"/>
                <w:lang w:val="en-US" w:eastAsia="zh-CN"/>
              </w:rPr>
              <w:t>4</w:t>
            </w:r>
            <w:r>
              <w:rPr>
                <w:bCs/>
                <w:color w:val="auto"/>
                <w:szCs w:val="32"/>
                <w:highlight w:val="none"/>
              </w:rPr>
              <w:t>万元，占总投资的</w:t>
            </w:r>
            <w:r>
              <w:rPr>
                <w:rFonts w:hint="eastAsia"/>
                <w:bCs/>
                <w:color w:val="auto"/>
                <w:szCs w:val="32"/>
                <w:highlight w:val="none"/>
                <w:lang w:val="en-US" w:eastAsia="zh-CN"/>
              </w:rPr>
              <w:t>4.44</w:t>
            </w:r>
            <w:r>
              <w:rPr>
                <w:bCs/>
                <w:color w:val="auto"/>
                <w:szCs w:val="32"/>
                <w:highlight w:val="none"/>
              </w:rPr>
              <w:t>%，具体如下表4-1</w:t>
            </w:r>
            <w:r>
              <w:rPr>
                <w:rFonts w:hint="eastAsia"/>
                <w:bCs/>
                <w:color w:val="auto"/>
                <w:szCs w:val="32"/>
                <w:highlight w:val="none"/>
                <w:lang w:val="en-US" w:eastAsia="zh-CN"/>
              </w:rPr>
              <w:t>4</w:t>
            </w:r>
            <w:r>
              <w:rPr>
                <w:bCs/>
                <w:color w:val="auto"/>
                <w:szCs w:val="32"/>
                <w:highlight w:val="none"/>
              </w:rPr>
              <w:t>所示：</w:t>
            </w:r>
          </w:p>
          <w:p w14:paraId="0C8F49F3">
            <w:pPr>
              <w:widowControl/>
              <w:jc w:val="center"/>
              <w:rPr>
                <w:b/>
                <w:color w:val="auto"/>
                <w:kern w:val="0"/>
                <w:highlight w:val="none"/>
              </w:rPr>
            </w:pPr>
            <w:r>
              <w:rPr>
                <w:b/>
                <w:color w:val="auto"/>
                <w:kern w:val="0"/>
                <w:highlight w:val="none"/>
              </w:rPr>
              <w:t>表4-1</w:t>
            </w:r>
            <w:r>
              <w:rPr>
                <w:rFonts w:hint="eastAsia"/>
                <w:b/>
                <w:color w:val="auto"/>
                <w:kern w:val="0"/>
                <w:highlight w:val="none"/>
                <w:lang w:val="en-US" w:eastAsia="zh-CN"/>
              </w:rPr>
              <w:t>4</w:t>
            </w:r>
            <w:r>
              <w:rPr>
                <w:b/>
                <w:color w:val="auto"/>
                <w:kern w:val="0"/>
                <w:highlight w:val="none"/>
              </w:rPr>
              <w:t xml:space="preserve">  环保投资一览表（万元）</w:t>
            </w:r>
          </w:p>
          <w:tbl>
            <w:tblPr>
              <w:tblStyle w:val="50"/>
              <w:tblW w:w="798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4"/>
              <w:gridCol w:w="1333"/>
              <w:gridCol w:w="3272"/>
              <w:gridCol w:w="2041"/>
            </w:tblGrid>
            <w:tr w14:paraId="2E9C4F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4" w:type="dxa"/>
                  <w:tcBorders>
                    <w:tl2br w:val="nil"/>
                    <w:tr2bl w:val="nil"/>
                  </w:tcBorders>
                  <w:shd w:val="clear" w:color="auto" w:fill="auto"/>
                  <w:vAlign w:val="center"/>
                </w:tcPr>
                <w:p w14:paraId="4B1E3785">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序号</w:t>
                  </w:r>
                </w:p>
              </w:tc>
              <w:tc>
                <w:tcPr>
                  <w:tcW w:w="1333" w:type="dxa"/>
                  <w:tcBorders>
                    <w:tl2br w:val="nil"/>
                    <w:tr2bl w:val="nil"/>
                  </w:tcBorders>
                  <w:shd w:val="clear" w:color="auto" w:fill="auto"/>
                  <w:vAlign w:val="center"/>
                </w:tcPr>
                <w:p w14:paraId="0331EEB3">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类别</w:t>
                  </w:r>
                </w:p>
              </w:tc>
              <w:tc>
                <w:tcPr>
                  <w:tcW w:w="3272" w:type="dxa"/>
                  <w:tcBorders>
                    <w:tl2br w:val="nil"/>
                    <w:tr2bl w:val="nil"/>
                  </w:tcBorders>
                  <w:shd w:val="clear" w:color="auto" w:fill="auto"/>
                  <w:vAlign w:val="center"/>
                </w:tcPr>
                <w:p w14:paraId="19EC577D">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污染防治措施</w:t>
                  </w:r>
                </w:p>
              </w:tc>
              <w:tc>
                <w:tcPr>
                  <w:tcW w:w="2041" w:type="dxa"/>
                  <w:tcBorders>
                    <w:tl2br w:val="nil"/>
                    <w:tr2bl w:val="nil"/>
                  </w:tcBorders>
                  <w:shd w:val="clear" w:color="auto" w:fill="auto"/>
                  <w:vAlign w:val="center"/>
                </w:tcPr>
                <w:p w14:paraId="21934A91">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投资费用</w:t>
                  </w:r>
                </w:p>
              </w:tc>
            </w:tr>
            <w:tr w14:paraId="35D15B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4" w:type="dxa"/>
                  <w:tcBorders>
                    <w:tl2br w:val="nil"/>
                    <w:tr2bl w:val="nil"/>
                  </w:tcBorders>
                  <w:shd w:val="clear" w:color="auto" w:fill="auto"/>
                  <w:vAlign w:val="center"/>
                </w:tcPr>
                <w:p w14:paraId="46D216D4">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1</w:t>
                  </w:r>
                </w:p>
              </w:tc>
              <w:tc>
                <w:tcPr>
                  <w:tcW w:w="1333" w:type="dxa"/>
                  <w:tcBorders>
                    <w:tl2br w:val="nil"/>
                    <w:tr2bl w:val="nil"/>
                  </w:tcBorders>
                  <w:shd w:val="clear" w:color="auto" w:fill="auto"/>
                  <w:vAlign w:val="center"/>
                </w:tcPr>
                <w:p w14:paraId="49C9B4A4">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废水</w:t>
                  </w:r>
                </w:p>
              </w:tc>
              <w:tc>
                <w:tcPr>
                  <w:tcW w:w="3272" w:type="dxa"/>
                  <w:tcBorders>
                    <w:tl2br w:val="nil"/>
                    <w:tr2bl w:val="nil"/>
                  </w:tcBorders>
                  <w:shd w:val="clear" w:color="auto" w:fill="auto"/>
                  <w:vAlign w:val="center"/>
                </w:tcPr>
                <w:p w14:paraId="4E295EEF">
                  <w:pPr>
                    <w:pStyle w:val="189"/>
                    <w:spacing w:line="240" w:lineRule="auto"/>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消毒设备</w:t>
                  </w:r>
                  <w:r>
                    <w:rPr>
                      <w:rFonts w:ascii="Times New Roman" w:hAnsi="Times New Roman" w:eastAsia="宋体" w:cs="Times New Roman"/>
                      <w:color w:val="auto"/>
                      <w:highlight w:val="none"/>
                    </w:rPr>
                    <w:t>、化粪池</w:t>
                  </w:r>
                </w:p>
              </w:tc>
              <w:tc>
                <w:tcPr>
                  <w:tcW w:w="2041" w:type="dxa"/>
                  <w:tcBorders>
                    <w:tl2br w:val="nil"/>
                    <w:tr2bl w:val="nil"/>
                  </w:tcBorders>
                  <w:shd w:val="clear" w:color="auto" w:fill="auto"/>
                  <w:vAlign w:val="center"/>
                </w:tcPr>
                <w:p w14:paraId="0798212C">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r>
            <w:tr w14:paraId="22CDE0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4" w:type="dxa"/>
                  <w:tcBorders>
                    <w:tl2br w:val="nil"/>
                    <w:tr2bl w:val="nil"/>
                  </w:tcBorders>
                  <w:shd w:val="clear" w:color="auto" w:fill="auto"/>
                  <w:vAlign w:val="center"/>
                </w:tcPr>
                <w:p w14:paraId="439C2CE7">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2</w:t>
                  </w:r>
                </w:p>
              </w:tc>
              <w:tc>
                <w:tcPr>
                  <w:tcW w:w="1333" w:type="dxa"/>
                  <w:tcBorders>
                    <w:tl2br w:val="nil"/>
                    <w:tr2bl w:val="nil"/>
                  </w:tcBorders>
                  <w:shd w:val="clear" w:color="auto" w:fill="auto"/>
                  <w:vAlign w:val="center"/>
                </w:tcPr>
                <w:p w14:paraId="504B00AE">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废气</w:t>
                  </w:r>
                </w:p>
              </w:tc>
              <w:tc>
                <w:tcPr>
                  <w:tcW w:w="3272" w:type="dxa"/>
                  <w:tcBorders>
                    <w:tl2br w:val="nil"/>
                    <w:tr2bl w:val="nil"/>
                  </w:tcBorders>
                  <w:shd w:val="clear" w:color="auto" w:fill="auto"/>
                  <w:vAlign w:val="center"/>
                </w:tcPr>
                <w:p w14:paraId="30D5B6F8">
                  <w:pPr>
                    <w:pStyle w:val="189"/>
                    <w:spacing w:line="240" w:lineRule="auto"/>
                    <w:rPr>
                      <w:rFonts w:hint="default" w:ascii="Times New Roman" w:hAnsi="Times New Roman" w:eastAsia="宋体" w:cs="Times New Roman"/>
                      <w:color w:val="auto"/>
                      <w:highlight w:val="none"/>
                      <w:lang w:val="en-US" w:eastAsia="zh-CN"/>
                    </w:rPr>
                  </w:pPr>
                  <w:r>
                    <w:rPr>
                      <w:rFonts w:ascii="Times New Roman" w:hAnsi="Times New Roman" w:eastAsia="宋体" w:cs="Times New Roman"/>
                      <w:color w:val="auto"/>
                      <w:highlight w:val="none"/>
                    </w:rPr>
                    <w:t>除臭剂</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新风系统</w:t>
                  </w:r>
                </w:p>
              </w:tc>
              <w:tc>
                <w:tcPr>
                  <w:tcW w:w="2041" w:type="dxa"/>
                  <w:tcBorders>
                    <w:tl2br w:val="nil"/>
                    <w:tr2bl w:val="nil"/>
                  </w:tcBorders>
                  <w:shd w:val="clear" w:color="auto" w:fill="auto"/>
                  <w:vAlign w:val="center"/>
                </w:tcPr>
                <w:p w14:paraId="7BECAD4F">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w:t>
                  </w:r>
                </w:p>
              </w:tc>
            </w:tr>
            <w:tr w14:paraId="1E16A0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334" w:type="dxa"/>
                  <w:tcBorders>
                    <w:tl2br w:val="nil"/>
                    <w:tr2bl w:val="nil"/>
                  </w:tcBorders>
                  <w:shd w:val="clear" w:color="auto" w:fill="auto"/>
                  <w:vAlign w:val="center"/>
                </w:tcPr>
                <w:p w14:paraId="68C13514">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3</w:t>
                  </w:r>
                </w:p>
              </w:tc>
              <w:tc>
                <w:tcPr>
                  <w:tcW w:w="1333" w:type="dxa"/>
                  <w:tcBorders>
                    <w:tl2br w:val="nil"/>
                    <w:tr2bl w:val="nil"/>
                  </w:tcBorders>
                  <w:shd w:val="clear" w:color="auto" w:fill="auto"/>
                  <w:vAlign w:val="center"/>
                </w:tcPr>
                <w:p w14:paraId="4A08C4A3">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噪声</w:t>
                  </w:r>
                </w:p>
              </w:tc>
              <w:tc>
                <w:tcPr>
                  <w:tcW w:w="3272" w:type="dxa"/>
                  <w:tcBorders>
                    <w:tl2br w:val="nil"/>
                    <w:tr2bl w:val="nil"/>
                  </w:tcBorders>
                  <w:shd w:val="clear" w:color="auto" w:fill="auto"/>
                  <w:vAlign w:val="center"/>
                </w:tcPr>
                <w:p w14:paraId="6CD690D5">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门窗隔声</w:t>
                  </w:r>
                </w:p>
              </w:tc>
              <w:tc>
                <w:tcPr>
                  <w:tcW w:w="2041" w:type="dxa"/>
                  <w:tcBorders>
                    <w:tl2br w:val="nil"/>
                    <w:tr2bl w:val="nil"/>
                  </w:tcBorders>
                  <w:shd w:val="clear" w:color="auto" w:fill="auto"/>
                  <w:vAlign w:val="center"/>
                </w:tcPr>
                <w:p w14:paraId="675675D4">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w:t>
                  </w:r>
                </w:p>
              </w:tc>
            </w:tr>
            <w:tr w14:paraId="7A8A72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4" w:type="dxa"/>
                  <w:tcBorders>
                    <w:tl2br w:val="nil"/>
                    <w:tr2bl w:val="nil"/>
                  </w:tcBorders>
                  <w:shd w:val="clear" w:color="auto" w:fill="auto"/>
                  <w:vAlign w:val="center"/>
                </w:tcPr>
                <w:p w14:paraId="3F87B827">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4</w:t>
                  </w:r>
                </w:p>
              </w:tc>
              <w:tc>
                <w:tcPr>
                  <w:tcW w:w="1333" w:type="dxa"/>
                  <w:tcBorders>
                    <w:tl2br w:val="nil"/>
                    <w:tr2bl w:val="nil"/>
                  </w:tcBorders>
                  <w:shd w:val="clear" w:color="auto" w:fill="auto"/>
                  <w:vAlign w:val="center"/>
                </w:tcPr>
                <w:p w14:paraId="2FF9E2DD">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固废</w:t>
                  </w:r>
                </w:p>
              </w:tc>
              <w:tc>
                <w:tcPr>
                  <w:tcW w:w="3272" w:type="dxa"/>
                  <w:tcBorders>
                    <w:tl2br w:val="nil"/>
                    <w:tr2bl w:val="nil"/>
                  </w:tcBorders>
                  <w:shd w:val="clear" w:color="auto" w:fill="auto"/>
                  <w:vAlign w:val="center"/>
                </w:tcPr>
                <w:p w14:paraId="65DB1225">
                  <w:pPr>
                    <w:pStyle w:val="189"/>
                    <w:spacing w:line="240" w:lineRule="auto"/>
                    <w:rPr>
                      <w:rFonts w:hint="eastAsia" w:ascii="Times New Roman" w:hAnsi="Times New Roman" w:eastAsia="宋体" w:cs="Times New Roman"/>
                      <w:color w:val="auto"/>
                      <w:highlight w:val="none"/>
                      <w:lang w:eastAsia="zh-CN"/>
                    </w:rPr>
                  </w:pPr>
                  <w:r>
                    <w:rPr>
                      <w:rFonts w:ascii="Times New Roman" w:hAnsi="Times New Roman" w:eastAsia="宋体" w:cs="Times New Roman"/>
                      <w:color w:val="auto"/>
                      <w:highlight w:val="none"/>
                    </w:rPr>
                    <w:t>垃圾桶、</w:t>
                  </w:r>
                  <w:r>
                    <w:rPr>
                      <w:rFonts w:hint="eastAsia" w:ascii="Times New Roman" w:hAnsi="Times New Roman" w:eastAsia="宋体" w:cs="Times New Roman"/>
                      <w:color w:val="auto"/>
                      <w:highlight w:val="none"/>
                      <w:lang w:eastAsia="zh-CN"/>
                    </w:rPr>
                    <w:t>危废间</w:t>
                  </w:r>
                </w:p>
              </w:tc>
              <w:tc>
                <w:tcPr>
                  <w:tcW w:w="2041" w:type="dxa"/>
                  <w:tcBorders>
                    <w:tl2br w:val="nil"/>
                    <w:tr2bl w:val="nil"/>
                  </w:tcBorders>
                  <w:shd w:val="clear" w:color="auto" w:fill="auto"/>
                  <w:vAlign w:val="center"/>
                </w:tcPr>
                <w:p w14:paraId="35202F27">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0.5</w:t>
                  </w:r>
                </w:p>
              </w:tc>
            </w:tr>
            <w:tr w14:paraId="066F68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39" w:type="dxa"/>
                  <w:gridSpan w:val="3"/>
                  <w:tcBorders>
                    <w:tl2br w:val="nil"/>
                    <w:tr2bl w:val="nil"/>
                  </w:tcBorders>
                  <w:shd w:val="clear" w:color="auto" w:fill="auto"/>
                  <w:vAlign w:val="center"/>
                </w:tcPr>
                <w:p w14:paraId="407D9ACD">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合计</w:t>
                  </w:r>
                </w:p>
              </w:tc>
              <w:tc>
                <w:tcPr>
                  <w:tcW w:w="2041" w:type="dxa"/>
                  <w:tcBorders>
                    <w:tl2br w:val="nil"/>
                    <w:tr2bl w:val="nil"/>
                  </w:tcBorders>
                  <w:shd w:val="clear" w:color="auto" w:fill="auto"/>
                  <w:vAlign w:val="center"/>
                </w:tcPr>
                <w:p w14:paraId="31F9FF26">
                  <w:pPr>
                    <w:pStyle w:val="189"/>
                    <w:spacing w:line="240" w:lineRule="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w:t>
                  </w:r>
                </w:p>
              </w:tc>
            </w:tr>
          </w:tbl>
          <w:p w14:paraId="22B825DF">
            <w:pPr>
              <w:widowControl/>
              <w:spacing w:line="360" w:lineRule="auto"/>
              <w:jc w:val="left"/>
              <w:rPr>
                <w:b/>
                <w:bCs/>
                <w:color w:val="auto"/>
                <w:szCs w:val="30"/>
                <w:highlight w:val="none"/>
              </w:rPr>
            </w:pPr>
            <w:r>
              <w:rPr>
                <w:b/>
                <w:bCs/>
                <w:color w:val="auto"/>
                <w:szCs w:val="30"/>
                <w:highlight w:val="none"/>
              </w:rPr>
              <w:t>4.1</w:t>
            </w:r>
            <w:r>
              <w:rPr>
                <w:rFonts w:hint="eastAsia"/>
                <w:b/>
                <w:bCs/>
                <w:color w:val="auto"/>
                <w:szCs w:val="30"/>
                <w:highlight w:val="none"/>
                <w:lang w:val="en-US" w:eastAsia="zh-CN"/>
              </w:rPr>
              <w:t>4</w:t>
            </w:r>
            <w:r>
              <w:rPr>
                <w:b/>
                <w:bCs/>
                <w:color w:val="auto"/>
                <w:szCs w:val="30"/>
                <w:highlight w:val="none"/>
              </w:rPr>
              <w:t>.2环境影响经济损益分析</w:t>
            </w:r>
          </w:p>
          <w:p w14:paraId="167F2FFA">
            <w:pPr>
              <w:pStyle w:val="157"/>
              <w:ind w:firstLine="48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本</w:t>
            </w:r>
            <w:r>
              <w:rPr>
                <w:rFonts w:ascii="Times New Roman" w:hAnsi="Times New Roman" w:eastAsia="宋体" w:cs="Times New Roman"/>
                <w:color w:val="auto"/>
                <w:highlight w:val="none"/>
              </w:rPr>
              <w:t>项目环保投资共计约</w:t>
            </w:r>
            <w:r>
              <w:rPr>
                <w:rFonts w:hint="eastAsia" w:ascii="Times New Roman" w:hAnsi="Times New Roman" w:eastAsia="宋体" w:cs="Times New Roman"/>
                <w:color w:val="auto"/>
                <w:highlight w:val="none"/>
                <w:lang w:val="en-US" w:eastAsia="zh-CN"/>
              </w:rPr>
              <w:t>4</w:t>
            </w:r>
            <w:r>
              <w:rPr>
                <w:rFonts w:ascii="Times New Roman" w:hAnsi="Times New Roman" w:eastAsia="宋体" w:cs="Times New Roman"/>
                <w:color w:val="auto"/>
                <w:highlight w:val="none"/>
              </w:rPr>
              <w:t>万元。环保设施的投入运行，可减少污染物排放，减轻周围环境的污染，保证</w:t>
            </w:r>
            <w:r>
              <w:rPr>
                <w:rFonts w:hint="eastAsia" w:ascii="Times New Roman" w:hAnsi="Times New Roman" w:eastAsia="宋体" w:cs="Times New Roman"/>
                <w:color w:val="auto"/>
                <w:highlight w:val="none"/>
                <w:lang w:val="en-US" w:eastAsia="zh-CN"/>
              </w:rPr>
              <w:t>医院</w:t>
            </w:r>
            <w:r>
              <w:rPr>
                <w:rFonts w:hint="eastAsia" w:ascii="Times New Roman" w:hAnsi="Times New Roman" w:eastAsia="宋体" w:cs="Times New Roman"/>
                <w:color w:val="auto"/>
                <w:highlight w:val="none"/>
                <w:lang w:eastAsia="zh-CN"/>
              </w:rPr>
              <w:t>员工</w:t>
            </w:r>
            <w:r>
              <w:rPr>
                <w:rFonts w:ascii="Times New Roman" w:hAnsi="Times New Roman" w:eastAsia="宋体" w:cs="Times New Roman"/>
                <w:color w:val="auto"/>
                <w:highlight w:val="none"/>
              </w:rPr>
              <w:t>的身心健康，创造良好的生活环境，同时项目的正常运行可增加当地的劳动就业和地方税收</w:t>
            </w:r>
            <w:r>
              <w:rPr>
                <w:rFonts w:hint="eastAsia" w:ascii="Times New Roman" w:hAnsi="Times New Roman" w:eastAsia="宋体" w:cs="Times New Roman"/>
                <w:color w:val="auto"/>
                <w:highlight w:val="none"/>
                <w:lang w:eastAsia="zh-CN"/>
              </w:rPr>
              <w:t>，</w:t>
            </w:r>
            <w:r>
              <w:rPr>
                <w:rFonts w:ascii="Times New Roman" w:hAnsi="Times New Roman" w:eastAsia="宋体" w:cs="Times New Roman"/>
                <w:color w:val="auto"/>
                <w:highlight w:val="none"/>
              </w:rPr>
              <w:t>具有良好的社会、经济和环境效益。</w:t>
            </w:r>
          </w:p>
          <w:p w14:paraId="06B904CF">
            <w:pPr>
              <w:pStyle w:val="157"/>
              <w:ind w:firstLine="0" w:firstLineChars="0"/>
              <w:rPr>
                <w:b/>
                <w:color w:val="auto"/>
                <w:szCs w:val="24"/>
                <w:highlight w:val="none"/>
              </w:rPr>
            </w:pPr>
            <w:r>
              <w:rPr>
                <w:rFonts w:hint="eastAsia" w:ascii="Times New Roman" w:hAnsi="Times New Roman" w:eastAsia="宋体" w:cs="Times New Roman"/>
                <w:b/>
                <w:sz w:val="28"/>
                <w:highlight w:val="none"/>
              </w:rPr>
              <w:t>4.1</w:t>
            </w:r>
            <w:r>
              <w:rPr>
                <w:rFonts w:hint="eastAsia" w:ascii="Times New Roman" w:hAnsi="Times New Roman" w:eastAsia="宋体" w:cs="Times New Roman"/>
                <w:b/>
                <w:sz w:val="28"/>
                <w:highlight w:val="none"/>
                <w:lang w:val="en-US" w:eastAsia="zh-CN"/>
              </w:rPr>
              <w:t xml:space="preserve">5 </w:t>
            </w:r>
            <w:r>
              <w:rPr>
                <w:rFonts w:hint="eastAsia" w:ascii="Times New Roman" w:hAnsi="Times New Roman" w:eastAsia="宋体" w:cs="Times New Roman"/>
                <w:b/>
                <w:sz w:val="28"/>
                <w:highlight w:val="none"/>
              </w:rPr>
              <w:t>竣工</w:t>
            </w:r>
            <w:r>
              <w:rPr>
                <w:rFonts w:ascii="Times New Roman" w:hAnsi="Times New Roman" w:eastAsia="宋体" w:cs="Times New Roman"/>
                <w:b/>
                <w:sz w:val="28"/>
                <w:highlight w:val="none"/>
              </w:rPr>
              <w:t>验收</w:t>
            </w:r>
          </w:p>
          <w:p w14:paraId="669B2CFA">
            <w:pPr>
              <w:autoSpaceDE w:val="0"/>
              <w:autoSpaceDN w:val="0"/>
              <w:spacing w:line="360" w:lineRule="auto"/>
              <w:ind w:firstLine="480" w:firstLineChars="200"/>
              <w:rPr>
                <w:bCs/>
                <w:highlight w:val="none"/>
              </w:rPr>
            </w:pPr>
            <w:r>
              <w:rPr>
                <w:bCs/>
                <w:highlight w:val="none"/>
              </w:rPr>
              <w:t>根据《建设项目环境保护管理条例》规定，建设项目需要配套建设的环保设施，必须与主体工程同时设计、同时施工、同时投产使用。建设单位应严格落实建设项目的环保措施，强化建设期和运营期的环境管理。</w:t>
            </w:r>
          </w:p>
          <w:p w14:paraId="6EC20854">
            <w:pPr>
              <w:autoSpaceDE w:val="0"/>
              <w:autoSpaceDN w:val="0"/>
              <w:spacing w:line="360" w:lineRule="auto"/>
              <w:ind w:firstLine="480" w:firstLineChars="200"/>
              <w:rPr>
                <w:bCs/>
                <w:highlight w:val="none"/>
              </w:rPr>
            </w:pPr>
            <w:r>
              <w:rPr>
                <w:bCs/>
                <w:highlight w:val="none"/>
              </w:rPr>
              <w:t>建设单位应按照《建设项目竣工环境保护验收技术指南 污染影响类》（生态环境部2018年第9号）、《建设项目竣工环境保护验收暂行办法》（国环规环评</w:t>
            </w:r>
            <w:r>
              <w:rPr>
                <w:rFonts w:hint="eastAsia" w:ascii="Times New Roman" w:hAnsi="Times New Roman" w:eastAsia="宋体" w:cs="Times New Roman"/>
                <w:color w:val="auto"/>
                <w:szCs w:val="24"/>
                <w:highlight w:val="none"/>
              </w:rPr>
              <w:t>〔</w:t>
            </w:r>
            <w:r>
              <w:rPr>
                <w:bCs/>
                <w:highlight w:val="none"/>
              </w:rPr>
              <w:t>2017</w:t>
            </w:r>
            <w:r>
              <w:rPr>
                <w:rFonts w:hint="eastAsia" w:ascii="Times New Roman" w:hAnsi="Times New Roman" w:eastAsia="宋体" w:cs="Times New Roman"/>
                <w:color w:val="auto"/>
                <w:szCs w:val="24"/>
                <w:highlight w:val="none"/>
              </w:rPr>
              <w:t>〕</w:t>
            </w:r>
            <w:r>
              <w:rPr>
                <w:bCs/>
                <w:highlight w:val="none"/>
              </w:rPr>
              <w:t>4号）开展竣工环境保护验收工作，并作为竣工环境保护验收工作的责任主体，对验收内容、结论和公开信息的真实性、准确性和完整性负责。</w:t>
            </w:r>
          </w:p>
          <w:p w14:paraId="77F04B41">
            <w:pPr>
              <w:autoSpaceDE w:val="0"/>
              <w:autoSpaceDN w:val="0"/>
              <w:spacing w:line="360" w:lineRule="auto"/>
              <w:ind w:firstLine="480" w:firstLineChars="200"/>
              <w:rPr>
                <w:bCs/>
                <w:highlight w:val="none"/>
              </w:rPr>
            </w:pPr>
            <w:r>
              <w:rPr>
                <w:bCs/>
                <w:highlight w:val="none"/>
              </w:rPr>
              <w:t>自2017年10月1日起，建设单位应按照国家及本市有关法律法规、建设项目竣工环境保护验收技术规范、建设项目环境影响报告书（表）和审批决定等要求，自主开展相关验收工作。在项目开工前、施工过程中及建成后分别登入</w:t>
            </w:r>
            <w:r>
              <w:rPr>
                <w:rFonts w:hint="eastAsia"/>
                <w:bCs/>
                <w:highlight w:val="none"/>
              </w:rPr>
              <w:t>“</w:t>
            </w:r>
            <w:r>
              <w:rPr>
                <w:bCs/>
                <w:highlight w:val="none"/>
              </w:rPr>
              <w:t>企事业单位环境信息公开平台</w:t>
            </w:r>
            <w:r>
              <w:rPr>
                <w:rFonts w:hint="eastAsia"/>
                <w:bCs/>
                <w:highlight w:val="none"/>
              </w:rPr>
              <w:t>”</w:t>
            </w:r>
            <w:r>
              <w:rPr>
                <w:bCs/>
                <w:highlight w:val="none"/>
              </w:rPr>
              <w:t>发布相关环境信息</w:t>
            </w:r>
            <w:r>
              <w:rPr>
                <w:rFonts w:hint="eastAsia"/>
                <w:bCs/>
                <w:highlight w:val="none"/>
              </w:rPr>
              <w:t>。</w:t>
            </w:r>
          </w:p>
          <w:p w14:paraId="37F1F38D">
            <w:pPr>
              <w:autoSpaceDE w:val="0"/>
              <w:autoSpaceDN w:val="0"/>
              <w:spacing w:line="360" w:lineRule="auto"/>
              <w:ind w:firstLine="480" w:firstLineChars="200"/>
              <w:rPr>
                <w:bCs/>
                <w:highlight w:val="none"/>
              </w:rPr>
            </w:pPr>
          </w:p>
          <w:p w14:paraId="0B27A0B5">
            <w:pPr>
              <w:autoSpaceDE w:val="0"/>
              <w:autoSpaceDN w:val="0"/>
              <w:spacing w:line="360" w:lineRule="auto"/>
              <w:rPr>
                <w:bCs/>
                <w:highlight w:val="none"/>
              </w:rPr>
            </w:pPr>
          </w:p>
          <w:p w14:paraId="30461F43">
            <w:pPr>
              <w:pStyle w:val="60"/>
            </w:pPr>
          </w:p>
          <w:p w14:paraId="6615FA37">
            <w:pPr>
              <w:jc w:val="center"/>
              <w:rPr>
                <w:b/>
                <w:highlight w:val="none"/>
              </w:rPr>
            </w:pPr>
            <w:r>
              <w:rPr>
                <w:rFonts w:hint="eastAsia"/>
                <w:b/>
                <w:highlight w:val="none"/>
              </w:rPr>
              <w:t>表4-1</w:t>
            </w:r>
            <w:r>
              <w:rPr>
                <w:rFonts w:hint="eastAsia"/>
                <w:b/>
                <w:highlight w:val="none"/>
                <w:lang w:val="en-US" w:eastAsia="zh-CN"/>
              </w:rPr>
              <w:t>5</w:t>
            </w:r>
            <w:r>
              <w:rPr>
                <w:rFonts w:hint="eastAsia"/>
                <w:b/>
                <w:highlight w:val="none"/>
              </w:rPr>
              <w:t xml:space="preserve"> </w:t>
            </w:r>
            <w:r>
              <w:rPr>
                <w:rFonts w:hint="eastAsia"/>
                <w:b/>
                <w:highlight w:val="none"/>
                <w:lang w:val="en-US" w:eastAsia="zh-CN"/>
              </w:rPr>
              <w:t xml:space="preserve"> </w:t>
            </w:r>
            <w:r>
              <w:rPr>
                <w:rFonts w:hint="eastAsia"/>
                <w:b/>
                <w:highlight w:val="none"/>
              </w:rPr>
              <w:t>项目环保竣工验收一览表</w:t>
            </w:r>
          </w:p>
          <w:tbl>
            <w:tblPr>
              <w:tblStyle w:val="51"/>
              <w:tblW w:w="79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3"/>
              <w:gridCol w:w="810"/>
              <w:gridCol w:w="1137"/>
              <w:gridCol w:w="2276"/>
              <w:gridCol w:w="1251"/>
              <w:gridCol w:w="2089"/>
            </w:tblGrid>
            <w:tr w14:paraId="4C69D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413" w:type="dxa"/>
                  <w:vAlign w:val="center"/>
                </w:tcPr>
                <w:p w14:paraId="0B102210">
                  <w:pPr>
                    <w:pStyle w:val="153"/>
                    <w:rPr>
                      <w:rFonts w:ascii="Times New Roman" w:hAnsi="Times New Roman" w:cs="Times New Roman"/>
                      <w:b/>
                      <w:bCs/>
                      <w:highlight w:val="none"/>
                    </w:rPr>
                  </w:pPr>
                  <w:r>
                    <w:rPr>
                      <w:rFonts w:ascii="Times New Roman" w:hAnsi="Times New Roman" w:cs="Times New Roman"/>
                      <w:b/>
                      <w:bCs/>
                      <w:highlight w:val="none"/>
                    </w:rPr>
                    <w:t>类别</w:t>
                  </w:r>
                </w:p>
              </w:tc>
              <w:tc>
                <w:tcPr>
                  <w:tcW w:w="810" w:type="dxa"/>
                  <w:vAlign w:val="center"/>
                </w:tcPr>
                <w:p w14:paraId="2E020E05">
                  <w:pPr>
                    <w:pStyle w:val="153"/>
                    <w:rPr>
                      <w:rFonts w:ascii="Times New Roman" w:hAnsi="Times New Roman" w:cs="Times New Roman"/>
                      <w:b/>
                      <w:bCs/>
                      <w:highlight w:val="none"/>
                    </w:rPr>
                  </w:pPr>
                  <w:r>
                    <w:rPr>
                      <w:rFonts w:ascii="Times New Roman" w:hAnsi="Times New Roman" w:cs="Times New Roman"/>
                      <w:b/>
                      <w:bCs/>
                      <w:highlight w:val="none"/>
                    </w:rPr>
                    <w:t>排放源</w:t>
                  </w:r>
                </w:p>
              </w:tc>
              <w:tc>
                <w:tcPr>
                  <w:tcW w:w="1137" w:type="dxa"/>
                  <w:vAlign w:val="center"/>
                </w:tcPr>
                <w:p w14:paraId="25B3BD5B">
                  <w:pPr>
                    <w:pStyle w:val="153"/>
                    <w:rPr>
                      <w:rFonts w:ascii="Times New Roman" w:hAnsi="Times New Roman" w:cs="Times New Roman"/>
                      <w:b/>
                      <w:bCs/>
                      <w:highlight w:val="none"/>
                    </w:rPr>
                  </w:pPr>
                  <w:r>
                    <w:rPr>
                      <w:rFonts w:ascii="Times New Roman" w:hAnsi="Times New Roman" w:cs="Times New Roman"/>
                      <w:b/>
                      <w:bCs/>
                      <w:highlight w:val="none"/>
                    </w:rPr>
                    <w:t>污染因子</w:t>
                  </w:r>
                </w:p>
              </w:tc>
              <w:tc>
                <w:tcPr>
                  <w:tcW w:w="2276" w:type="dxa"/>
                  <w:vAlign w:val="center"/>
                </w:tcPr>
                <w:p w14:paraId="7CB85489">
                  <w:pPr>
                    <w:pStyle w:val="153"/>
                    <w:rPr>
                      <w:rFonts w:ascii="Times New Roman" w:hAnsi="Times New Roman" w:cs="Times New Roman"/>
                      <w:b/>
                      <w:bCs/>
                      <w:highlight w:val="none"/>
                    </w:rPr>
                  </w:pPr>
                  <w:r>
                    <w:rPr>
                      <w:rFonts w:ascii="Times New Roman" w:hAnsi="Times New Roman" w:cs="Times New Roman"/>
                      <w:b/>
                      <w:bCs/>
                      <w:highlight w:val="none"/>
                    </w:rPr>
                    <w:t>治理措施</w:t>
                  </w:r>
                </w:p>
              </w:tc>
              <w:tc>
                <w:tcPr>
                  <w:tcW w:w="1251" w:type="dxa"/>
                  <w:vAlign w:val="center"/>
                </w:tcPr>
                <w:p w14:paraId="0F528353">
                  <w:pPr>
                    <w:pStyle w:val="153"/>
                    <w:rPr>
                      <w:rFonts w:ascii="Times New Roman" w:hAnsi="Times New Roman" w:cs="Times New Roman"/>
                      <w:b/>
                      <w:bCs/>
                      <w:highlight w:val="none"/>
                    </w:rPr>
                  </w:pPr>
                  <w:r>
                    <w:rPr>
                      <w:rFonts w:ascii="Times New Roman" w:hAnsi="Times New Roman" w:cs="Times New Roman"/>
                      <w:b/>
                      <w:bCs/>
                      <w:highlight w:val="none"/>
                    </w:rPr>
                    <w:t>验收内容</w:t>
                  </w:r>
                </w:p>
              </w:tc>
              <w:tc>
                <w:tcPr>
                  <w:tcW w:w="2089" w:type="dxa"/>
                  <w:vAlign w:val="center"/>
                </w:tcPr>
                <w:p w14:paraId="2F5D20C7">
                  <w:pPr>
                    <w:pStyle w:val="153"/>
                    <w:rPr>
                      <w:rFonts w:ascii="Times New Roman" w:hAnsi="Times New Roman" w:cs="Times New Roman"/>
                      <w:b/>
                      <w:bCs/>
                      <w:highlight w:val="none"/>
                    </w:rPr>
                  </w:pPr>
                  <w:r>
                    <w:rPr>
                      <w:rFonts w:ascii="Times New Roman" w:hAnsi="Times New Roman" w:cs="Times New Roman"/>
                      <w:b/>
                      <w:bCs/>
                      <w:highlight w:val="none"/>
                    </w:rPr>
                    <w:t>验收标准</w:t>
                  </w:r>
                </w:p>
              </w:tc>
            </w:tr>
            <w:tr w14:paraId="05577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413" w:type="dxa"/>
                  <w:vAlign w:val="center"/>
                </w:tcPr>
                <w:p w14:paraId="262B8ADF">
                  <w:pPr>
                    <w:pStyle w:val="153"/>
                    <w:rPr>
                      <w:rFonts w:ascii="Times New Roman" w:hAnsi="Times New Roman" w:cs="Times New Roman"/>
                      <w:highlight w:val="none"/>
                    </w:rPr>
                  </w:pPr>
                  <w:r>
                    <w:rPr>
                      <w:rFonts w:ascii="Times New Roman" w:hAnsi="Times New Roman" w:cs="Times New Roman"/>
                      <w:highlight w:val="none"/>
                    </w:rPr>
                    <w:t>废气</w:t>
                  </w:r>
                </w:p>
              </w:tc>
              <w:tc>
                <w:tcPr>
                  <w:tcW w:w="810" w:type="dxa"/>
                  <w:vAlign w:val="center"/>
                </w:tcPr>
                <w:p w14:paraId="7D00F6C9">
                  <w:pPr>
                    <w:pStyle w:val="153"/>
                    <w:rPr>
                      <w:rFonts w:ascii="Times New Roman" w:hAnsi="Times New Roman" w:cs="Times New Roman"/>
                      <w:highlight w:val="none"/>
                    </w:rPr>
                  </w:pPr>
                  <w:r>
                    <w:rPr>
                      <w:rFonts w:ascii="Times New Roman" w:hAnsi="Times New Roman" w:cs="Times New Roman"/>
                      <w:szCs w:val="21"/>
                      <w:highlight w:val="none"/>
                    </w:rPr>
                    <w:t>项目场界</w:t>
                  </w:r>
                </w:p>
              </w:tc>
              <w:tc>
                <w:tcPr>
                  <w:tcW w:w="1137" w:type="dxa"/>
                  <w:vAlign w:val="center"/>
                </w:tcPr>
                <w:p w14:paraId="429CA575">
                  <w:pPr>
                    <w:autoSpaceDE w:val="0"/>
                    <w:autoSpaceDN w:val="0"/>
                    <w:adjustRightInd w:val="0"/>
                    <w:snapToGrid w:val="0"/>
                    <w:jc w:val="center"/>
                    <w:textAlignment w:val="bottom"/>
                    <w:rPr>
                      <w:rFonts w:hint="eastAsia" w:eastAsia="宋体"/>
                      <w:sz w:val="21"/>
                      <w:szCs w:val="21"/>
                      <w:highlight w:val="none"/>
                      <w:lang w:eastAsia="zh-CN"/>
                    </w:rPr>
                  </w:pPr>
                  <w:r>
                    <w:rPr>
                      <w:rFonts w:hint="eastAsia"/>
                      <w:sz w:val="21"/>
                      <w:szCs w:val="21"/>
                      <w:highlight w:val="none"/>
                    </w:rPr>
                    <w:t>臭气浓度</w:t>
                  </w:r>
                  <w:r>
                    <w:rPr>
                      <w:bCs/>
                      <w:color w:val="auto"/>
                      <w:sz w:val="21"/>
                      <w:szCs w:val="21"/>
                      <w:highlight w:val="none"/>
                    </w:rPr>
                    <w:t>、H</w:t>
                  </w:r>
                  <w:r>
                    <w:rPr>
                      <w:bCs/>
                      <w:color w:val="auto"/>
                      <w:sz w:val="21"/>
                      <w:szCs w:val="21"/>
                      <w:highlight w:val="none"/>
                      <w:vertAlign w:val="subscript"/>
                    </w:rPr>
                    <w:t>2</w:t>
                  </w:r>
                  <w:r>
                    <w:rPr>
                      <w:bCs/>
                      <w:color w:val="auto"/>
                      <w:sz w:val="21"/>
                      <w:szCs w:val="21"/>
                      <w:highlight w:val="none"/>
                    </w:rPr>
                    <w:t>S、NH</w:t>
                  </w:r>
                  <w:r>
                    <w:rPr>
                      <w:bCs/>
                      <w:color w:val="auto"/>
                      <w:sz w:val="21"/>
                      <w:szCs w:val="21"/>
                      <w:highlight w:val="none"/>
                      <w:vertAlign w:val="subscript"/>
                    </w:rPr>
                    <w:t>3</w:t>
                  </w:r>
                </w:p>
              </w:tc>
              <w:tc>
                <w:tcPr>
                  <w:tcW w:w="2276" w:type="dxa"/>
                  <w:vAlign w:val="center"/>
                </w:tcPr>
                <w:p w14:paraId="4020536C">
                  <w:pPr>
                    <w:pStyle w:val="153"/>
                    <w:rPr>
                      <w:rFonts w:ascii="Times New Roman" w:hAnsi="Times New Roman" w:cs="Times New Roman"/>
                      <w:highlight w:val="none"/>
                    </w:rPr>
                  </w:pPr>
                  <w:r>
                    <w:rPr>
                      <w:rFonts w:hint="eastAsia" w:ascii="Times New Roman" w:hAnsi="Times New Roman" w:cs="Times New Roman"/>
                      <w:highlight w:val="none"/>
                      <w:lang w:val="en-US" w:eastAsia="zh-CN"/>
                    </w:rPr>
                    <w:t>新风系统</w:t>
                  </w:r>
                  <w:r>
                    <w:rPr>
                      <w:rFonts w:ascii="Times New Roman" w:hAnsi="Times New Roman" w:cs="Times New Roman"/>
                      <w:highlight w:val="none"/>
                    </w:rPr>
                    <w:t>、定期喷洒除臭剂等</w:t>
                  </w:r>
                </w:p>
              </w:tc>
              <w:tc>
                <w:tcPr>
                  <w:tcW w:w="1251" w:type="dxa"/>
                  <w:vAlign w:val="center"/>
                </w:tcPr>
                <w:p w14:paraId="49D02376">
                  <w:pPr>
                    <w:jc w:val="center"/>
                    <w:rPr>
                      <w:highlight w:val="none"/>
                    </w:rPr>
                  </w:pPr>
                  <w:r>
                    <w:rPr>
                      <w:sz w:val="21"/>
                      <w:szCs w:val="21"/>
                      <w:highlight w:val="none"/>
                    </w:rPr>
                    <w:t>各污染物达标排放</w:t>
                  </w:r>
                </w:p>
              </w:tc>
              <w:tc>
                <w:tcPr>
                  <w:tcW w:w="2089" w:type="dxa"/>
                  <w:vAlign w:val="center"/>
                </w:tcPr>
                <w:p w14:paraId="2F1F7F0A">
                  <w:pPr>
                    <w:autoSpaceDE w:val="0"/>
                    <w:autoSpaceDN w:val="0"/>
                    <w:adjustRightInd w:val="0"/>
                    <w:snapToGrid w:val="0"/>
                    <w:jc w:val="center"/>
                    <w:textAlignment w:val="bottom"/>
                    <w:rPr>
                      <w:sz w:val="21"/>
                      <w:szCs w:val="21"/>
                      <w:highlight w:val="none"/>
                    </w:rPr>
                  </w:pPr>
                  <w:r>
                    <w:rPr>
                      <w:sz w:val="21"/>
                      <w:szCs w:val="21"/>
                      <w:highlight w:val="none"/>
                    </w:rPr>
                    <w:t>《恶臭污染物排放标准》（GB14554-93）表1中二级标准</w:t>
                  </w:r>
                </w:p>
              </w:tc>
            </w:tr>
            <w:tr w14:paraId="4DDED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0" w:hRule="atLeast"/>
              </w:trPr>
              <w:tc>
                <w:tcPr>
                  <w:tcW w:w="413" w:type="dxa"/>
                  <w:vAlign w:val="center"/>
                </w:tcPr>
                <w:p w14:paraId="24682612">
                  <w:pPr>
                    <w:pStyle w:val="153"/>
                    <w:rPr>
                      <w:rFonts w:ascii="Times New Roman" w:hAnsi="Times New Roman" w:cs="Times New Roman"/>
                      <w:highlight w:val="none"/>
                    </w:rPr>
                  </w:pPr>
                  <w:r>
                    <w:rPr>
                      <w:rFonts w:ascii="Times New Roman" w:hAnsi="Times New Roman" w:cs="Times New Roman"/>
                      <w:highlight w:val="none"/>
                    </w:rPr>
                    <w:t>废水</w:t>
                  </w:r>
                </w:p>
              </w:tc>
              <w:tc>
                <w:tcPr>
                  <w:tcW w:w="810" w:type="dxa"/>
                  <w:vAlign w:val="center"/>
                </w:tcPr>
                <w:p w14:paraId="61D0C66B">
                  <w:pPr>
                    <w:pStyle w:val="150"/>
                    <w:jc w:val="center"/>
                    <w:rPr>
                      <w:rFonts w:ascii="Times New Roman" w:hAnsi="Times New Roman" w:eastAsia="宋体" w:cs="Times New Roman"/>
                      <w:highlight w:val="none"/>
                    </w:rPr>
                  </w:pPr>
                  <w:r>
                    <w:rPr>
                      <w:rFonts w:hint="eastAsia" w:ascii="宋体" w:hAnsi="宋体" w:eastAsia="宋体" w:cs="宋体"/>
                      <w:sz w:val="21"/>
                      <w:szCs w:val="21"/>
                      <w:highlight w:val="none"/>
                    </w:rPr>
                    <w:t>污水总排口</w:t>
                  </w:r>
                </w:p>
              </w:tc>
              <w:tc>
                <w:tcPr>
                  <w:tcW w:w="1137" w:type="dxa"/>
                  <w:vAlign w:val="center"/>
                </w:tcPr>
                <w:p w14:paraId="1D34D2AE">
                  <w:pPr>
                    <w:adjustRightInd w:val="0"/>
                    <w:snapToGrid w:val="0"/>
                    <w:jc w:val="center"/>
                    <w:rPr>
                      <w:sz w:val="21"/>
                      <w:szCs w:val="21"/>
                      <w:highlight w:val="none"/>
                    </w:rPr>
                  </w:pPr>
                  <w:r>
                    <w:rPr>
                      <w:sz w:val="21"/>
                      <w:szCs w:val="21"/>
                      <w:highlight w:val="none"/>
                    </w:rPr>
                    <w:t>COD</w:t>
                  </w:r>
                  <w:r>
                    <w:rPr>
                      <w:rFonts w:hint="eastAsia"/>
                      <w:sz w:val="21"/>
                      <w:szCs w:val="21"/>
                      <w:highlight w:val="none"/>
                      <w:vertAlign w:val="subscript"/>
                      <w:lang w:val="en-US" w:eastAsia="zh-CN"/>
                    </w:rPr>
                    <w:t>Cr</w:t>
                  </w:r>
                  <w:r>
                    <w:rPr>
                      <w:sz w:val="21"/>
                      <w:szCs w:val="21"/>
                      <w:highlight w:val="none"/>
                    </w:rPr>
                    <w:t>、BOD</w:t>
                  </w:r>
                  <w:r>
                    <w:rPr>
                      <w:sz w:val="21"/>
                      <w:szCs w:val="21"/>
                      <w:highlight w:val="none"/>
                      <w:vertAlign w:val="subscript"/>
                    </w:rPr>
                    <w:t>5</w:t>
                  </w:r>
                  <w:r>
                    <w:rPr>
                      <w:sz w:val="21"/>
                      <w:szCs w:val="21"/>
                      <w:highlight w:val="none"/>
                    </w:rPr>
                    <w:t>、pH、SS、氨氮、粪大肠菌群</w:t>
                  </w:r>
                </w:p>
              </w:tc>
              <w:tc>
                <w:tcPr>
                  <w:tcW w:w="2276" w:type="dxa"/>
                  <w:vAlign w:val="center"/>
                </w:tcPr>
                <w:p w14:paraId="0F04F5B5">
                  <w:pPr>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val="en-US" w:eastAsia="zh-CN"/>
                    </w:rPr>
                    <w:t>宠物医疗废水</w:t>
                  </w:r>
                  <w:r>
                    <w:rPr>
                      <w:rFonts w:hint="eastAsia"/>
                      <w:color w:val="auto"/>
                      <w:sz w:val="21"/>
                      <w:szCs w:val="21"/>
                      <w:highlight w:val="none"/>
                      <w:lang w:eastAsia="zh-CN"/>
                    </w:rPr>
                    <w:t>、</w:t>
                  </w:r>
                  <w:r>
                    <w:rPr>
                      <w:rFonts w:hint="eastAsia"/>
                      <w:color w:val="auto"/>
                      <w:sz w:val="21"/>
                      <w:szCs w:val="21"/>
                      <w:highlight w:val="none"/>
                      <w:lang w:val="en-US" w:eastAsia="zh-CN"/>
                    </w:rPr>
                    <w:t>宠物美容废水和第二、三道检验设备清洗废水</w:t>
                  </w:r>
                  <w:r>
                    <w:rPr>
                      <w:color w:val="auto"/>
                      <w:sz w:val="21"/>
                      <w:szCs w:val="21"/>
                      <w:highlight w:val="none"/>
                    </w:rPr>
                    <w:t>经</w:t>
                  </w:r>
                  <w:r>
                    <w:rPr>
                      <w:rFonts w:hint="eastAsia"/>
                      <w:color w:val="auto"/>
                      <w:sz w:val="21"/>
                      <w:szCs w:val="21"/>
                      <w:highlight w:val="none"/>
                      <w:lang w:eastAsia="zh-CN"/>
                    </w:rPr>
                    <w:t>消毒设备</w:t>
                  </w:r>
                  <w:r>
                    <w:rPr>
                      <w:color w:val="auto"/>
                      <w:sz w:val="21"/>
                      <w:szCs w:val="21"/>
                      <w:highlight w:val="none"/>
                    </w:rPr>
                    <w:t>消毒与生活污水</w:t>
                  </w:r>
                  <w:r>
                    <w:rPr>
                      <w:rFonts w:hint="eastAsia"/>
                      <w:color w:val="auto"/>
                      <w:sz w:val="21"/>
                      <w:szCs w:val="21"/>
                      <w:highlight w:val="none"/>
                      <w:lang w:val="en-US" w:eastAsia="zh-CN"/>
                    </w:rPr>
                    <w:t>一并排放</w:t>
                  </w:r>
                  <w:r>
                    <w:rPr>
                      <w:color w:val="auto"/>
                      <w:sz w:val="21"/>
                      <w:szCs w:val="21"/>
                      <w:highlight w:val="none"/>
                    </w:rPr>
                    <w:t>化粪池</w:t>
                  </w:r>
                  <w:r>
                    <w:rPr>
                      <w:rFonts w:hint="eastAsia"/>
                      <w:color w:val="auto"/>
                      <w:sz w:val="21"/>
                      <w:szCs w:val="21"/>
                      <w:highlight w:val="none"/>
                      <w:lang w:val="en-US" w:eastAsia="zh-CN"/>
                    </w:rPr>
                    <w:t>经</w:t>
                  </w:r>
                  <w:r>
                    <w:rPr>
                      <w:color w:val="auto"/>
                      <w:sz w:val="21"/>
                      <w:szCs w:val="21"/>
                      <w:highlight w:val="none"/>
                    </w:rPr>
                    <w:t>市政污水管网</w:t>
                  </w:r>
                  <w:r>
                    <w:rPr>
                      <w:rFonts w:hint="eastAsia"/>
                      <w:color w:val="auto"/>
                      <w:sz w:val="21"/>
                      <w:szCs w:val="21"/>
                      <w:highlight w:val="none"/>
                      <w:lang w:val="en-US" w:eastAsia="zh-CN"/>
                    </w:rPr>
                    <w:t>统一纳入</w:t>
                  </w:r>
                  <w:r>
                    <w:rPr>
                      <w:color w:val="auto"/>
                      <w:sz w:val="21"/>
                      <w:szCs w:val="21"/>
                      <w:highlight w:val="none"/>
                    </w:rPr>
                    <w:t>洋里污水处理厂</w:t>
                  </w:r>
                </w:p>
              </w:tc>
              <w:tc>
                <w:tcPr>
                  <w:tcW w:w="1251" w:type="dxa"/>
                  <w:vAlign w:val="center"/>
                </w:tcPr>
                <w:p w14:paraId="555B577C">
                  <w:pPr>
                    <w:pStyle w:val="153"/>
                    <w:rPr>
                      <w:rFonts w:ascii="Times New Roman" w:hAnsi="Times New Roman" w:cs="Times New Roman"/>
                      <w:highlight w:val="none"/>
                    </w:rPr>
                  </w:pPr>
                  <w:r>
                    <w:rPr>
                      <w:rFonts w:ascii="Times New Roman" w:hAnsi="Times New Roman" w:cs="Times New Roman"/>
                      <w:highlight w:val="none"/>
                    </w:rPr>
                    <w:t>各污染因子达标情况</w:t>
                  </w:r>
                </w:p>
              </w:tc>
              <w:tc>
                <w:tcPr>
                  <w:tcW w:w="2089" w:type="dxa"/>
                  <w:vAlign w:val="center"/>
                </w:tcPr>
                <w:p w14:paraId="2FE28B3F">
                  <w:pPr>
                    <w:pStyle w:val="153"/>
                    <w:rPr>
                      <w:rFonts w:ascii="Times New Roman" w:hAnsi="Times New Roman" w:cs="Times New Roman"/>
                      <w:highlight w:val="none"/>
                    </w:rPr>
                  </w:pPr>
                  <w:r>
                    <w:rPr>
                      <w:rFonts w:ascii="Times New Roman" w:hAnsi="Times New Roman" w:cs="Times New Roman"/>
                      <w:szCs w:val="21"/>
                      <w:highlight w:val="none"/>
                    </w:rPr>
                    <w:t>综合废水执行《污水综合排放标准》（GB8978-1996）表4中的三级标准排放标准（氨氮排放标准参考《污水排入城镇下水道水质标准</w:t>
                  </w:r>
                  <w:r>
                    <w:rPr>
                      <w:rFonts w:hint="eastAsia" w:ascii="Times New Roman" w:hAnsi="Times New Roman" w:cs="Times New Roman"/>
                      <w:szCs w:val="21"/>
                      <w:highlight w:val="none"/>
                    </w:rPr>
                    <w:t>》</w:t>
                  </w:r>
                  <w:r>
                    <w:rPr>
                      <w:rFonts w:ascii="Times New Roman" w:hAnsi="Times New Roman" w:cs="Times New Roman"/>
                      <w:szCs w:val="21"/>
                      <w:highlight w:val="none"/>
                    </w:rPr>
                    <w:t>（GB/T31962-2015）B等级标准限值）</w:t>
                  </w:r>
                </w:p>
              </w:tc>
            </w:tr>
            <w:tr w14:paraId="14BED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3" w:hRule="atLeast"/>
              </w:trPr>
              <w:tc>
                <w:tcPr>
                  <w:tcW w:w="413" w:type="dxa"/>
                  <w:vAlign w:val="center"/>
                </w:tcPr>
                <w:p w14:paraId="450B7E94">
                  <w:pPr>
                    <w:pStyle w:val="153"/>
                    <w:rPr>
                      <w:rFonts w:ascii="Times New Roman" w:hAnsi="Times New Roman" w:cs="Times New Roman"/>
                      <w:highlight w:val="none"/>
                    </w:rPr>
                  </w:pPr>
                  <w:r>
                    <w:rPr>
                      <w:rFonts w:ascii="Times New Roman" w:hAnsi="Times New Roman" w:cs="Times New Roman"/>
                      <w:highlight w:val="none"/>
                    </w:rPr>
                    <w:t>噪声</w:t>
                  </w:r>
                </w:p>
              </w:tc>
              <w:tc>
                <w:tcPr>
                  <w:tcW w:w="810" w:type="dxa"/>
                  <w:vAlign w:val="center"/>
                </w:tcPr>
                <w:p w14:paraId="3A21DEC1">
                  <w:pPr>
                    <w:adjustRightInd w:val="0"/>
                    <w:snapToGrid w:val="0"/>
                    <w:jc w:val="center"/>
                    <w:rPr>
                      <w:sz w:val="21"/>
                      <w:szCs w:val="21"/>
                      <w:highlight w:val="none"/>
                    </w:rPr>
                  </w:pPr>
                  <w:r>
                    <w:rPr>
                      <w:sz w:val="21"/>
                      <w:szCs w:val="21"/>
                      <w:highlight w:val="none"/>
                    </w:rPr>
                    <w:t>场界噪声</w:t>
                  </w:r>
                </w:p>
              </w:tc>
              <w:tc>
                <w:tcPr>
                  <w:tcW w:w="1137" w:type="dxa"/>
                  <w:vAlign w:val="center"/>
                </w:tcPr>
                <w:p w14:paraId="3F97A967">
                  <w:pPr>
                    <w:adjustRightInd w:val="0"/>
                    <w:snapToGrid w:val="0"/>
                    <w:jc w:val="center"/>
                    <w:rPr>
                      <w:sz w:val="21"/>
                      <w:szCs w:val="21"/>
                      <w:highlight w:val="none"/>
                    </w:rPr>
                  </w:pPr>
                  <w:r>
                    <w:rPr>
                      <w:sz w:val="21"/>
                      <w:szCs w:val="21"/>
                      <w:highlight w:val="none"/>
                    </w:rPr>
                    <w:t>等效A声级</w:t>
                  </w:r>
                </w:p>
              </w:tc>
              <w:tc>
                <w:tcPr>
                  <w:tcW w:w="2276" w:type="dxa"/>
                  <w:vAlign w:val="center"/>
                </w:tcPr>
                <w:p w14:paraId="2E0C571E">
                  <w:pPr>
                    <w:adjustRightInd w:val="0"/>
                    <w:snapToGrid w:val="0"/>
                    <w:jc w:val="center"/>
                    <w:rPr>
                      <w:color w:val="auto"/>
                      <w:sz w:val="21"/>
                      <w:szCs w:val="21"/>
                      <w:highlight w:val="none"/>
                    </w:rPr>
                  </w:pPr>
                  <w:r>
                    <w:rPr>
                      <w:color w:val="auto"/>
                      <w:sz w:val="21"/>
                      <w:szCs w:val="21"/>
                      <w:highlight w:val="none"/>
                    </w:rPr>
                    <w:t>隔声等综合降噪措施</w:t>
                  </w:r>
                </w:p>
              </w:tc>
              <w:tc>
                <w:tcPr>
                  <w:tcW w:w="1251" w:type="dxa"/>
                  <w:vAlign w:val="center"/>
                </w:tcPr>
                <w:p w14:paraId="3D7A8134">
                  <w:pPr>
                    <w:pStyle w:val="153"/>
                    <w:rPr>
                      <w:rFonts w:ascii="Times New Roman" w:hAnsi="Times New Roman" w:cs="Times New Roman"/>
                      <w:highlight w:val="none"/>
                    </w:rPr>
                  </w:pPr>
                  <w:r>
                    <w:rPr>
                      <w:rFonts w:ascii="Times New Roman" w:hAnsi="Times New Roman" w:cs="Times New Roman"/>
                      <w:szCs w:val="21"/>
                      <w:highlight w:val="none"/>
                    </w:rPr>
                    <w:t>场界</w:t>
                  </w:r>
                  <w:r>
                    <w:rPr>
                      <w:rFonts w:ascii="Times New Roman" w:hAnsi="Times New Roman" w:cs="Times New Roman"/>
                      <w:highlight w:val="none"/>
                    </w:rPr>
                    <w:t>噪声达标情况</w:t>
                  </w:r>
                </w:p>
              </w:tc>
              <w:tc>
                <w:tcPr>
                  <w:tcW w:w="2089" w:type="dxa"/>
                  <w:vAlign w:val="center"/>
                </w:tcPr>
                <w:p w14:paraId="5015A733">
                  <w:pPr>
                    <w:pStyle w:val="153"/>
                    <w:rPr>
                      <w:rFonts w:ascii="Times New Roman" w:hAnsi="Times New Roman" w:cs="Times New Roman"/>
                      <w:highlight w:val="none"/>
                    </w:rPr>
                  </w:pPr>
                  <w:r>
                    <w:rPr>
                      <w:rFonts w:ascii="Times New Roman" w:hAnsi="Times New Roman" w:cs="Times New Roman"/>
                      <w:highlight w:val="none"/>
                    </w:rPr>
                    <w:t>项目</w:t>
                  </w:r>
                  <w:r>
                    <w:rPr>
                      <w:rFonts w:hint="eastAsia" w:ascii="Times New Roman" w:hAnsi="Times New Roman" w:cs="Times New Roman"/>
                      <w:highlight w:val="none"/>
                      <w:lang w:val="en-US" w:eastAsia="zh-CN"/>
                    </w:rPr>
                    <w:t>西侧环境</w:t>
                  </w:r>
                  <w:r>
                    <w:rPr>
                      <w:rFonts w:ascii="Times New Roman" w:hAnsi="Times New Roman" w:cs="Times New Roman"/>
                      <w:highlight w:val="none"/>
                    </w:rPr>
                    <w:t>噪声执行《社会生活声环境噪声排放标准》（GB22337-2008）中4a类标准，其余边界</w:t>
                  </w:r>
                  <w:r>
                    <w:rPr>
                      <w:rFonts w:hint="eastAsia" w:ascii="Times New Roman" w:hAnsi="Times New Roman" w:cs="Times New Roman"/>
                      <w:highlight w:val="none"/>
                      <w:lang w:val="en-US" w:eastAsia="zh-CN"/>
                    </w:rPr>
                    <w:t>环境噪声</w:t>
                  </w:r>
                  <w:r>
                    <w:rPr>
                      <w:rFonts w:ascii="Times New Roman" w:hAnsi="Times New Roman" w:cs="Times New Roman"/>
                      <w:highlight w:val="none"/>
                    </w:rPr>
                    <w:t>执行2类标准</w:t>
                  </w:r>
                </w:p>
              </w:tc>
            </w:tr>
            <w:tr w14:paraId="33FFB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trPr>
              <w:tc>
                <w:tcPr>
                  <w:tcW w:w="413" w:type="dxa"/>
                  <w:vAlign w:val="center"/>
                </w:tcPr>
                <w:p w14:paraId="5D85DB9C">
                  <w:pPr>
                    <w:pStyle w:val="153"/>
                    <w:rPr>
                      <w:rFonts w:ascii="Times New Roman" w:hAnsi="Times New Roman" w:cs="Times New Roman"/>
                      <w:highlight w:val="none"/>
                    </w:rPr>
                  </w:pPr>
                  <w:r>
                    <w:rPr>
                      <w:rFonts w:ascii="Times New Roman" w:hAnsi="Times New Roman" w:cs="Times New Roman"/>
                      <w:highlight w:val="none"/>
                    </w:rPr>
                    <w:t>固废</w:t>
                  </w:r>
                </w:p>
              </w:tc>
              <w:tc>
                <w:tcPr>
                  <w:tcW w:w="7563" w:type="dxa"/>
                  <w:gridSpan w:val="5"/>
                  <w:vAlign w:val="center"/>
                </w:tcPr>
                <w:p w14:paraId="4307B07D">
                  <w:pPr>
                    <w:pStyle w:val="153"/>
                    <w:rPr>
                      <w:rFonts w:ascii="Times New Roman" w:hAnsi="Times New Roman" w:cs="Times New Roman"/>
                      <w:highlight w:val="none"/>
                    </w:rPr>
                  </w:pPr>
                  <w:r>
                    <w:rPr>
                      <w:rFonts w:ascii="Times New Roman" w:hAnsi="Times New Roman" w:cs="Times New Roman"/>
                      <w:highlight w:val="none"/>
                    </w:rPr>
                    <w:t>医疗废物：暂存于危废间，由</w:t>
                  </w:r>
                  <w:r>
                    <w:rPr>
                      <w:rFonts w:hint="eastAsia" w:ascii="Times New Roman" w:hAnsi="Times New Roman" w:cs="Times New Roman"/>
                      <w:highlight w:val="none"/>
                      <w:lang w:val="en-US" w:eastAsia="zh-CN"/>
                    </w:rPr>
                    <w:t>有资质单位</w:t>
                  </w:r>
                  <w:r>
                    <w:rPr>
                      <w:rFonts w:ascii="Times New Roman" w:hAnsi="Times New Roman" w:cs="Times New Roman"/>
                      <w:highlight w:val="none"/>
                    </w:rPr>
                    <w:t>定期转运处置；危险废物执行《危险废物贮存污染控制标准》（GB18597-2023）及《</w:t>
                  </w:r>
                  <w:r>
                    <w:rPr>
                      <w:rFonts w:hint="default" w:ascii="Times New Roman" w:hAnsi="Times New Roman" w:eastAsia="宋体" w:cs="Times New Roman"/>
                      <w:color w:val="auto"/>
                      <w:sz w:val="21"/>
                      <w:szCs w:val="21"/>
                      <w:highlight w:val="none"/>
                    </w:rPr>
                    <w:t>《医疗废物管理条例</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2021年版</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ascii="Times New Roman" w:hAnsi="Times New Roman" w:cs="Times New Roman"/>
                      <w:highlight w:val="none"/>
                    </w:rPr>
                    <w:t>中的相关规定。危险废物转移过程应遵从《危险废物转移联单管理办法》</w:t>
                  </w:r>
                  <w:r>
                    <w:rPr>
                      <w:rFonts w:hint="eastAsia" w:ascii="Times New Roman" w:hAnsi="Times New Roman" w:cs="Times New Roman"/>
                      <w:highlight w:val="none"/>
                    </w:rPr>
                    <w:t>及其他有关</w:t>
                  </w:r>
                  <w:r>
                    <w:rPr>
                      <w:rFonts w:ascii="Times New Roman" w:hAnsi="Times New Roman" w:cs="Times New Roman"/>
                      <w:highlight w:val="none"/>
                    </w:rPr>
                    <w:t>的要求；对危险废物的移交处置情况进行记录，做好环境管理台账。</w:t>
                  </w:r>
                </w:p>
              </w:tc>
            </w:tr>
            <w:tr w14:paraId="7B295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8" w:hRule="atLeast"/>
              </w:trPr>
              <w:tc>
                <w:tcPr>
                  <w:tcW w:w="413" w:type="dxa"/>
                  <w:vAlign w:val="center"/>
                </w:tcPr>
                <w:p w14:paraId="74CACF88">
                  <w:pPr>
                    <w:pStyle w:val="153"/>
                    <w:rPr>
                      <w:rFonts w:ascii="Times New Roman" w:hAnsi="Times New Roman" w:cs="Times New Roman"/>
                      <w:highlight w:val="none"/>
                    </w:rPr>
                  </w:pPr>
                  <w:r>
                    <w:rPr>
                      <w:rFonts w:ascii="Times New Roman" w:hAnsi="Times New Roman" w:cs="Times New Roman"/>
                      <w:highlight w:val="none"/>
                    </w:rPr>
                    <w:t>环境风险</w:t>
                  </w:r>
                </w:p>
              </w:tc>
              <w:tc>
                <w:tcPr>
                  <w:tcW w:w="7563" w:type="dxa"/>
                  <w:gridSpan w:val="5"/>
                  <w:vAlign w:val="center"/>
                </w:tcPr>
                <w:p w14:paraId="2AA0751E">
                  <w:pPr>
                    <w:pStyle w:val="153"/>
                    <w:rPr>
                      <w:rFonts w:ascii="Times New Roman" w:hAnsi="Times New Roman" w:cs="Times New Roman"/>
                      <w:highlight w:val="none"/>
                    </w:rPr>
                  </w:pPr>
                  <w:r>
                    <w:rPr>
                      <w:rFonts w:ascii="Times New Roman" w:hAnsi="Times New Roman" w:cs="Times New Roman"/>
                      <w:highlight w:val="none"/>
                    </w:rPr>
                    <w:t>危废间设置标识牌，防火标志</w:t>
                  </w:r>
                  <w:r>
                    <w:rPr>
                      <w:rFonts w:hint="eastAsia" w:ascii="Times New Roman" w:hAnsi="Times New Roman" w:cs="Times New Roman"/>
                      <w:highlight w:val="none"/>
                    </w:rPr>
                    <w:t>；</w:t>
                  </w:r>
                  <w:r>
                    <w:rPr>
                      <w:rFonts w:ascii="Times New Roman" w:hAnsi="Times New Roman" w:cs="Times New Roman"/>
                      <w:highlight w:val="none"/>
                    </w:rPr>
                    <w:t>地坪做好防渗措施，购买容器及防渗托盘</w:t>
                  </w:r>
                  <w:r>
                    <w:rPr>
                      <w:rFonts w:hint="eastAsia" w:ascii="Times New Roman" w:hAnsi="Times New Roman" w:cs="Times New Roman"/>
                      <w:bCs/>
                      <w:highlight w:val="none"/>
                    </w:rPr>
                    <w:t>。</w:t>
                  </w:r>
                </w:p>
              </w:tc>
            </w:tr>
          </w:tbl>
          <w:p w14:paraId="2AE751F8">
            <w:pPr>
              <w:pStyle w:val="157"/>
              <w:ind w:firstLine="480"/>
              <w:rPr>
                <w:rFonts w:ascii="Times New Roman" w:hAnsi="Times New Roman" w:eastAsia="宋体" w:cs="Times New Roman"/>
                <w:color w:val="auto"/>
                <w:highlight w:val="none"/>
              </w:rPr>
            </w:pPr>
          </w:p>
          <w:p w14:paraId="5F87446D">
            <w:pPr>
              <w:pStyle w:val="157"/>
              <w:ind w:firstLine="480"/>
              <w:rPr>
                <w:rFonts w:ascii="Times New Roman" w:hAnsi="Times New Roman" w:cs="Times New Roman"/>
                <w:color w:val="auto"/>
                <w:highlight w:val="none"/>
              </w:rPr>
            </w:pPr>
          </w:p>
          <w:p w14:paraId="4E03E36D">
            <w:pPr>
              <w:pStyle w:val="157"/>
              <w:ind w:firstLine="480"/>
              <w:rPr>
                <w:rFonts w:ascii="Times New Roman" w:hAnsi="Times New Roman" w:cs="Times New Roman"/>
                <w:color w:val="auto"/>
                <w:highlight w:val="none"/>
              </w:rPr>
            </w:pPr>
          </w:p>
          <w:p w14:paraId="26E0DADA">
            <w:pPr>
              <w:pStyle w:val="157"/>
              <w:ind w:firstLine="480"/>
              <w:rPr>
                <w:rFonts w:ascii="Times New Roman" w:hAnsi="Times New Roman" w:cs="Times New Roman"/>
                <w:color w:val="auto"/>
                <w:highlight w:val="none"/>
              </w:rPr>
            </w:pPr>
          </w:p>
          <w:p w14:paraId="2D3B0C1E">
            <w:pPr>
              <w:pStyle w:val="157"/>
              <w:ind w:firstLine="480"/>
              <w:rPr>
                <w:rFonts w:ascii="Times New Roman" w:hAnsi="Times New Roman" w:cs="Times New Roman"/>
                <w:color w:val="auto"/>
                <w:highlight w:val="none"/>
              </w:rPr>
            </w:pPr>
          </w:p>
          <w:p w14:paraId="2FFA9958">
            <w:pPr>
              <w:pStyle w:val="157"/>
              <w:ind w:firstLine="480"/>
              <w:rPr>
                <w:rFonts w:ascii="Times New Roman" w:hAnsi="Times New Roman" w:cs="Times New Roman"/>
                <w:color w:val="auto"/>
                <w:highlight w:val="none"/>
              </w:rPr>
            </w:pPr>
          </w:p>
          <w:p w14:paraId="5E44C692">
            <w:pPr>
              <w:pStyle w:val="157"/>
              <w:ind w:firstLine="480"/>
              <w:rPr>
                <w:rFonts w:ascii="Times New Roman" w:hAnsi="Times New Roman" w:cs="Times New Roman"/>
                <w:color w:val="auto"/>
                <w:highlight w:val="none"/>
              </w:rPr>
            </w:pPr>
          </w:p>
          <w:p w14:paraId="6F1356D3">
            <w:pPr>
              <w:pStyle w:val="157"/>
              <w:ind w:firstLine="480"/>
              <w:rPr>
                <w:rFonts w:ascii="Times New Roman" w:hAnsi="Times New Roman" w:cs="Times New Roman"/>
                <w:color w:val="auto"/>
                <w:highlight w:val="none"/>
              </w:rPr>
            </w:pPr>
          </w:p>
          <w:p w14:paraId="02D15848">
            <w:pPr>
              <w:pStyle w:val="157"/>
              <w:ind w:firstLine="480"/>
              <w:rPr>
                <w:rFonts w:ascii="Times New Roman" w:hAnsi="Times New Roman" w:cs="Times New Roman"/>
                <w:color w:val="auto"/>
                <w:highlight w:val="none"/>
              </w:rPr>
            </w:pPr>
          </w:p>
          <w:p w14:paraId="239D521E">
            <w:pPr>
              <w:pStyle w:val="157"/>
              <w:ind w:firstLine="480"/>
              <w:rPr>
                <w:rFonts w:ascii="Times New Roman" w:hAnsi="Times New Roman" w:cs="Times New Roman"/>
                <w:color w:val="auto"/>
                <w:highlight w:val="none"/>
              </w:rPr>
            </w:pPr>
          </w:p>
          <w:p w14:paraId="57187197">
            <w:pPr>
              <w:pStyle w:val="157"/>
              <w:ind w:left="0" w:leftChars="0" w:firstLine="0" w:firstLineChars="0"/>
              <w:rPr>
                <w:rFonts w:ascii="Times New Roman" w:hAnsi="Times New Roman" w:cs="Times New Roman"/>
                <w:color w:val="auto"/>
                <w:highlight w:val="none"/>
              </w:rPr>
            </w:pPr>
          </w:p>
        </w:tc>
      </w:tr>
    </w:tbl>
    <w:p w14:paraId="04C37FC5">
      <w:pPr>
        <w:pStyle w:val="2"/>
        <w:keepNext/>
        <w:keepLines/>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textAlignment w:val="auto"/>
        <w:rPr>
          <w:color w:val="auto"/>
          <w:highlight w:val="none"/>
        </w:rPr>
      </w:pPr>
      <w:bookmarkStart w:id="208" w:name="_Toc133251565"/>
      <w:r>
        <w:rPr>
          <w:color w:val="auto"/>
          <w:highlight w:val="none"/>
        </w:rPr>
        <w:t>环境保护措施监督检查清单</w:t>
      </w:r>
      <w:bookmarkEnd w:id="201"/>
      <w:bookmarkEnd w:id="202"/>
      <w:bookmarkEnd w:id="208"/>
    </w:p>
    <w:tbl>
      <w:tblPr>
        <w:tblStyle w:val="50"/>
        <w:tblW w:w="875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18"/>
        <w:gridCol w:w="1411"/>
        <w:gridCol w:w="1409"/>
        <w:gridCol w:w="2066"/>
        <w:gridCol w:w="2547"/>
      </w:tblGrid>
      <w:tr w14:paraId="45E3A0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18" w:type="dxa"/>
            <w:tcBorders>
              <w:tl2br w:val="single" w:color="auto" w:sz="4" w:space="0"/>
            </w:tcBorders>
          </w:tcPr>
          <w:p w14:paraId="41288A15">
            <w:pPr>
              <w:adjustRightInd w:val="0"/>
              <w:snapToGrid w:val="0"/>
              <w:ind w:firstLine="420" w:firstLineChars="200"/>
              <w:rPr>
                <w:color w:val="auto"/>
                <w:sz w:val="21"/>
                <w:szCs w:val="21"/>
                <w:highlight w:val="none"/>
              </w:rPr>
            </w:pPr>
            <w:r>
              <w:rPr>
                <w:color w:val="auto"/>
                <w:sz w:val="21"/>
                <w:szCs w:val="21"/>
                <w:highlight w:val="none"/>
              </w:rPr>
              <w:t>内容</w:t>
            </w:r>
          </w:p>
          <w:p w14:paraId="71890ED3">
            <w:pPr>
              <w:adjustRightInd w:val="0"/>
              <w:snapToGrid w:val="0"/>
              <w:rPr>
                <w:color w:val="auto"/>
                <w:sz w:val="21"/>
                <w:szCs w:val="21"/>
                <w:highlight w:val="none"/>
              </w:rPr>
            </w:pPr>
            <w:r>
              <w:rPr>
                <w:color w:val="auto"/>
                <w:sz w:val="21"/>
                <w:szCs w:val="21"/>
                <w:highlight w:val="none"/>
              </w:rPr>
              <w:t>要素</w:t>
            </w:r>
          </w:p>
        </w:tc>
        <w:tc>
          <w:tcPr>
            <w:tcW w:w="1411" w:type="dxa"/>
            <w:vAlign w:val="center"/>
          </w:tcPr>
          <w:p w14:paraId="07D49165">
            <w:pPr>
              <w:adjustRightInd w:val="0"/>
              <w:snapToGrid w:val="0"/>
              <w:jc w:val="center"/>
              <w:rPr>
                <w:color w:val="auto"/>
                <w:sz w:val="21"/>
                <w:szCs w:val="21"/>
                <w:highlight w:val="none"/>
              </w:rPr>
            </w:pPr>
            <w:r>
              <w:rPr>
                <w:color w:val="auto"/>
                <w:sz w:val="21"/>
                <w:szCs w:val="21"/>
                <w:highlight w:val="none"/>
              </w:rPr>
              <w:t>排放口（编号、名称）/污染源</w:t>
            </w:r>
          </w:p>
        </w:tc>
        <w:tc>
          <w:tcPr>
            <w:tcW w:w="1409" w:type="dxa"/>
            <w:vAlign w:val="center"/>
          </w:tcPr>
          <w:p w14:paraId="283200DD">
            <w:pPr>
              <w:adjustRightInd w:val="0"/>
              <w:snapToGrid w:val="0"/>
              <w:jc w:val="center"/>
              <w:rPr>
                <w:color w:val="auto"/>
                <w:sz w:val="21"/>
                <w:szCs w:val="21"/>
                <w:highlight w:val="none"/>
              </w:rPr>
            </w:pPr>
            <w:r>
              <w:rPr>
                <w:color w:val="auto"/>
                <w:sz w:val="21"/>
                <w:szCs w:val="21"/>
                <w:highlight w:val="none"/>
              </w:rPr>
              <w:t>污染物项目</w:t>
            </w:r>
          </w:p>
        </w:tc>
        <w:tc>
          <w:tcPr>
            <w:tcW w:w="2066" w:type="dxa"/>
            <w:vAlign w:val="center"/>
          </w:tcPr>
          <w:p w14:paraId="2E67A3C3">
            <w:pPr>
              <w:adjustRightInd w:val="0"/>
              <w:snapToGrid w:val="0"/>
              <w:jc w:val="center"/>
              <w:rPr>
                <w:color w:val="auto"/>
                <w:sz w:val="21"/>
                <w:szCs w:val="21"/>
                <w:highlight w:val="none"/>
              </w:rPr>
            </w:pPr>
            <w:r>
              <w:rPr>
                <w:color w:val="auto"/>
                <w:sz w:val="21"/>
                <w:szCs w:val="21"/>
                <w:highlight w:val="none"/>
              </w:rPr>
              <w:t>环境保护措施</w:t>
            </w:r>
          </w:p>
        </w:tc>
        <w:tc>
          <w:tcPr>
            <w:tcW w:w="2547" w:type="dxa"/>
            <w:vAlign w:val="center"/>
          </w:tcPr>
          <w:p w14:paraId="1E99F109">
            <w:pPr>
              <w:adjustRightInd w:val="0"/>
              <w:snapToGrid w:val="0"/>
              <w:jc w:val="center"/>
              <w:rPr>
                <w:color w:val="auto"/>
                <w:sz w:val="21"/>
                <w:szCs w:val="21"/>
                <w:highlight w:val="none"/>
              </w:rPr>
            </w:pPr>
            <w:r>
              <w:rPr>
                <w:color w:val="auto"/>
                <w:sz w:val="21"/>
                <w:szCs w:val="21"/>
                <w:highlight w:val="none"/>
              </w:rPr>
              <w:t>执行标准</w:t>
            </w:r>
          </w:p>
        </w:tc>
      </w:tr>
      <w:tr w14:paraId="23CCA1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18" w:type="dxa"/>
            <w:vAlign w:val="center"/>
          </w:tcPr>
          <w:p w14:paraId="5EBFB692">
            <w:pPr>
              <w:adjustRightInd w:val="0"/>
              <w:snapToGrid w:val="0"/>
              <w:jc w:val="center"/>
              <w:rPr>
                <w:bCs/>
                <w:color w:val="auto"/>
                <w:sz w:val="21"/>
                <w:szCs w:val="21"/>
                <w:highlight w:val="none"/>
              </w:rPr>
            </w:pPr>
            <w:r>
              <w:rPr>
                <w:bCs/>
                <w:color w:val="auto"/>
                <w:sz w:val="21"/>
                <w:szCs w:val="21"/>
                <w:highlight w:val="none"/>
              </w:rPr>
              <w:t>大气环境</w:t>
            </w:r>
          </w:p>
        </w:tc>
        <w:tc>
          <w:tcPr>
            <w:tcW w:w="1411" w:type="dxa"/>
            <w:vAlign w:val="center"/>
          </w:tcPr>
          <w:p w14:paraId="72EB536C">
            <w:pPr>
              <w:adjustRightInd w:val="0"/>
              <w:snapToGrid w:val="0"/>
              <w:jc w:val="center"/>
              <w:rPr>
                <w:bCs/>
                <w:color w:val="auto"/>
                <w:sz w:val="21"/>
                <w:szCs w:val="21"/>
                <w:highlight w:val="none"/>
              </w:rPr>
            </w:pPr>
            <w:r>
              <w:rPr>
                <w:bCs/>
                <w:color w:val="auto"/>
                <w:sz w:val="21"/>
                <w:szCs w:val="21"/>
                <w:highlight w:val="none"/>
              </w:rPr>
              <w:t>无组织</w:t>
            </w:r>
          </w:p>
        </w:tc>
        <w:tc>
          <w:tcPr>
            <w:tcW w:w="1409" w:type="dxa"/>
            <w:vAlign w:val="center"/>
          </w:tcPr>
          <w:p w14:paraId="5C18038A">
            <w:pPr>
              <w:adjustRightInd w:val="0"/>
              <w:snapToGrid w:val="0"/>
              <w:jc w:val="center"/>
              <w:rPr>
                <w:bCs/>
                <w:color w:val="auto"/>
                <w:sz w:val="21"/>
                <w:szCs w:val="21"/>
                <w:highlight w:val="none"/>
              </w:rPr>
            </w:pPr>
            <w:r>
              <w:rPr>
                <w:rFonts w:hint="eastAsia"/>
                <w:bCs/>
                <w:color w:val="auto"/>
                <w:sz w:val="21"/>
                <w:szCs w:val="21"/>
                <w:highlight w:val="none"/>
                <w:lang w:eastAsia="zh-CN"/>
              </w:rPr>
              <w:t>臭气浓度</w:t>
            </w:r>
            <w:r>
              <w:rPr>
                <w:bCs/>
                <w:color w:val="auto"/>
                <w:sz w:val="21"/>
                <w:szCs w:val="21"/>
                <w:highlight w:val="none"/>
              </w:rPr>
              <w:t>、H</w:t>
            </w:r>
            <w:r>
              <w:rPr>
                <w:bCs/>
                <w:color w:val="auto"/>
                <w:sz w:val="21"/>
                <w:szCs w:val="21"/>
                <w:highlight w:val="none"/>
                <w:vertAlign w:val="subscript"/>
              </w:rPr>
              <w:t>2</w:t>
            </w:r>
            <w:r>
              <w:rPr>
                <w:bCs/>
                <w:color w:val="auto"/>
                <w:sz w:val="21"/>
                <w:szCs w:val="21"/>
                <w:highlight w:val="none"/>
              </w:rPr>
              <w:t>S、NH</w:t>
            </w:r>
            <w:r>
              <w:rPr>
                <w:bCs/>
                <w:color w:val="auto"/>
                <w:sz w:val="21"/>
                <w:szCs w:val="21"/>
                <w:highlight w:val="none"/>
                <w:vertAlign w:val="subscript"/>
              </w:rPr>
              <w:t>3</w:t>
            </w:r>
          </w:p>
        </w:tc>
        <w:tc>
          <w:tcPr>
            <w:tcW w:w="2066" w:type="dxa"/>
            <w:vAlign w:val="center"/>
          </w:tcPr>
          <w:p w14:paraId="2279053E">
            <w:pPr>
              <w:adjustRightInd w:val="0"/>
              <w:snapToGrid w:val="0"/>
              <w:jc w:val="center"/>
              <w:rPr>
                <w:bCs/>
                <w:color w:val="auto"/>
                <w:sz w:val="21"/>
                <w:szCs w:val="21"/>
                <w:highlight w:val="none"/>
              </w:rPr>
            </w:pPr>
            <w:r>
              <w:rPr>
                <w:rFonts w:hint="eastAsia"/>
                <w:bCs/>
                <w:color w:val="auto"/>
                <w:sz w:val="21"/>
                <w:szCs w:val="21"/>
                <w:highlight w:val="none"/>
                <w:lang w:eastAsia="zh-CN"/>
              </w:rPr>
              <w:t>新风系统</w:t>
            </w:r>
            <w:r>
              <w:rPr>
                <w:bCs/>
                <w:color w:val="auto"/>
                <w:sz w:val="21"/>
                <w:szCs w:val="21"/>
                <w:highlight w:val="none"/>
              </w:rPr>
              <w:t>、定期喷洒除臭剂等</w:t>
            </w:r>
          </w:p>
        </w:tc>
        <w:tc>
          <w:tcPr>
            <w:tcW w:w="2547" w:type="dxa"/>
            <w:vAlign w:val="center"/>
          </w:tcPr>
          <w:p w14:paraId="25F3B878">
            <w:pPr>
              <w:adjustRightInd w:val="0"/>
              <w:snapToGrid w:val="0"/>
              <w:jc w:val="center"/>
              <w:rPr>
                <w:rFonts w:hint="eastAsia" w:eastAsia="宋体"/>
                <w:bCs/>
                <w:color w:val="auto"/>
                <w:sz w:val="21"/>
                <w:szCs w:val="21"/>
                <w:highlight w:val="none"/>
                <w:lang w:eastAsia="zh-CN"/>
              </w:rPr>
            </w:pPr>
            <w:r>
              <w:rPr>
                <w:color w:val="auto"/>
                <w:sz w:val="21"/>
                <w:szCs w:val="21"/>
                <w:highlight w:val="none"/>
              </w:rPr>
              <w:t>《恶臭污染物排放标准》（GB14554-93）</w:t>
            </w:r>
            <w:r>
              <w:rPr>
                <w:rFonts w:hint="eastAsia"/>
                <w:color w:val="auto"/>
                <w:sz w:val="21"/>
                <w:szCs w:val="21"/>
                <w:highlight w:val="none"/>
              </w:rPr>
              <w:t>表1</w:t>
            </w:r>
            <w:r>
              <w:rPr>
                <w:rFonts w:hint="eastAsia"/>
                <w:color w:val="auto"/>
                <w:sz w:val="21"/>
                <w:szCs w:val="21"/>
                <w:highlight w:val="none"/>
                <w:lang w:val="en-US" w:eastAsia="zh-CN"/>
              </w:rPr>
              <w:t>中</w:t>
            </w:r>
            <w:r>
              <w:rPr>
                <w:rFonts w:hint="eastAsia"/>
                <w:color w:val="auto"/>
                <w:sz w:val="21"/>
                <w:szCs w:val="21"/>
                <w:highlight w:val="none"/>
                <w:lang w:eastAsia="zh-CN"/>
              </w:rPr>
              <w:t>二级标准</w:t>
            </w:r>
          </w:p>
        </w:tc>
      </w:tr>
      <w:tr w14:paraId="6DCF90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35" w:hRule="atLeast"/>
          <w:jc w:val="center"/>
        </w:trPr>
        <w:tc>
          <w:tcPr>
            <w:tcW w:w="1318" w:type="dxa"/>
            <w:vMerge w:val="restart"/>
            <w:vAlign w:val="center"/>
          </w:tcPr>
          <w:p w14:paraId="3413AD11">
            <w:pPr>
              <w:adjustRightInd w:val="0"/>
              <w:snapToGrid w:val="0"/>
              <w:jc w:val="center"/>
              <w:rPr>
                <w:color w:val="auto"/>
                <w:sz w:val="21"/>
                <w:szCs w:val="21"/>
                <w:highlight w:val="none"/>
              </w:rPr>
            </w:pPr>
            <w:r>
              <w:rPr>
                <w:color w:val="auto"/>
                <w:sz w:val="21"/>
                <w:szCs w:val="21"/>
                <w:highlight w:val="none"/>
              </w:rPr>
              <w:t>地表水环境</w:t>
            </w:r>
          </w:p>
        </w:tc>
        <w:tc>
          <w:tcPr>
            <w:tcW w:w="1411" w:type="dxa"/>
            <w:vAlign w:val="center"/>
          </w:tcPr>
          <w:p w14:paraId="2168DFB8">
            <w:pPr>
              <w:adjustRightInd w:val="0"/>
              <w:snapToGrid w:val="0"/>
              <w:jc w:val="center"/>
              <w:rPr>
                <w:rFonts w:hint="default" w:eastAsia="宋体"/>
                <w:color w:val="auto"/>
                <w:sz w:val="21"/>
                <w:szCs w:val="21"/>
                <w:highlight w:val="none"/>
                <w:lang w:val="en-US" w:eastAsia="zh-CN"/>
              </w:rPr>
            </w:pPr>
            <w:r>
              <w:rPr>
                <w:color w:val="auto"/>
                <w:sz w:val="21"/>
                <w:szCs w:val="21"/>
                <w:highlight w:val="none"/>
              </w:rPr>
              <w:t>生活污水、</w:t>
            </w:r>
            <w:r>
              <w:rPr>
                <w:rFonts w:hint="eastAsia"/>
                <w:color w:val="auto"/>
                <w:sz w:val="21"/>
                <w:szCs w:val="21"/>
                <w:highlight w:val="none"/>
                <w:lang w:val="en-US" w:eastAsia="zh-CN"/>
              </w:rPr>
              <w:t>宠物美容废水、</w:t>
            </w:r>
          </w:p>
          <w:p w14:paraId="3463A9CD">
            <w:pPr>
              <w:adjustRightInd w:val="0"/>
              <w:snapToGrid w:val="0"/>
              <w:jc w:val="center"/>
              <w:rPr>
                <w:rFonts w:hint="default" w:eastAsia="宋体"/>
                <w:color w:val="auto"/>
                <w:sz w:val="21"/>
                <w:szCs w:val="21"/>
                <w:highlight w:val="none"/>
                <w:lang w:val="en-US" w:eastAsia="zh-CN"/>
              </w:rPr>
            </w:pPr>
            <w:r>
              <w:rPr>
                <w:rFonts w:hint="default" w:eastAsia="宋体"/>
                <w:color w:val="auto"/>
                <w:sz w:val="21"/>
                <w:szCs w:val="21"/>
                <w:highlight w:val="none"/>
                <w:lang w:val="en-US" w:eastAsia="zh-CN"/>
              </w:rPr>
              <w:t>手术废水和第二、三道检验设备清洗废水</w:t>
            </w:r>
          </w:p>
        </w:tc>
        <w:tc>
          <w:tcPr>
            <w:tcW w:w="1409" w:type="dxa"/>
            <w:vAlign w:val="center"/>
          </w:tcPr>
          <w:p w14:paraId="5EAD2C9E">
            <w:pPr>
              <w:adjustRightInd w:val="0"/>
              <w:snapToGrid w:val="0"/>
              <w:jc w:val="center"/>
              <w:rPr>
                <w:rFonts w:hint="eastAsia" w:eastAsia="宋体"/>
                <w:color w:val="auto"/>
                <w:sz w:val="21"/>
                <w:szCs w:val="21"/>
                <w:highlight w:val="none"/>
                <w:lang w:val="en-US" w:eastAsia="zh-CN"/>
              </w:rPr>
            </w:pPr>
            <w:r>
              <w:rPr>
                <w:color w:val="auto"/>
                <w:sz w:val="21"/>
                <w:szCs w:val="21"/>
                <w:highlight w:val="none"/>
              </w:rPr>
              <w:t>COD</w:t>
            </w:r>
            <w:r>
              <w:rPr>
                <w:rFonts w:hint="eastAsia"/>
                <w:color w:val="auto"/>
                <w:sz w:val="21"/>
                <w:szCs w:val="21"/>
                <w:highlight w:val="none"/>
                <w:vertAlign w:val="subscript"/>
                <w:lang w:val="en-US" w:eastAsia="zh-CN"/>
              </w:rPr>
              <w:t>Cr</w:t>
            </w:r>
            <w:r>
              <w:rPr>
                <w:color w:val="auto"/>
                <w:sz w:val="21"/>
                <w:szCs w:val="21"/>
                <w:highlight w:val="none"/>
              </w:rPr>
              <w:t>、BOD</w:t>
            </w:r>
            <w:r>
              <w:rPr>
                <w:color w:val="auto"/>
                <w:sz w:val="21"/>
                <w:szCs w:val="21"/>
                <w:highlight w:val="none"/>
                <w:vertAlign w:val="subscript"/>
              </w:rPr>
              <w:t>5</w:t>
            </w:r>
            <w:r>
              <w:rPr>
                <w:color w:val="auto"/>
                <w:sz w:val="21"/>
                <w:szCs w:val="21"/>
                <w:highlight w:val="none"/>
              </w:rPr>
              <w:t>、</w:t>
            </w:r>
            <w:r>
              <w:rPr>
                <w:rFonts w:hint="eastAsia"/>
                <w:color w:val="auto"/>
                <w:sz w:val="21"/>
                <w:szCs w:val="21"/>
                <w:highlight w:val="none"/>
                <w:lang w:val="en-US" w:eastAsia="zh-CN"/>
              </w:rPr>
              <w:t>pH、</w:t>
            </w:r>
            <w:r>
              <w:rPr>
                <w:color w:val="auto"/>
                <w:sz w:val="21"/>
                <w:szCs w:val="21"/>
                <w:highlight w:val="none"/>
              </w:rPr>
              <w:t>SS、氨氮、粪大肠菌</w:t>
            </w:r>
            <w:r>
              <w:rPr>
                <w:rFonts w:hint="eastAsia"/>
                <w:color w:val="auto"/>
                <w:sz w:val="21"/>
                <w:szCs w:val="21"/>
                <w:highlight w:val="none"/>
                <w:lang w:val="en-US" w:eastAsia="zh-CN"/>
              </w:rPr>
              <w:t>群</w:t>
            </w:r>
          </w:p>
        </w:tc>
        <w:tc>
          <w:tcPr>
            <w:tcW w:w="2066" w:type="dxa"/>
            <w:vAlign w:val="center"/>
          </w:tcPr>
          <w:p w14:paraId="22DCD239">
            <w:pPr>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val="en-US" w:eastAsia="zh-CN"/>
              </w:rPr>
              <w:t>宠物医疗废水</w:t>
            </w:r>
            <w:r>
              <w:rPr>
                <w:rFonts w:hint="eastAsia"/>
                <w:color w:val="auto"/>
                <w:sz w:val="21"/>
                <w:szCs w:val="21"/>
                <w:highlight w:val="none"/>
                <w:lang w:eastAsia="zh-CN"/>
              </w:rPr>
              <w:t>、</w:t>
            </w:r>
            <w:r>
              <w:rPr>
                <w:rFonts w:hint="eastAsia"/>
                <w:color w:val="auto"/>
                <w:sz w:val="21"/>
                <w:szCs w:val="21"/>
                <w:highlight w:val="none"/>
                <w:lang w:val="en-US" w:eastAsia="zh-CN"/>
              </w:rPr>
              <w:t>宠物美容废水和第二、三道检验设备清洗废水</w:t>
            </w:r>
            <w:r>
              <w:rPr>
                <w:color w:val="auto"/>
                <w:sz w:val="21"/>
                <w:szCs w:val="21"/>
                <w:highlight w:val="none"/>
              </w:rPr>
              <w:t>经</w:t>
            </w:r>
            <w:r>
              <w:rPr>
                <w:rFonts w:hint="eastAsia"/>
                <w:color w:val="auto"/>
                <w:sz w:val="21"/>
                <w:szCs w:val="21"/>
                <w:highlight w:val="none"/>
                <w:lang w:eastAsia="zh-CN"/>
              </w:rPr>
              <w:t>消毒设备</w:t>
            </w:r>
            <w:r>
              <w:rPr>
                <w:color w:val="auto"/>
                <w:sz w:val="21"/>
                <w:szCs w:val="21"/>
                <w:highlight w:val="none"/>
              </w:rPr>
              <w:t>消毒与生活污水</w:t>
            </w:r>
            <w:r>
              <w:rPr>
                <w:rFonts w:hint="eastAsia"/>
                <w:color w:val="auto"/>
                <w:sz w:val="21"/>
                <w:szCs w:val="21"/>
                <w:highlight w:val="none"/>
                <w:lang w:val="en-US" w:eastAsia="zh-CN"/>
              </w:rPr>
              <w:t>一并排放</w:t>
            </w:r>
            <w:r>
              <w:rPr>
                <w:color w:val="auto"/>
                <w:sz w:val="21"/>
                <w:szCs w:val="21"/>
                <w:highlight w:val="none"/>
              </w:rPr>
              <w:t>化粪池</w:t>
            </w:r>
            <w:r>
              <w:rPr>
                <w:rFonts w:hint="eastAsia"/>
                <w:color w:val="auto"/>
                <w:sz w:val="21"/>
                <w:szCs w:val="21"/>
                <w:highlight w:val="none"/>
                <w:lang w:eastAsia="zh-CN"/>
              </w:rPr>
              <w:t>处理后，</w:t>
            </w:r>
            <w:r>
              <w:rPr>
                <w:rFonts w:hint="eastAsia"/>
                <w:color w:val="auto"/>
                <w:sz w:val="21"/>
                <w:szCs w:val="21"/>
                <w:highlight w:val="none"/>
                <w:lang w:val="en-US" w:eastAsia="zh-CN"/>
              </w:rPr>
              <w:t>经</w:t>
            </w:r>
            <w:r>
              <w:rPr>
                <w:color w:val="auto"/>
                <w:sz w:val="21"/>
                <w:szCs w:val="21"/>
                <w:highlight w:val="none"/>
              </w:rPr>
              <w:t>市政污水管网</w:t>
            </w:r>
            <w:r>
              <w:rPr>
                <w:rFonts w:hint="eastAsia"/>
                <w:color w:val="auto"/>
                <w:sz w:val="21"/>
                <w:szCs w:val="21"/>
                <w:highlight w:val="none"/>
                <w:lang w:val="en-US" w:eastAsia="zh-CN"/>
              </w:rPr>
              <w:t>统一纳入</w:t>
            </w:r>
            <w:r>
              <w:rPr>
                <w:color w:val="auto"/>
                <w:sz w:val="21"/>
                <w:szCs w:val="21"/>
                <w:highlight w:val="none"/>
              </w:rPr>
              <w:t>洋里污水处理厂</w:t>
            </w:r>
          </w:p>
        </w:tc>
        <w:tc>
          <w:tcPr>
            <w:tcW w:w="2547" w:type="dxa"/>
            <w:vAlign w:val="center"/>
          </w:tcPr>
          <w:p w14:paraId="6BA9FF39">
            <w:pPr>
              <w:adjustRightInd w:val="0"/>
              <w:snapToGrid w:val="0"/>
              <w:jc w:val="center"/>
              <w:rPr>
                <w:color w:val="auto"/>
                <w:sz w:val="21"/>
                <w:szCs w:val="21"/>
                <w:highlight w:val="none"/>
              </w:rPr>
            </w:pPr>
            <w:r>
              <w:rPr>
                <w:color w:val="auto"/>
                <w:sz w:val="21"/>
                <w:szCs w:val="21"/>
                <w:highlight w:val="none"/>
              </w:rPr>
              <w:t>综合废水执行《污水综合排放标准》（GB8978-1996）表4中的三级标准排放标准（氨氮排放标准参考《污水排入城镇下水道水质标准</w:t>
            </w:r>
            <w:r>
              <w:rPr>
                <w:rFonts w:hint="eastAsia"/>
                <w:color w:val="auto"/>
                <w:sz w:val="21"/>
                <w:szCs w:val="21"/>
                <w:highlight w:val="none"/>
                <w:lang w:eastAsia="zh-CN"/>
              </w:rPr>
              <w:t>》</w:t>
            </w:r>
            <w:r>
              <w:rPr>
                <w:color w:val="auto"/>
                <w:sz w:val="21"/>
                <w:szCs w:val="21"/>
                <w:highlight w:val="none"/>
              </w:rPr>
              <w:t>（GB/T31962-2015）B等级标准限值）</w:t>
            </w:r>
          </w:p>
        </w:tc>
      </w:tr>
      <w:tr w14:paraId="34FFC9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3" w:hRule="atLeast"/>
          <w:jc w:val="center"/>
        </w:trPr>
        <w:tc>
          <w:tcPr>
            <w:tcW w:w="1318" w:type="dxa"/>
            <w:vMerge w:val="continue"/>
            <w:vAlign w:val="center"/>
          </w:tcPr>
          <w:p w14:paraId="353100C2">
            <w:pPr>
              <w:adjustRightInd w:val="0"/>
              <w:snapToGrid w:val="0"/>
              <w:jc w:val="center"/>
              <w:rPr>
                <w:color w:val="auto"/>
                <w:sz w:val="21"/>
                <w:szCs w:val="21"/>
                <w:highlight w:val="none"/>
              </w:rPr>
            </w:pPr>
          </w:p>
        </w:tc>
        <w:tc>
          <w:tcPr>
            <w:tcW w:w="1411" w:type="dxa"/>
            <w:vAlign w:val="center"/>
          </w:tcPr>
          <w:p w14:paraId="66FE5589">
            <w:pPr>
              <w:adjustRightInd w:val="0"/>
              <w:snapToGrid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实验（化验）废液</w:t>
            </w:r>
          </w:p>
        </w:tc>
        <w:tc>
          <w:tcPr>
            <w:tcW w:w="1409" w:type="dxa"/>
            <w:vAlign w:val="center"/>
          </w:tcPr>
          <w:p w14:paraId="6BA686AE">
            <w:pPr>
              <w:adjustRightInd w:val="0"/>
              <w:snapToGrid w:val="0"/>
              <w:jc w:val="center"/>
              <w:rPr>
                <w:color w:val="auto"/>
                <w:sz w:val="21"/>
                <w:szCs w:val="21"/>
                <w:highlight w:val="none"/>
              </w:rPr>
            </w:pPr>
            <w:r>
              <w:rPr>
                <w:color w:val="auto"/>
                <w:sz w:val="21"/>
                <w:szCs w:val="21"/>
                <w:highlight w:val="none"/>
              </w:rPr>
              <w:t>COD</w:t>
            </w:r>
            <w:r>
              <w:rPr>
                <w:rFonts w:hint="eastAsia"/>
                <w:color w:val="auto"/>
                <w:sz w:val="21"/>
                <w:szCs w:val="21"/>
                <w:highlight w:val="none"/>
                <w:vertAlign w:val="subscript"/>
                <w:lang w:val="en-US" w:eastAsia="zh-CN"/>
              </w:rPr>
              <w:t>Cr</w:t>
            </w:r>
            <w:r>
              <w:rPr>
                <w:color w:val="auto"/>
                <w:sz w:val="21"/>
                <w:szCs w:val="21"/>
                <w:highlight w:val="none"/>
              </w:rPr>
              <w:t>、BOD</w:t>
            </w:r>
            <w:r>
              <w:rPr>
                <w:color w:val="auto"/>
                <w:sz w:val="21"/>
                <w:szCs w:val="21"/>
                <w:highlight w:val="none"/>
                <w:vertAlign w:val="subscript"/>
              </w:rPr>
              <w:t>5</w:t>
            </w:r>
            <w:r>
              <w:rPr>
                <w:color w:val="auto"/>
                <w:sz w:val="21"/>
                <w:szCs w:val="21"/>
                <w:highlight w:val="none"/>
              </w:rPr>
              <w:t>、</w:t>
            </w:r>
            <w:r>
              <w:rPr>
                <w:rFonts w:hint="eastAsia"/>
                <w:color w:val="auto"/>
                <w:sz w:val="21"/>
                <w:szCs w:val="21"/>
                <w:highlight w:val="none"/>
                <w:lang w:val="en-US" w:eastAsia="zh-CN"/>
              </w:rPr>
              <w:t>pH、</w:t>
            </w:r>
            <w:r>
              <w:rPr>
                <w:color w:val="auto"/>
                <w:sz w:val="21"/>
                <w:szCs w:val="21"/>
                <w:highlight w:val="none"/>
              </w:rPr>
              <w:t>SS、氨氮</w:t>
            </w:r>
          </w:p>
        </w:tc>
        <w:tc>
          <w:tcPr>
            <w:tcW w:w="2066" w:type="dxa"/>
            <w:vAlign w:val="center"/>
          </w:tcPr>
          <w:p w14:paraId="6D11A56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ascii="Times New Roman" w:hAnsi="Times New Roman" w:cs="Times New Roman"/>
                <w:color w:val="auto"/>
                <w:sz w:val="21"/>
                <w:szCs w:val="21"/>
                <w:lang w:val="en-US" w:eastAsia="zh-CN"/>
              </w:rPr>
              <w:t>作为危险废物定期委托有资质单位处理</w:t>
            </w:r>
          </w:p>
        </w:tc>
        <w:tc>
          <w:tcPr>
            <w:tcW w:w="2547" w:type="dxa"/>
            <w:vAlign w:val="center"/>
          </w:tcPr>
          <w:p w14:paraId="34EFF652">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rFonts w:hint="eastAsia" w:ascii="Times New Roman" w:hAnsi="Times New Roman" w:cs="Times New Roman"/>
                <w:color w:val="auto"/>
                <w:sz w:val="21"/>
                <w:szCs w:val="21"/>
                <w:lang w:val="en-US" w:eastAsia="zh-CN"/>
              </w:rPr>
              <w:t>验收措施落实情况</w:t>
            </w:r>
          </w:p>
        </w:tc>
      </w:tr>
      <w:tr w14:paraId="41A07A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18" w:type="dxa"/>
            <w:vAlign w:val="center"/>
          </w:tcPr>
          <w:p w14:paraId="44CF004C">
            <w:pPr>
              <w:adjustRightInd w:val="0"/>
              <w:snapToGrid w:val="0"/>
              <w:jc w:val="center"/>
              <w:rPr>
                <w:color w:val="auto"/>
                <w:sz w:val="21"/>
                <w:szCs w:val="21"/>
                <w:highlight w:val="none"/>
              </w:rPr>
            </w:pPr>
            <w:r>
              <w:rPr>
                <w:color w:val="auto"/>
                <w:sz w:val="21"/>
                <w:szCs w:val="21"/>
                <w:highlight w:val="none"/>
              </w:rPr>
              <w:t>声环境</w:t>
            </w:r>
          </w:p>
        </w:tc>
        <w:tc>
          <w:tcPr>
            <w:tcW w:w="1411" w:type="dxa"/>
            <w:vAlign w:val="center"/>
          </w:tcPr>
          <w:p w14:paraId="289E76B3">
            <w:pPr>
              <w:adjustRightInd w:val="0"/>
              <w:snapToGrid w:val="0"/>
              <w:jc w:val="center"/>
              <w:rPr>
                <w:color w:val="auto"/>
                <w:sz w:val="21"/>
                <w:szCs w:val="21"/>
                <w:highlight w:val="none"/>
              </w:rPr>
            </w:pPr>
            <w:r>
              <w:rPr>
                <w:rFonts w:hint="eastAsia"/>
                <w:color w:val="auto"/>
                <w:sz w:val="21"/>
                <w:szCs w:val="21"/>
                <w:highlight w:val="none"/>
                <w:lang w:val="en-US" w:eastAsia="zh-CN"/>
              </w:rPr>
              <w:t>场界</w:t>
            </w:r>
            <w:r>
              <w:rPr>
                <w:color w:val="auto"/>
                <w:sz w:val="21"/>
                <w:szCs w:val="21"/>
                <w:highlight w:val="none"/>
              </w:rPr>
              <w:t>噪声</w:t>
            </w:r>
          </w:p>
        </w:tc>
        <w:tc>
          <w:tcPr>
            <w:tcW w:w="1409" w:type="dxa"/>
            <w:vAlign w:val="center"/>
          </w:tcPr>
          <w:p w14:paraId="5AB56E21">
            <w:pPr>
              <w:adjustRightInd w:val="0"/>
              <w:snapToGrid w:val="0"/>
              <w:jc w:val="center"/>
              <w:rPr>
                <w:color w:val="auto"/>
                <w:sz w:val="21"/>
                <w:szCs w:val="21"/>
                <w:highlight w:val="none"/>
              </w:rPr>
            </w:pPr>
            <w:r>
              <w:rPr>
                <w:color w:val="auto"/>
                <w:sz w:val="21"/>
                <w:szCs w:val="21"/>
                <w:highlight w:val="none"/>
              </w:rPr>
              <w:t>等效A声级</w:t>
            </w:r>
          </w:p>
        </w:tc>
        <w:tc>
          <w:tcPr>
            <w:tcW w:w="2066" w:type="dxa"/>
            <w:vAlign w:val="center"/>
          </w:tcPr>
          <w:p w14:paraId="0A04943E">
            <w:pPr>
              <w:adjustRightInd w:val="0"/>
              <w:snapToGrid w:val="0"/>
              <w:jc w:val="center"/>
              <w:rPr>
                <w:color w:val="auto"/>
                <w:sz w:val="21"/>
                <w:szCs w:val="21"/>
                <w:highlight w:val="none"/>
              </w:rPr>
            </w:pPr>
            <w:r>
              <w:rPr>
                <w:color w:val="auto"/>
                <w:sz w:val="21"/>
                <w:szCs w:val="21"/>
                <w:highlight w:val="none"/>
              </w:rPr>
              <w:t>隔声等综合降噪措施</w:t>
            </w:r>
          </w:p>
        </w:tc>
        <w:tc>
          <w:tcPr>
            <w:tcW w:w="2547" w:type="dxa"/>
            <w:vAlign w:val="center"/>
          </w:tcPr>
          <w:p w14:paraId="2F767AF0">
            <w:pPr>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val="en-US" w:eastAsia="zh-CN"/>
              </w:rPr>
              <w:t>项目西侧边界噪声执行</w:t>
            </w:r>
            <w:r>
              <w:rPr>
                <w:rFonts w:hint="eastAsia" w:eastAsia="宋体"/>
                <w:color w:val="auto"/>
                <w:sz w:val="21"/>
                <w:szCs w:val="21"/>
                <w:highlight w:val="none"/>
                <w:lang w:val="en-US" w:eastAsia="zh-CN"/>
              </w:rPr>
              <w:t>《社会生活环境噪声排放标准》（GB22337-2008）中表1中的4</w:t>
            </w:r>
            <w:r>
              <w:rPr>
                <w:rFonts w:hint="eastAsia"/>
                <w:color w:val="auto"/>
                <w:sz w:val="21"/>
                <w:szCs w:val="21"/>
                <w:highlight w:val="none"/>
                <w:lang w:val="en-US" w:eastAsia="zh-CN"/>
              </w:rPr>
              <w:t>a</w:t>
            </w:r>
            <w:r>
              <w:rPr>
                <w:rFonts w:hint="eastAsia" w:eastAsia="宋体"/>
                <w:color w:val="auto"/>
                <w:sz w:val="21"/>
                <w:szCs w:val="21"/>
                <w:highlight w:val="none"/>
                <w:lang w:val="en-US" w:eastAsia="zh-CN"/>
              </w:rPr>
              <w:t>类标准</w:t>
            </w:r>
            <w:r>
              <w:rPr>
                <w:rFonts w:hint="eastAsia"/>
                <w:color w:val="auto"/>
                <w:sz w:val="21"/>
                <w:szCs w:val="21"/>
                <w:highlight w:val="none"/>
                <w:lang w:val="en-US" w:eastAsia="zh-CN"/>
              </w:rPr>
              <w:t>；其余边界噪声执行</w:t>
            </w:r>
            <w:r>
              <w:rPr>
                <w:rFonts w:hint="eastAsia" w:eastAsia="宋体"/>
                <w:color w:val="auto"/>
                <w:sz w:val="21"/>
                <w:szCs w:val="21"/>
                <w:highlight w:val="none"/>
                <w:lang w:val="en-US" w:eastAsia="zh-CN"/>
              </w:rPr>
              <w:t>《社会生活声环境噪声排放标准》（GB22337-2008）中2类标准</w:t>
            </w:r>
          </w:p>
        </w:tc>
      </w:tr>
      <w:tr w14:paraId="10E1A0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1318" w:type="dxa"/>
            <w:vAlign w:val="center"/>
          </w:tcPr>
          <w:p w14:paraId="52EE4D55">
            <w:pPr>
              <w:adjustRightInd w:val="0"/>
              <w:snapToGrid w:val="0"/>
              <w:jc w:val="center"/>
              <w:rPr>
                <w:bCs/>
                <w:color w:val="auto"/>
                <w:sz w:val="21"/>
                <w:szCs w:val="21"/>
                <w:highlight w:val="none"/>
              </w:rPr>
            </w:pPr>
            <w:r>
              <w:rPr>
                <w:bCs/>
                <w:color w:val="auto"/>
                <w:sz w:val="21"/>
                <w:szCs w:val="21"/>
                <w:highlight w:val="none"/>
              </w:rPr>
              <w:t>固体废物</w:t>
            </w:r>
          </w:p>
        </w:tc>
        <w:tc>
          <w:tcPr>
            <w:tcW w:w="7433" w:type="dxa"/>
            <w:gridSpan w:val="4"/>
            <w:vAlign w:val="center"/>
          </w:tcPr>
          <w:p w14:paraId="2E1D3A0D">
            <w:pPr>
              <w:pStyle w:val="157"/>
              <w:numPr>
                <w:ilvl w:val="0"/>
                <w:numId w:val="9"/>
              </w:numPr>
              <w:spacing w:line="240" w:lineRule="auto"/>
              <w:ind w:firstLine="0" w:firstLineChars="0"/>
              <w:rPr>
                <w:rFonts w:ascii="Times New Roman" w:hAnsi="Times New Roman" w:eastAsia="宋体" w:cs="Times New Roman"/>
                <w:bCs w:val="0"/>
                <w:color w:val="auto"/>
                <w:sz w:val="21"/>
                <w:szCs w:val="21"/>
                <w:highlight w:val="none"/>
              </w:rPr>
            </w:pPr>
            <w:r>
              <w:rPr>
                <w:rFonts w:ascii="Times New Roman" w:hAnsi="Times New Roman" w:eastAsia="宋体" w:cs="Times New Roman"/>
                <w:bCs w:val="0"/>
                <w:color w:val="auto"/>
                <w:sz w:val="21"/>
                <w:szCs w:val="21"/>
                <w:highlight w:val="none"/>
              </w:rPr>
              <w:t>生活垃圾：要求建设单位对生活垃圾单独收集，定点堆放，定期交由环卫部门统一清运处理，并对垃圾堆放点定期进行消毒、杀灭害虫、以免散发恶臭，滋生蚊蝇。</w:t>
            </w:r>
          </w:p>
          <w:p w14:paraId="18D55051">
            <w:pPr>
              <w:pStyle w:val="157"/>
              <w:spacing w:line="240" w:lineRule="auto"/>
              <w:ind w:firstLine="0" w:firstLineChars="0"/>
              <w:rPr>
                <w:rFonts w:ascii="Times New Roman" w:hAnsi="Times New Roman" w:eastAsia="宋体" w:cs="Times New Roman"/>
                <w:color w:val="auto"/>
                <w:sz w:val="21"/>
                <w:szCs w:val="21"/>
                <w:highlight w:val="none"/>
              </w:rPr>
            </w:pPr>
            <w:r>
              <w:rPr>
                <w:rFonts w:hint="eastAsia" w:ascii="Times New Roman" w:hAnsi="Times New Roman" w:eastAsia="宋体" w:cs="Times New Roman"/>
                <w:bCs w:val="0"/>
                <w:color w:val="auto"/>
                <w:sz w:val="21"/>
                <w:szCs w:val="21"/>
                <w:highlight w:val="none"/>
                <w:lang w:eastAsia="zh-CN"/>
              </w:rPr>
              <w:t>（</w:t>
            </w:r>
            <w:r>
              <w:rPr>
                <w:rFonts w:hint="eastAsia" w:ascii="Times New Roman" w:hAnsi="Times New Roman" w:eastAsia="宋体" w:cs="Times New Roman"/>
                <w:bCs w:val="0"/>
                <w:color w:val="auto"/>
                <w:sz w:val="21"/>
                <w:szCs w:val="21"/>
                <w:highlight w:val="none"/>
                <w:lang w:val="en-US" w:eastAsia="zh-CN"/>
              </w:rPr>
              <w:t>2）</w:t>
            </w:r>
            <w:r>
              <w:rPr>
                <w:rFonts w:ascii="Times New Roman" w:hAnsi="Times New Roman" w:eastAsia="宋体" w:cs="Times New Roman"/>
                <w:bCs w:val="0"/>
                <w:color w:val="auto"/>
                <w:sz w:val="21"/>
                <w:szCs w:val="21"/>
                <w:highlight w:val="none"/>
              </w:rPr>
              <w:t>危险废物：暂存于危废间定期交由有资质单位转运处置；危险废物执行《危险废物贮存污染控制标准》（GB18597-20</w:t>
            </w:r>
            <w:r>
              <w:rPr>
                <w:rFonts w:hint="eastAsia" w:ascii="Times New Roman" w:hAnsi="Times New Roman" w:eastAsia="宋体" w:cs="Times New Roman"/>
                <w:bCs w:val="0"/>
                <w:color w:val="auto"/>
                <w:sz w:val="21"/>
                <w:szCs w:val="21"/>
                <w:highlight w:val="none"/>
              </w:rPr>
              <w:t>23</w:t>
            </w:r>
            <w:r>
              <w:rPr>
                <w:rFonts w:ascii="Times New Roman" w:hAnsi="Times New Roman" w:eastAsia="宋体" w:cs="Times New Roman"/>
                <w:bCs w:val="0"/>
                <w:color w:val="auto"/>
                <w:sz w:val="21"/>
                <w:szCs w:val="21"/>
                <w:highlight w:val="none"/>
              </w:rPr>
              <w:t>）</w:t>
            </w:r>
            <w:r>
              <w:rPr>
                <w:rFonts w:hint="eastAsia" w:ascii="Times New Roman" w:hAnsi="Times New Roman" w:eastAsia="宋体" w:cs="Times New Roman"/>
                <w:bCs w:val="0"/>
                <w:color w:val="auto"/>
                <w:sz w:val="21"/>
                <w:szCs w:val="21"/>
                <w:highlight w:val="none"/>
              </w:rPr>
              <w:t>及《医疗废物管理条例</w:t>
            </w:r>
            <w:r>
              <w:rPr>
                <w:rFonts w:hint="eastAsia" w:ascii="Times New Roman" w:hAnsi="Times New Roman" w:eastAsia="宋体" w:cs="Times New Roman"/>
                <w:bCs w:val="0"/>
                <w:color w:val="auto"/>
                <w:sz w:val="21"/>
                <w:szCs w:val="21"/>
                <w:highlight w:val="none"/>
                <w:lang w:eastAsia="zh-CN"/>
              </w:rPr>
              <w:t>（</w:t>
            </w:r>
            <w:r>
              <w:rPr>
                <w:rFonts w:hint="eastAsia" w:ascii="Times New Roman" w:hAnsi="Times New Roman" w:eastAsia="宋体" w:cs="Times New Roman"/>
                <w:bCs w:val="0"/>
                <w:color w:val="auto"/>
                <w:sz w:val="21"/>
                <w:szCs w:val="21"/>
                <w:highlight w:val="none"/>
                <w:lang w:val="en-US" w:eastAsia="zh-CN"/>
              </w:rPr>
              <w:t>2021年版</w:t>
            </w:r>
            <w:r>
              <w:rPr>
                <w:rFonts w:hint="eastAsia" w:ascii="Times New Roman" w:hAnsi="Times New Roman" w:eastAsia="宋体" w:cs="Times New Roman"/>
                <w:bCs w:val="0"/>
                <w:color w:val="auto"/>
                <w:sz w:val="21"/>
                <w:szCs w:val="21"/>
                <w:highlight w:val="none"/>
                <w:lang w:eastAsia="zh-CN"/>
              </w:rPr>
              <w:t>）</w:t>
            </w:r>
            <w:r>
              <w:rPr>
                <w:rFonts w:hint="eastAsia" w:ascii="Times New Roman" w:hAnsi="Times New Roman" w:eastAsia="宋体" w:cs="Times New Roman"/>
                <w:bCs w:val="0"/>
                <w:color w:val="auto"/>
                <w:sz w:val="21"/>
                <w:szCs w:val="21"/>
                <w:highlight w:val="none"/>
              </w:rPr>
              <w:t>》</w:t>
            </w:r>
            <w:r>
              <w:rPr>
                <w:rFonts w:ascii="Times New Roman" w:hAnsi="Times New Roman" w:eastAsia="宋体" w:cs="Times New Roman"/>
                <w:bCs w:val="0"/>
                <w:color w:val="auto"/>
                <w:sz w:val="21"/>
                <w:szCs w:val="21"/>
                <w:highlight w:val="none"/>
              </w:rPr>
              <w:t>中的相关规定。危险废物转移过程应遵从《危险废物转移联单管理办法》及其它有关规定的要求；对危险废物的移交处置情况进行记录，做好环境管理台账。</w:t>
            </w:r>
          </w:p>
        </w:tc>
      </w:tr>
      <w:tr w14:paraId="402335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1318" w:type="dxa"/>
            <w:vAlign w:val="center"/>
          </w:tcPr>
          <w:p w14:paraId="3C649AF6">
            <w:pPr>
              <w:adjustRightInd w:val="0"/>
              <w:snapToGrid w:val="0"/>
              <w:jc w:val="center"/>
              <w:rPr>
                <w:color w:val="auto"/>
                <w:sz w:val="21"/>
                <w:szCs w:val="21"/>
                <w:highlight w:val="none"/>
              </w:rPr>
            </w:pPr>
            <w:r>
              <w:rPr>
                <w:color w:val="auto"/>
                <w:sz w:val="21"/>
                <w:szCs w:val="21"/>
                <w:highlight w:val="none"/>
              </w:rPr>
              <w:t>土壤及地下水污染防治措施</w:t>
            </w:r>
          </w:p>
        </w:tc>
        <w:tc>
          <w:tcPr>
            <w:tcW w:w="7433" w:type="dxa"/>
            <w:gridSpan w:val="4"/>
            <w:vAlign w:val="center"/>
          </w:tcPr>
          <w:p w14:paraId="5C4BE318">
            <w:pPr>
              <w:adjustRightInd w:val="0"/>
              <w:snapToGrid w:val="0"/>
              <w:jc w:val="center"/>
              <w:rPr>
                <w:color w:val="auto"/>
                <w:sz w:val="21"/>
                <w:szCs w:val="21"/>
                <w:highlight w:val="none"/>
              </w:rPr>
            </w:pPr>
            <w:r>
              <w:rPr>
                <w:color w:val="auto"/>
                <w:sz w:val="21"/>
                <w:szCs w:val="21"/>
                <w:highlight w:val="none"/>
              </w:rPr>
              <w:t>不涉及</w:t>
            </w:r>
          </w:p>
        </w:tc>
      </w:tr>
      <w:tr w14:paraId="235363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0" w:hRule="atLeast"/>
          <w:jc w:val="center"/>
        </w:trPr>
        <w:tc>
          <w:tcPr>
            <w:tcW w:w="1318" w:type="dxa"/>
            <w:vAlign w:val="center"/>
          </w:tcPr>
          <w:p w14:paraId="37464C35">
            <w:pPr>
              <w:adjustRightInd w:val="0"/>
              <w:snapToGrid w:val="0"/>
              <w:jc w:val="center"/>
              <w:rPr>
                <w:color w:val="auto"/>
                <w:sz w:val="21"/>
                <w:szCs w:val="21"/>
                <w:highlight w:val="none"/>
              </w:rPr>
            </w:pPr>
            <w:r>
              <w:rPr>
                <w:color w:val="auto"/>
                <w:sz w:val="21"/>
                <w:szCs w:val="21"/>
                <w:highlight w:val="none"/>
              </w:rPr>
              <w:t>生态保护</w:t>
            </w:r>
          </w:p>
          <w:p w14:paraId="0D588B85">
            <w:pPr>
              <w:adjustRightInd w:val="0"/>
              <w:snapToGrid w:val="0"/>
              <w:jc w:val="center"/>
              <w:rPr>
                <w:color w:val="auto"/>
                <w:sz w:val="21"/>
                <w:szCs w:val="21"/>
                <w:highlight w:val="none"/>
              </w:rPr>
            </w:pPr>
            <w:r>
              <w:rPr>
                <w:color w:val="auto"/>
                <w:sz w:val="21"/>
                <w:szCs w:val="21"/>
                <w:highlight w:val="none"/>
              </w:rPr>
              <w:t>措施</w:t>
            </w:r>
          </w:p>
        </w:tc>
        <w:tc>
          <w:tcPr>
            <w:tcW w:w="7433" w:type="dxa"/>
            <w:gridSpan w:val="4"/>
            <w:vAlign w:val="center"/>
          </w:tcPr>
          <w:p w14:paraId="1FE97CE9">
            <w:pPr>
              <w:adjustRightInd w:val="0"/>
              <w:snapToGrid w:val="0"/>
              <w:jc w:val="center"/>
              <w:rPr>
                <w:color w:val="auto"/>
                <w:sz w:val="21"/>
                <w:szCs w:val="21"/>
                <w:highlight w:val="none"/>
              </w:rPr>
            </w:pPr>
            <w:r>
              <w:rPr>
                <w:color w:val="auto"/>
                <w:sz w:val="21"/>
                <w:szCs w:val="21"/>
                <w:highlight w:val="none"/>
              </w:rPr>
              <w:t>不涉及</w:t>
            </w:r>
          </w:p>
        </w:tc>
      </w:tr>
      <w:tr w14:paraId="76E04F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866" w:hRule="atLeast"/>
          <w:jc w:val="center"/>
        </w:trPr>
        <w:tc>
          <w:tcPr>
            <w:tcW w:w="1318" w:type="dxa"/>
            <w:vAlign w:val="center"/>
          </w:tcPr>
          <w:p w14:paraId="3D9019CE">
            <w:pPr>
              <w:adjustRightInd w:val="0"/>
              <w:snapToGrid w:val="0"/>
              <w:jc w:val="center"/>
              <w:rPr>
                <w:color w:val="auto"/>
                <w:spacing w:val="-8"/>
                <w:sz w:val="21"/>
                <w:szCs w:val="21"/>
                <w:highlight w:val="none"/>
              </w:rPr>
            </w:pPr>
            <w:r>
              <w:rPr>
                <w:color w:val="auto"/>
                <w:spacing w:val="-8"/>
                <w:sz w:val="21"/>
                <w:szCs w:val="21"/>
                <w:highlight w:val="none"/>
              </w:rPr>
              <w:t>环境风险</w:t>
            </w:r>
          </w:p>
          <w:p w14:paraId="73FF5C22">
            <w:pPr>
              <w:adjustRightInd w:val="0"/>
              <w:snapToGrid w:val="0"/>
              <w:jc w:val="center"/>
              <w:rPr>
                <w:color w:val="auto"/>
                <w:spacing w:val="-8"/>
                <w:sz w:val="21"/>
                <w:szCs w:val="21"/>
                <w:highlight w:val="none"/>
              </w:rPr>
            </w:pPr>
            <w:r>
              <w:rPr>
                <w:color w:val="auto"/>
                <w:spacing w:val="-8"/>
                <w:sz w:val="21"/>
                <w:szCs w:val="21"/>
                <w:highlight w:val="none"/>
              </w:rPr>
              <w:t>防范措施</w:t>
            </w:r>
          </w:p>
        </w:tc>
        <w:tc>
          <w:tcPr>
            <w:tcW w:w="7433" w:type="dxa"/>
            <w:gridSpan w:val="4"/>
            <w:vAlign w:val="center"/>
          </w:tcPr>
          <w:p w14:paraId="55B5CF94">
            <w:pPr>
              <w:adjustRightInd w:val="0"/>
              <w:snapToGrid w:val="0"/>
              <w:rPr>
                <w:color w:val="auto"/>
                <w:sz w:val="21"/>
                <w:szCs w:val="21"/>
                <w:highlight w:val="none"/>
              </w:rPr>
            </w:pPr>
            <w:r>
              <w:rPr>
                <w:color w:val="auto"/>
                <w:sz w:val="21"/>
                <w:szCs w:val="21"/>
                <w:highlight w:val="none"/>
              </w:rPr>
              <w:t>（1）针对医疗废水事故排放所产生的风险，建设单位应加强</w:t>
            </w:r>
            <w:r>
              <w:rPr>
                <w:rFonts w:hint="eastAsia"/>
                <w:color w:val="auto"/>
                <w:sz w:val="21"/>
                <w:szCs w:val="21"/>
                <w:highlight w:val="none"/>
                <w:lang w:eastAsia="zh-CN"/>
              </w:rPr>
              <w:t>消毒设备</w:t>
            </w:r>
            <w:r>
              <w:rPr>
                <w:color w:val="auto"/>
                <w:sz w:val="21"/>
                <w:szCs w:val="21"/>
                <w:highlight w:val="none"/>
              </w:rPr>
              <w:t>的运行管理和日常维护，避免管道堵塞、破裂等情况发生；配套建设完善的排水系统管网和切换系统，以应对消毒等设备损坏或失效、人为操作失误等事故，防止未经处理的医疗废水排入市政污水管网，并报告</w:t>
            </w:r>
            <w:r>
              <w:rPr>
                <w:rFonts w:hint="eastAsia"/>
                <w:color w:val="auto"/>
                <w:sz w:val="21"/>
                <w:szCs w:val="21"/>
                <w:highlight w:val="none"/>
                <w:lang w:val="en-US" w:eastAsia="zh-CN"/>
              </w:rPr>
              <w:t>医院</w:t>
            </w:r>
            <w:r>
              <w:rPr>
                <w:color w:val="auto"/>
                <w:sz w:val="21"/>
                <w:szCs w:val="21"/>
                <w:highlight w:val="none"/>
              </w:rPr>
              <w:t>管理人员，封闭现场，及时抢修。若出现管道破裂或废水溢流等情况，需紧急疏散周边居民，立即封锁现场，对污染事故进行处理，对事故现场及周边影响地区进行清理、消毒，同时应调查事故发生原因，防范事故再次发生。</w:t>
            </w:r>
          </w:p>
          <w:p w14:paraId="51E39EE6">
            <w:pPr>
              <w:adjustRightInd w:val="0"/>
              <w:snapToGrid w:val="0"/>
              <w:rPr>
                <w:color w:val="auto"/>
                <w:sz w:val="21"/>
                <w:szCs w:val="21"/>
                <w:highlight w:val="none"/>
              </w:rPr>
            </w:pPr>
            <w:r>
              <w:rPr>
                <w:color w:val="auto"/>
                <w:sz w:val="21"/>
                <w:szCs w:val="21"/>
                <w:highlight w:val="none"/>
              </w:rPr>
              <w:t>（2）</w:t>
            </w:r>
            <w:r>
              <w:rPr>
                <w:rFonts w:hint="eastAsia"/>
                <w:color w:val="auto"/>
                <w:sz w:val="21"/>
                <w:szCs w:val="21"/>
                <w:highlight w:val="none"/>
                <w:lang w:eastAsia="zh-CN"/>
              </w:rPr>
              <w:t>项目</w:t>
            </w:r>
            <w:r>
              <w:rPr>
                <w:color w:val="auto"/>
                <w:sz w:val="21"/>
                <w:szCs w:val="21"/>
                <w:highlight w:val="none"/>
              </w:rPr>
              <w:t>产生的医疗废物必须经科学地分类收集、贮存运送后交由具有相关资质的单位进行最终处置。</w:t>
            </w:r>
          </w:p>
          <w:p w14:paraId="54604C4B">
            <w:pPr>
              <w:adjustRightInd w:val="0"/>
              <w:snapToGrid w:val="0"/>
              <w:rPr>
                <w:color w:val="auto"/>
                <w:sz w:val="21"/>
                <w:szCs w:val="21"/>
                <w:highlight w:val="none"/>
              </w:rPr>
            </w:pPr>
            <w:r>
              <w:rPr>
                <w:color w:val="auto"/>
                <w:sz w:val="21"/>
                <w:szCs w:val="21"/>
                <w:highlight w:val="none"/>
              </w:rPr>
              <w:t>（3）加强通风，采用局部排风等措施，防止臭氧中毒。配备相应品种和数量的应急处理设备，紧急救援时佩戴空气呼吸器，迅速将患者转移至空气新鲜处，立即就医。</w:t>
            </w:r>
          </w:p>
          <w:p w14:paraId="76338B44">
            <w:pPr>
              <w:adjustRightInd w:val="0"/>
              <w:snapToGrid w:val="0"/>
              <w:rPr>
                <w:color w:val="auto"/>
                <w:sz w:val="21"/>
                <w:szCs w:val="21"/>
                <w:highlight w:val="none"/>
              </w:rPr>
            </w:pPr>
            <w:r>
              <w:rPr>
                <w:color w:val="auto"/>
                <w:sz w:val="21"/>
                <w:szCs w:val="21"/>
                <w:highlight w:val="none"/>
              </w:rPr>
              <w:t>（4）</w:t>
            </w:r>
            <w:r>
              <w:rPr>
                <w:rFonts w:hint="eastAsia"/>
                <w:color w:val="auto"/>
                <w:sz w:val="21"/>
                <w:szCs w:val="21"/>
                <w:highlight w:val="none"/>
                <w:lang w:eastAsia="zh-CN"/>
              </w:rPr>
              <w:t>项目</w:t>
            </w:r>
            <w:r>
              <w:rPr>
                <w:color w:val="auto"/>
                <w:sz w:val="21"/>
                <w:szCs w:val="21"/>
                <w:highlight w:val="none"/>
              </w:rPr>
              <w:t>运营后，由于人员集中，电线密集，且设备等属于可燃物，因此存在一定的火灾风险，建设单位要严格按照消防部门所提要求落实消防措施，提高来往人员防火意识，杜绝火灾风险事故的发生。</w:t>
            </w:r>
          </w:p>
          <w:p w14:paraId="1FD0AC1C">
            <w:pPr>
              <w:adjustRightInd w:val="0"/>
              <w:snapToGrid w:val="0"/>
              <w:rPr>
                <w:color w:val="auto"/>
                <w:sz w:val="21"/>
                <w:szCs w:val="21"/>
                <w:highlight w:val="none"/>
              </w:rPr>
            </w:pPr>
            <w:r>
              <w:rPr>
                <w:color w:val="auto"/>
                <w:sz w:val="21"/>
                <w:szCs w:val="21"/>
                <w:highlight w:val="none"/>
              </w:rPr>
              <w:t>公共场所是消防安全的重点单位，因此，建设单位必须具备以下消防安全条件：</w:t>
            </w:r>
          </w:p>
          <w:p w14:paraId="2204D4F3">
            <w:pPr>
              <w:adjustRightInd w:val="0"/>
              <w:snapToGrid w:val="0"/>
              <w:rPr>
                <w:color w:val="auto"/>
                <w:sz w:val="21"/>
                <w:szCs w:val="21"/>
                <w:highlight w:val="none"/>
              </w:rPr>
            </w:pPr>
            <w:r>
              <w:rPr>
                <w:rFonts w:hint="eastAsia" w:ascii="宋体" w:hAnsi="宋体" w:cs="宋体"/>
                <w:color w:val="auto"/>
                <w:sz w:val="21"/>
                <w:szCs w:val="21"/>
                <w:highlight w:val="none"/>
              </w:rPr>
              <w:t>①</w:t>
            </w:r>
            <w:r>
              <w:rPr>
                <w:color w:val="auto"/>
                <w:sz w:val="21"/>
                <w:szCs w:val="21"/>
                <w:highlight w:val="none"/>
              </w:rPr>
              <w:t>建立健全消防安全组织，消防安全责任明确；</w:t>
            </w:r>
          </w:p>
          <w:p w14:paraId="5671C22E">
            <w:pPr>
              <w:adjustRightInd w:val="0"/>
              <w:snapToGrid w:val="0"/>
              <w:rPr>
                <w:color w:val="auto"/>
                <w:sz w:val="21"/>
                <w:szCs w:val="21"/>
                <w:highlight w:val="none"/>
              </w:rPr>
            </w:pPr>
            <w:r>
              <w:rPr>
                <w:rFonts w:hint="eastAsia" w:ascii="宋体" w:hAnsi="宋体" w:cs="宋体"/>
                <w:color w:val="auto"/>
                <w:sz w:val="21"/>
                <w:szCs w:val="21"/>
                <w:highlight w:val="none"/>
              </w:rPr>
              <w:t>②</w:t>
            </w:r>
            <w:r>
              <w:rPr>
                <w:color w:val="auto"/>
                <w:sz w:val="21"/>
                <w:szCs w:val="21"/>
                <w:highlight w:val="none"/>
              </w:rPr>
              <w:t>建立消防安全管理制度和保障消防安全的操作规程；</w:t>
            </w:r>
          </w:p>
          <w:p w14:paraId="7C2E0821">
            <w:pPr>
              <w:adjustRightInd w:val="0"/>
              <w:snapToGrid w:val="0"/>
              <w:rPr>
                <w:color w:val="auto"/>
                <w:sz w:val="21"/>
                <w:szCs w:val="21"/>
                <w:highlight w:val="none"/>
              </w:rPr>
            </w:pPr>
            <w:r>
              <w:rPr>
                <w:rFonts w:hint="eastAsia" w:ascii="宋体" w:hAnsi="宋体" w:cs="宋体"/>
                <w:color w:val="auto"/>
                <w:sz w:val="21"/>
                <w:szCs w:val="21"/>
                <w:highlight w:val="none"/>
              </w:rPr>
              <w:t>③</w:t>
            </w:r>
            <w:r>
              <w:rPr>
                <w:color w:val="auto"/>
                <w:sz w:val="21"/>
                <w:szCs w:val="21"/>
                <w:highlight w:val="none"/>
              </w:rPr>
              <w:t>员工须经消防安全培训；</w:t>
            </w:r>
          </w:p>
          <w:p w14:paraId="7AB59A3D">
            <w:pPr>
              <w:adjustRightInd w:val="0"/>
              <w:snapToGrid w:val="0"/>
              <w:rPr>
                <w:rFonts w:hint="eastAsia"/>
                <w:color w:val="auto"/>
                <w:sz w:val="21"/>
                <w:szCs w:val="21"/>
                <w:highlight w:val="none"/>
                <w:lang w:eastAsia="zh-CN"/>
              </w:rPr>
            </w:pPr>
            <w:r>
              <w:rPr>
                <w:rFonts w:hint="eastAsia" w:ascii="宋体" w:hAnsi="宋体" w:cs="宋体"/>
                <w:color w:val="auto"/>
                <w:sz w:val="21"/>
                <w:szCs w:val="21"/>
                <w:highlight w:val="none"/>
              </w:rPr>
              <w:t>④</w:t>
            </w:r>
            <w:r>
              <w:rPr>
                <w:color w:val="auto"/>
                <w:sz w:val="21"/>
                <w:szCs w:val="21"/>
                <w:highlight w:val="none"/>
              </w:rPr>
              <w:t>建筑消防设施齐全、完好有效</w:t>
            </w:r>
            <w:r>
              <w:rPr>
                <w:rFonts w:hint="eastAsia"/>
                <w:color w:val="auto"/>
                <w:sz w:val="21"/>
                <w:szCs w:val="21"/>
                <w:highlight w:val="none"/>
                <w:lang w:eastAsia="zh-CN"/>
              </w:rPr>
              <w:t>。</w:t>
            </w:r>
          </w:p>
          <w:p w14:paraId="0BAD5B32">
            <w:pPr>
              <w:adjustRightInd w:val="0"/>
              <w:snapToGrid w:val="0"/>
              <w:rPr>
                <w:rFonts w:hint="eastAsia"/>
                <w:color w:val="auto"/>
                <w:sz w:val="21"/>
                <w:szCs w:val="21"/>
                <w:highlight w:val="none"/>
                <w:lang w:eastAsia="zh-CN"/>
              </w:rPr>
            </w:pPr>
            <w:r>
              <w:rPr>
                <w:rFonts w:hint="eastAsia" w:ascii="宋体" w:hAnsi="宋体" w:cs="宋体"/>
                <w:sz w:val="21"/>
                <w:szCs w:val="21"/>
                <w:highlight w:val="none"/>
              </w:rPr>
              <w:t>⑤</w:t>
            </w:r>
            <w:r>
              <w:rPr>
                <w:sz w:val="21"/>
                <w:szCs w:val="21"/>
                <w:highlight w:val="none"/>
              </w:rPr>
              <w:t>制定</w:t>
            </w:r>
            <w:r>
              <w:rPr>
                <w:rFonts w:hint="eastAsia"/>
                <w:sz w:val="21"/>
                <w:szCs w:val="21"/>
                <w:highlight w:val="none"/>
                <w:lang w:eastAsia="zh-CN"/>
              </w:rPr>
              <w:t>突发环境事件应急</w:t>
            </w:r>
            <w:r>
              <w:rPr>
                <w:sz w:val="21"/>
                <w:szCs w:val="21"/>
                <w:highlight w:val="none"/>
              </w:rPr>
              <w:t>预案。</w:t>
            </w:r>
          </w:p>
        </w:tc>
      </w:tr>
      <w:tr w14:paraId="717E0E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318" w:type="dxa"/>
            <w:vAlign w:val="center"/>
          </w:tcPr>
          <w:p w14:paraId="242DA41C">
            <w:pPr>
              <w:adjustRightInd w:val="0"/>
              <w:snapToGrid w:val="0"/>
              <w:jc w:val="center"/>
              <w:rPr>
                <w:color w:val="auto"/>
                <w:spacing w:val="-8"/>
                <w:sz w:val="21"/>
                <w:szCs w:val="21"/>
                <w:highlight w:val="none"/>
              </w:rPr>
            </w:pPr>
            <w:r>
              <w:rPr>
                <w:color w:val="auto"/>
                <w:spacing w:val="-8"/>
                <w:sz w:val="21"/>
                <w:szCs w:val="21"/>
                <w:highlight w:val="none"/>
              </w:rPr>
              <w:t>其他环境</w:t>
            </w:r>
          </w:p>
          <w:p w14:paraId="09FC0FFA">
            <w:pPr>
              <w:adjustRightInd w:val="0"/>
              <w:snapToGrid w:val="0"/>
              <w:jc w:val="center"/>
              <w:rPr>
                <w:color w:val="auto"/>
                <w:spacing w:val="-8"/>
                <w:sz w:val="21"/>
                <w:szCs w:val="21"/>
                <w:highlight w:val="none"/>
              </w:rPr>
            </w:pPr>
            <w:r>
              <w:rPr>
                <w:color w:val="auto"/>
                <w:spacing w:val="-8"/>
                <w:sz w:val="21"/>
                <w:szCs w:val="21"/>
                <w:highlight w:val="none"/>
              </w:rPr>
              <w:t>管理要求</w:t>
            </w:r>
          </w:p>
        </w:tc>
        <w:tc>
          <w:tcPr>
            <w:tcW w:w="7433" w:type="dxa"/>
            <w:gridSpan w:val="4"/>
            <w:vAlign w:val="center"/>
          </w:tcPr>
          <w:p w14:paraId="69EF437E">
            <w:pPr>
              <w:pStyle w:val="20"/>
              <w:spacing w:after="0"/>
              <w:jc w:val="center"/>
              <w:rPr>
                <w:color w:val="auto"/>
                <w:sz w:val="21"/>
                <w:szCs w:val="21"/>
                <w:highlight w:val="none"/>
              </w:rPr>
            </w:pPr>
            <w:r>
              <w:rPr>
                <w:color w:val="auto"/>
                <w:sz w:val="21"/>
                <w:szCs w:val="21"/>
                <w:highlight w:val="none"/>
              </w:rPr>
              <w:t>/</w:t>
            </w:r>
          </w:p>
        </w:tc>
      </w:tr>
    </w:tbl>
    <w:p w14:paraId="7268F826">
      <w:pPr>
        <w:pStyle w:val="22"/>
        <w:ind w:left="480" w:firstLine="480"/>
        <w:rPr>
          <w:color w:val="auto"/>
          <w:highlight w:val="none"/>
        </w:rPr>
      </w:pPr>
    </w:p>
    <w:p w14:paraId="084924FF">
      <w:pPr>
        <w:rPr>
          <w:color w:val="auto"/>
          <w:highlight w:val="none"/>
        </w:rPr>
      </w:pPr>
    </w:p>
    <w:p w14:paraId="418CFF26">
      <w:pPr>
        <w:pStyle w:val="20"/>
        <w:rPr>
          <w:color w:val="auto"/>
          <w:highlight w:val="none"/>
        </w:rPr>
      </w:pPr>
    </w:p>
    <w:p w14:paraId="3E301573">
      <w:pPr>
        <w:pStyle w:val="12"/>
        <w:rPr>
          <w:color w:val="auto"/>
          <w:highlight w:val="none"/>
        </w:rPr>
      </w:pPr>
    </w:p>
    <w:p w14:paraId="3DF61161">
      <w:pPr>
        <w:rPr>
          <w:color w:val="auto"/>
          <w:highlight w:val="none"/>
        </w:rPr>
      </w:pPr>
    </w:p>
    <w:p w14:paraId="05120095">
      <w:pPr>
        <w:pStyle w:val="20"/>
        <w:rPr>
          <w:color w:val="auto"/>
          <w:highlight w:val="none"/>
        </w:rPr>
      </w:pPr>
    </w:p>
    <w:p w14:paraId="2C92F393">
      <w:pPr>
        <w:pStyle w:val="12"/>
        <w:rPr>
          <w:color w:val="auto"/>
          <w:highlight w:val="none"/>
        </w:rPr>
      </w:pPr>
    </w:p>
    <w:p w14:paraId="6BDF8269">
      <w:pPr>
        <w:rPr>
          <w:color w:val="auto"/>
          <w:highlight w:val="none"/>
        </w:rPr>
      </w:pPr>
    </w:p>
    <w:p w14:paraId="0C517DFC">
      <w:pPr>
        <w:pStyle w:val="20"/>
        <w:rPr>
          <w:color w:val="auto"/>
          <w:highlight w:val="none"/>
        </w:rPr>
      </w:pPr>
    </w:p>
    <w:p w14:paraId="3F716B82">
      <w:pPr>
        <w:pStyle w:val="12"/>
        <w:rPr>
          <w:color w:val="auto"/>
          <w:highlight w:val="none"/>
        </w:rPr>
        <w:sectPr>
          <w:footerReference r:id="rId10"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p>
    <w:p w14:paraId="34725760">
      <w:pPr>
        <w:pStyle w:val="2"/>
        <w:keepNext/>
        <w:keepLines/>
        <w:pageBreakBefore w:val="0"/>
        <w:widowControl w:val="0"/>
        <w:numPr>
          <w:ilvl w:val="0"/>
          <w:numId w:val="1"/>
        </w:numPr>
        <w:kinsoku/>
        <w:wordWrap/>
        <w:overflowPunct/>
        <w:topLinePunct w:val="0"/>
        <w:autoSpaceDE/>
        <w:autoSpaceDN/>
        <w:bidi w:val="0"/>
        <w:adjustRightInd w:val="0"/>
        <w:snapToGrid w:val="0"/>
        <w:spacing w:line="240" w:lineRule="auto"/>
        <w:ind w:left="0" w:leftChars="0" w:firstLine="0" w:firstLineChars="0"/>
        <w:textAlignment w:val="auto"/>
        <w:rPr>
          <w:rFonts w:hint="default"/>
          <w:color w:val="auto"/>
          <w:highlight w:val="none"/>
          <w:lang w:val="en-US" w:eastAsia="zh-CN"/>
        </w:rPr>
      </w:pPr>
      <w:r>
        <w:rPr>
          <w:rFonts w:hint="eastAsia"/>
          <w:color w:val="auto"/>
          <w:highlight w:val="none"/>
          <w:lang w:val="en-US" w:eastAsia="zh-CN"/>
        </w:rPr>
        <w:t>结论</w:t>
      </w:r>
    </w:p>
    <w:p w14:paraId="5300E1A6">
      <w:pPr>
        <w:rPr>
          <w:highlight w:val="none"/>
        </w:rPr>
      </w:pP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8"/>
      </w:tblGrid>
      <w:tr w14:paraId="6DEC1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tcPr>
          <w:p w14:paraId="5BA3F97D">
            <w:pPr>
              <w:pStyle w:val="22"/>
              <w:keepNext w:val="0"/>
              <w:keepLines w:val="0"/>
              <w:pageBreakBefore w:val="0"/>
              <w:widowControl w:val="0"/>
              <w:kinsoku/>
              <w:wordWrap/>
              <w:overflowPunct/>
              <w:topLinePunct w:val="0"/>
              <w:autoSpaceDE/>
              <w:autoSpaceDN/>
              <w:bidi w:val="0"/>
              <w:adjustRightInd/>
              <w:snapToGrid/>
              <w:spacing w:before="157" w:beforeLines="50" w:after="0" w:line="360" w:lineRule="auto"/>
              <w:ind w:left="0" w:leftChars="0"/>
              <w:textAlignment w:val="auto"/>
              <w:rPr>
                <w:rFonts w:hint="eastAsia"/>
                <w:vertAlign w:val="baseline"/>
              </w:rPr>
            </w:pPr>
            <w:r>
              <w:rPr>
                <w:rFonts w:hint="eastAsia"/>
                <w:vertAlign w:val="baseline"/>
                <w:lang w:val="en-US" w:eastAsia="zh-CN"/>
              </w:rPr>
              <w:t>项目</w:t>
            </w:r>
            <w:r>
              <w:rPr>
                <w:rFonts w:hint="eastAsia"/>
                <w:vertAlign w:val="baseline"/>
              </w:rPr>
              <w:t>选址于</w:t>
            </w:r>
            <w:r>
              <w:rPr>
                <w:rFonts w:hint="eastAsia"/>
                <w:vertAlign w:val="baseline"/>
                <w:lang w:eastAsia="zh-CN"/>
              </w:rPr>
              <w:t>福建省福州市晋安区玉井路99号蓝光公馆8#楼1层20商业（餐饮）</w:t>
            </w:r>
            <w:r>
              <w:rPr>
                <w:rFonts w:hint="eastAsia"/>
                <w:vertAlign w:val="baseline"/>
              </w:rPr>
              <w:t>，</w:t>
            </w:r>
            <w:r>
              <w:rPr>
                <w:rFonts w:hint="eastAsia"/>
                <w:vertAlign w:val="baseline"/>
                <w:lang w:val="en-US" w:eastAsia="zh-CN"/>
              </w:rPr>
              <w:t>建筑</w:t>
            </w:r>
            <w:r>
              <w:rPr>
                <w:rFonts w:hint="eastAsia"/>
                <w:vertAlign w:val="baseline"/>
              </w:rPr>
              <w:t>面积为</w:t>
            </w:r>
            <w:r>
              <w:rPr>
                <w:rFonts w:hint="eastAsia"/>
                <w:vertAlign w:val="baseline"/>
                <w:lang w:val="en-US" w:eastAsia="zh-CN"/>
              </w:rPr>
              <w:t>147</w:t>
            </w:r>
            <w:r>
              <w:rPr>
                <w:rFonts w:hint="eastAsia"/>
                <w:vertAlign w:val="baseline"/>
              </w:rPr>
              <w:t>m</w:t>
            </w:r>
            <w:r>
              <w:rPr>
                <w:rFonts w:hint="eastAsia"/>
                <w:vertAlign w:val="superscript"/>
                <w:lang w:val="en-US" w:eastAsia="zh-CN"/>
              </w:rPr>
              <w:t>2</w:t>
            </w:r>
            <w:r>
              <w:rPr>
                <w:rFonts w:hint="eastAsia"/>
                <w:vertAlign w:val="baseline"/>
              </w:rPr>
              <w:t>，项目主要经营范围为宠物疾病预防、诊治和手术，宠物美容洗护和宠物用品销售等服务，拟总投资</w:t>
            </w:r>
            <w:r>
              <w:rPr>
                <w:rFonts w:hint="eastAsia"/>
                <w:vertAlign w:val="baseline"/>
                <w:lang w:val="en-US" w:eastAsia="zh-CN"/>
              </w:rPr>
              <w:t>90</w:t>
            </w:r>
            <w:r>
              <w:rPr>
                <w:rFonts w:hint="eastAsia"/>
                <w:vertAlign w:val="baseline"/>
              </w:rPr>
              <w:t>万元，项目的建设符合国家产业政策。同时也符合福州市“三线一单”生态环境分区管控的要求，选址合理。项目所在区城环境质量现状较好，满足所在区域环境质量要求，项目建设能与周边环境相容。</w:t>
            </w:r>
          </w:p>
          <w:p w14:paraId="39A4B73E">
            <w:pPr>
              <w:pStyle w:val="22"/>
              <w:keepNext w:val="0"/>
              <w:keepLines w:val="0"/>
              <w:pageBreakBefore w:val="0"/>
              <w:widowControl w:val="0"/>
              <w:kinsoku/>
              <w:wordWrap/>
              <w:overflowPunct/>
              <w:topLinePunct w:val="0"/>
              <w:autoSpaceDE/>
              <w:autoSpaceDN/>
              <w:bidi w:val="0"/>
              <w:adjustRightInd/>
              <w:snapToGrid/>
              <w:spacing w:before="157" w:beforeLines="50" w:after="0" w:line="360" w:lineRule="auto"/>
              <w:ind w:left="0" w:leftChars="0"/>
              <w:textAlignment w:val="auto"/>
              <w:rPr>
                <w:rFonts w:hint="eastAsia"/>
                <w:vertAlign w:val="baseline"/>
              </w:rPr>
            </w:pPr>
            <w:r>
              <w:rPr>
                <w:rFonts w:hint="eastAsia"/>
                <w:vertAlign w:val="baseline"/>
              </w:rPr>
              <w:t>通过对项目的环境影响评价分析，项目运营过程中的废水、废气、噪声、固度等污染物对周围环境空气、水环境、声环境等造成一定的影响，经采取综合性、积极有效的防治措施后排放的污染物符合国家、省规定的污染物排放标准，废水、废气、噪声能达标排放，符合总量控制要求，经相关措施处理后对项目周边环境影响较小。</w:t>
            </w:r>
          </w:p>
          <w:p w14:paraId="721CCC2D">
            <w:pPr>
              <w:pStyle w:val="22"/>
              <w:keepNext w:val="0"/>
              <w:keepLines w:val="0"/>
              <w:pageBreakBefore w:val="0"/>
              <w:widowControl w:val="0"/>
              <w:kinsoku/>
              <w:wordWrap/>
              <w:overflowPunct/>
              <w:topLinePunct w:val="0"/>
              <w:autoSpaceDE/>
              <w:autoSpaceDN/>
              <w:bidi w:val="0"/>
              <w:adjustRightInd/>
              <w:snapToGrid/>
              <w:spacing w:before="157" w:beforeLines="50" w:after="0" w:line="360" w:lineRule="auto"/>
              <w:ind w:left="0" w:leftChars="0"/>
              <w:textAlignment w:val="auto"/>
              <w:rPr>
                <w:rFonts w:hint="eastAsia"/>
                <w:vertAlign w:val="baseline"/>
              </w:rPr>
            </w:pPr>
            <w:r>
              <w:rPr>
                <w:rFonts w:hint="eastAsia"/>
                <w:vertAlign w:val="baseline"/>
              </w:rPr>
              <w:t>综上，建设单位在严格落实环保“三同时”制度，认真落实报告表提出的各项环保对策措施，加强环境管理与监测，从环境保护度分析，项目的建设是可行的。</w:t>
            </w:r>
          </w:p>
          <w:p w14:paraId="5352A375">
            <w:pPr>
              <w:pStyle w:val="23"/>
              <w:keepNext w:val="0"/>
              <w:keepLines w:val="0"/>
              <w:pageBreakBefore w:val="0"/>
              <w:widowControl w:val="0"/>
              <w:kinsoku/>
              <w:wordWrap/>
              <w:overflowPunct/>
              <w:topLinePunct w:val="0"/>
              <w:bidi w:val="0"/>
              <w:spacing w:before="313" w:beforeLines="100"/>
              <w:textAlignment w:val="auto"/>
              <w:rPr>
                <w:rFonts w:hint="eastAsia"/>
                <w:vertAlign w:val="baseline"/>
              </w:rPr>
            </w:pPr>
          </w:p>
          <w:p w14:paraId="526021D0">
            <w:pPr>
              <w:pStyle w:val="23"/>
              <w:rPr>
                <w:rFonts w:hint="eastAsia"/>
                <w:vertAlign w:val="baseline"/>
              </w:rPr>
            </w:pPr>
          </w:p>
          <w:p w14:paraId="7234C016">
            <w:pPr>
              <w:pStyle w:val="23"/>
              <w:rPr>
                <w:rFonts w:hint="eastAsia"/>
                <w:vertAlign w:val="baseline"/>
              </w:rPr>
            </w:pPr>
          </w:p>
          <w:p w14:paraId="3DEC177B">
            <w:pPr>
              <w:pStyle w:val="23"/>
              <w:rPr>
                <w:rFonts w:hint="eastAsia"/>
                <w:vertAlign w:val="baseline"/>
              </w:rPr>
            </w:pPr>
          </w:p>
          <w:p w14:paraId="30298344">
            <w:pPr>
              <w:pStyle w:val="23"/>
              <w:rPr>
                <w:rFonts w:hint="eastAsia"/>
                <w:vertAlign w:val="baseline"/>
              </w:rPr>
            </w:pPr>
          </w:p>
          <w:p w14:paraId="501E6CAA">
            <w:pPr>
              <w:pStyle w:val="23"/>
              <w:rPr>
                <w:rFonts w:hint="eastAsia"/>
                <w:vertAlign w:val="baseline"/>
              </w:rPr>
            </w:pPr>
          </w:p>
          <w:p w14:paraId="5BAF354C">
            <w:pPr>
              <w:pStyle w:val="23"/>
              <w:rPr>
                <w:rFonts w:hint="eastAsia"/>
                <w:vertAlign w:val="baseline"/>
              </w:rPr>
            </w:pPr>
          </w:p>
          <w:p w14:paraId="1C78C983">
            <w:pPr>
              <w:pStyle w:val="23"/>
              <w:rPr>
                <w:rFonts w:hint="eastAsia"/>
                <w:vertAlign w:val="baseline"/>
              </w:rPr>
            </w:pPr>
          </w:p>
          <w:p w14:paraId="752F3334">
            <w:pPr>
              <w:pStyle w:val="23"/>
              <w:rPr>
                <w:rFonts w:hint="eastAsia"/>
                <w:vertAlign w:val="baseline"/>
              </w:rPr>
            </w:pPr>
          </w:p>
          <w:p w14:paraId="5FAAD56F">
            <w:pPr>
              <w:pStyle w:val="23"/>
              <w:rPr>
                <w:rFonts w:hint="eastAsia"/>
                <w:vertAlign w:val="baseline"/>
              </w:rPr>
            </w:pPr>
          </w:p>
          <w:p w14:paraId="3C0E7B29">
            <w:pPr>
              <w:pStyle w:val="23"/>
              <w:rPr>
                <w:rFonts w:hint="eastAsia"/>
                <w:vertAlign w:val="baseline"/>
              </w:rPr>
            </w:pPr>
          </w:p>
          <w:p w14:paraId="7F0EA5BD">
            <w:pPr>
              <w:pStyle w:val="23"/>
              <w:rPr>
                <w:rFonts w:hint="eastAsia"/>
                <w:vertAlign w:val="baseline"/>
              </w:rPr>
            </w:pPr>
          </w:p>
          <w:p w14:paraId="54506036">
            <w:pPr>
              <w:pStyle w:val="23"/>
              <w:rPr>
                <w:rFonts w:hint="eastAsia"/>
                <w:vertAlign w:val="baseline"/>
              </w:rPr>
            </w:pPr>
          </w:p>
          <w:p w14:paraId="625A52A9">
            <w:pPr>
              <w:pStyle w:val="23"/>
              <w:rPr>
                <w:rFonts w:hint="eastAsia"/>
                <w:vertAlign w:val="baseline"/>
              </w:rPr>
            </w:pPr>
          </w:p>
          <w:p w14:paraId="013343F3">
            <w:pPr>
              <w:pStyle w:val="23"/>
              <w:rPr>
                <w:rFonts w:hint="eastAsia"/>
                <w:vertAlign w:val="baseline"/>
              </w:rPr>
            </w:pPr>
          </w:p>
        </w:tc>
      </w:tr>
    </w:tbl>
    <w:p w14:paraId="665F0591">
      <w:pPr>
        <w:pStyle w:val="22"/>
        <w:sectPr>
          <w:footerReference r:id="rId11"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p>
    <w:bookmarkEnd w:id="3"/>
    <w:bookmarkEnd w:id="4"/>
    <w:bookmarkEnd w:id="5"/>
    <w:bookmarkEnd w:id="6"/>
    <w:bookmarkEnd w:id="7"/>
    <w:bookmarkEnd w:id="8"/>
    <w:bookmarkEnd w:id="9"/>
    <w:bookmarkEnd w:id="10"/>
    <w:bookmarkEnd w:id="11"/>
    <w:p w14:paraId="7EFCEDF5">
      <w:pPr>
        <w:pStyle w:val="2"/>
        <w:numPr>
          <w:ilvl w:val="0"/>
          <w:numId w:val="0"/>
        </w:numPr>
        <w:jc w:val="left"/>
        <w:rPr>
          <w:color w:val="auto"/>
          <w:highlight w:val="none"/>
        </w:rPr>
      </w:pPr>
      <w:bookmarkStart w:id="209" w:name="_Toc5673"/>
      <w:bookmarkStart w:id="210" w:name="_Toc133251567"/>
      <w:bookmarkStart w:id="211" w:name="_Toc17695"/>
      <w:bookmarkStart w:id="212" w:name="_Toc20525"/>
      <w:r>
        <w:rPr>
          <w:color w:val="auto"/>
          <w:highlight w:val="none"/>
        </w:rPr>
        <w:t>附表</w:t>
      </w:r>
      <w:bookmarkEnd w:id="209"/>
      <w:bookmarkEnd w:id="210"/>
      <w:bookmarkEnd w:id="211"/>
    </w:p>
    <w:p w14:paraId="4315B8C5">
      <w:pPr>
        <w:pStyle w:val="320"/>
        <w:ind w:firstLine="482"/>
        <w:jc w:val="center"/>
        <w:rPr>
          <w:b/>
          <w:bCs/>
          <w:color w:val="auto"/>
          <w:highlight w:val="none"/>
        </w:rPr>
      </w:pPr>
      <w:bookmarkStart w:id="213" w:name="_Toc756"/>
      <w:bookmarkStart w:id="214" w:name="_Toc21936"/>
      <w:r>
        <w:rPr>
          <w:b/>
          <w:bCs/>
          <w:color w:val="auto"/>
          <w:highlight w:val="none"/>
        </w:rPr>
        <w:t>建设项目污染物排放量汇总表</w:t>
      </w:r>
      <w:bookmarkEnd w:id="213"/>
      <w:bookmarkEnd w:id="214"/>
    </w:p>
    <w:tbl>
      <w:tblPr>
        <w:tblStyle w:val="50"/>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75"/>
        <w:gridCol w:w="1830"/>
        <w:gridCol w:w="1701"/>
        <w:gridCol w:w="1276"/>
        <w:gridCol w:w="1701"/>
        <w:gridCol w:w="1559"/>
        <w:gridCol w:w="1761"/>
        <w:gridCol w:w="1655"/>
        <w:gridCol w:w="1130"/>
      </w:tblGrid>
      <w:tr w14:paraId="22832F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tcBorders>
              <w:tl2br w:val="single" w:color="auto" w:sz="4" w:space="0"/>
            </w:tcBorders>
            <w:tcMar>
              <w:left w:w="28" w:type="dxa"/>
              <w:right w:w="28" w:type="dxa"/>
            </w:tcMar>
            <w:vAlign w:val="center"/>
          </w:tcPr>
          <w:p w14:paraId="4B29EE8F">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 xml:space="preserve">   项目</w:t>
            </w:r>
          </w:p>
          <w:p w14:paraId="784A7AD0">
            <w:pPr>
              <w:pStyle w:val="153"/>
              <w:jc w:val="left"/>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分类</w:t>
            </w:r>
          </w:p>
        </w:tc>
        <w:tc>
          <w:tcPr>
            <w:tcW w:w="1830" w:type="dxa"/>
            <w:tcMar>
              <w:left w:w="28" w:type="dxa"/>
              <w:right w:w="28" w:type="dxa"/>
            </w:tcMar>
            <w:vAlign w:val="center"/>
          </w:tcPr>
          <w:p w14:paraId="396A5367">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污染物名称</w:t>
            </w:r>
          </w:p>
        </w:tc>
        <w:tc>
          <w:tcPr>
            <w:tcW w:w="1701" w:type="dxa"/>
            <w:tcMar>
              <w:left w:w="28" w:type="dxa"/>
              <w:right w:w="28" w:type="dxa"/>
            </w:tcMar>
            <w:vAlign w:val="center"/>
          </w:tcPr>
          <w:p w14:paraId="3E976C32">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现有工程</w:t>
            </w:r>
          </w:p>
          <w:p w14:paraId="2CC748BB">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排放量（固体废物产生量）</w:t>
            </w:r>
            <w:r>
              <w:rPr>
                <w:rFonts w:hint="eastAsia" w:ascii="宋体" w:hAnsi="宋体" w:cs="宋体"/>
                <w:color w:val="auto"/>
                <w:szCs w:val="21"/>
                <w:highlight w:val="none"/>
              </w:rPr>
              <w:t>①</w:t>
            </w:r>
          </w:p>
        </w:tc>
        <w:tc>
          <w:tcPr>
            <w:tcW w:w="1276" w:type="dxa"/>
            <w:tcMar>
              <w:left w:w="28" w:type="dxa"/>
              <w:right w:w="28" w:type="dxa"/>
            </w:tcMar>
            <w:vAlign w:val="center"/>
          </w:tcPr>
          <w:p w14:paraId="05BDA311">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现有工程</w:t>
            </w:r>
          </w:p>
          <w:p w14:paraId="13AAE2C1">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许可排放量</w:t>
            </w:r>
          </w:p>
          <w:p w14:paraId="3853029E">
            <w:pPr>
              <w:pStyle w:val="153"/>
              <w:rPr>
                <w:rFonts w:ascii="Times New Roman" w:hAnsi="Times New Roman" w:cs="Times New Roman"/>
                <w:color w:val="auto"/>
                <w:spacing w:val="-6"/>
                <w:kern w:val="21"/>
                <w:szCs w:val="21"/>
                <w:highlight w:val="none"/>
              </w:rPr>
            </w:pPr>
            <w:r>
              <w:rPr>
                <w:rFonts w:hint="eastAsia" w:ascii="宋体" w:hAnsi="宋体" w:cs="宋体"/>
                <w:color w:val="auto"/>
                <w:spacing w:val="-6"/>
                <w:kern w:val="21"/>
                <w:szCs w:val="21"/>
                <w:highlight w:val="none"/>
              </w:rPr>
              <w:t>②</w:t>
            </w:r>
          </w:p>
        </w:tc>
        <w:tc>
          <w:tcPr>
            <w:tcW w:w="1701" w:type="dxa"/>
            <w:tcMar>
              <w:left w:w="28" w:type="dxa"/>
              <w:right w:w="28" w:type="dxa"/>
            </w:tcMar>
            <w:vAlign w:val="center"/>
          </w:tcPr>
          <w:p w14:paraId="2F02124C">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在建工程</w:t>
            </w:r>
          </w:p>
          <w:p w14:paraId="38269C98">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排放量（固体废物产生量）</w:t>
            </w:r>
            <w:r>
              <w:rPr>
                <w:rFonts w:hint="eastAsia" w:ascii="宋体" w:hAnsi="宋体" w:cs="宋体"/>
                <w:color w:val="auto"/>
                <w:szCs w:val="21"/>
                <w:highlight w:val="none"/>
              </w:rPr>
              <w:t>③</w:t>
            </w:r>
          </w:p>
        </w:tc>
        <w:tc>
          <w:tcPr>
            <w:tcW w:w="1559" w:type="dxa"/>
            <w:tcMar>
              <w:left w:w="28" w:type="dxa"/>
              <w:right w:w="28" w:type="dxa"/>
            </w:tcMar>
            <w:vAlign w:val="center"/>
          </w:tcPr>
          <w:p w14:paraId="36BA37CC">
            <w:pPr>
              <w:pStyle w:val="153"/>
              <w:rPr>
                <w:rFonts w:hint="eastAsia" w:ascii="Times New Roman" w:hAnsi="Times New Roman" w:eastAsia="宋体" w:cs="Times New Roman"/>
                <w:color w:val="auto"/>
                <w:spacing w:val="-6"/>
                <w:kern w:val="21"/>
                <w:szCs w:val="21"/>
                <w:highlight w:val="none"/>
                <w:lang w:eastAsia="zh-CN"/>
              </w:rPr>
            </w:pPr>
            <w:r>
              <w:rPr>
                <w:rFonts w:hint="eastAsia" w:ascii="Times New Roman" w:hAnsi="Times New Roman" w:cs="Times New Roman"/>
                <w:color w:val="auto"/>
                <w:spacing w:val="-6"/>
                <w:kern w:val="21"/>
                <w:szCs w:val="21"/>
                <w:highlight w:val="none"/>
                <w:lang w:eastAsia="zh-CN"/>
              </w:rPr>
              <w:t>项目</w:t>
            </w:r>
          </w:p>
          <w:p w14:paraId="061CCBF9">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排放量（固体废物产生量）</w:t>
            </w:r>
            <w:r>
              <w:rPr>
                <w:rFonts w:hint="eastAsia" w:ascii="宋体" w:hAnsi="宋体" w:cs="宋体"/>
                <w:color w:val="auto"/>
                <w:szCs w:val="21"/>
                <w:highlight w:val="none"/>
              </w:rPr>
              <w:t>④</w:t>
            </w:r>
          </w:p>
        </w:tc>
        <w:tc>
          <w:tcPr>
            <w:tcW w:w="1761" w:type="dxa"/>
            <w:tcMar>
              <w:left w:w="28" w:type="dxa"/>
              <w:right w:w="28" w:type="dxa"/>
            </w:tcMar>
            <w:vAlign w:val="center"/>
          </w:tcPr>
          <w:p w14:paraId="231CBCAD">
            <w:pPr>
              <w:pStyle w:val="153"/>
              <w:rPr>
                <w:rFonts w:ascii="Times New Roman" w:hAnsi="Times New Roman" w:cs="Times New Roman"/>
                <w:color w:val="auto"/>
                <w:spacing w:val="-16"/>
                <w:kern w:val="21"/>
                <w:szCs w:val="21"/>
                <w:highlight w:val="none"/>
              </w:rPr>
            </w:pPr>
            <w:r>
              <w:rPr>
                <w:rFonts w:ascii="Times New Roman" w:hAnsi="Times New Roman" w:cs="Times New Roman"/>
                <w:color w:val="auto"/>
                <w:spacing w:val="-16"/>
                <w:kern w:val="21"/>
                <w:szCs w:val="21"/>
                <w:highlight w:val="none"/>
              </w:rPr>
              <w:t>以新带老削减量</w:t>
            </w:r>
          </w:p>
          <w:p w14:paraId="0989018F">
            <w:pPr>
              <w:pStyle w:val="153"/>
              <w:rPr>
                <w:rFonts w:ascii="Times New Roman" w:hAnsi="Times New Roman" w:cs="Times New Roman"/>
                <w:color w:val="auto"/>
                <w:spacing w:val="-16"/>
                <w:kern w:val="21"/>
                <w:szCs w:val="21"/>
                <w:highlight w:val="none"/>
              </w:rPr>
            </w:pPr>
            <w:r>
              <w:rPr>
                <w:rFonts w:ascii="Times New Roman" w:hAnsi="Times New Roman" w:cs="Times New Roman"/>
                <w:color w:val="auto"/>
                <w:spacing w:val="-16"/>
                <w:kern w:val="21"/>
                <w:szCs w:val="21"/>
                <w:highlight w:val="none"/>
              </w:rPr>
              <w:t>（新建项目不填）</w:t>
            </w:r>
            <w:r>
              <w:rPr>
                <w:rFonts w:hint="eastAsia" w:ascii="宋体" w:hAnsi="宋体" w:cs="宋体"/>
                <w:color w:val="auto"/>
                <w:szCs w:val="21"/>
                <w:highlight w:val="none"/>
              </w:rPr>
              <w:t>⑤</w:t>
            </w:r>
          </w:p>
        </w:tc>
        <w:tc>
          <w:tcPr>
            <w:tcW w:w="1655" w:type="dxa"/>
            <w:tcMar>
              <w:left w:w="28" w:type="dxa"/>
              <w:right w:w="28" w:type="dxa"/>
            </w:tcMar>
            <w:vAlign w:val="center"/>
          </w:tcPr>
          <w:p w14:paraId="0BB2C46F">
            <w:pPr>
              <w:pStyle w:val="153"/>
              <w:rPr>
                <w:rFonts w:ascii="Times New Roman" w:hAnsi="Times New Roman" w:cs="Times New Roman"/>
                <w:color w:val="auto"/>
                <w:spacing w:val="-16"/>
                <w:kern w:val="21"/>
                <w:szCs w:val="21"/>
                <w:highlight w:val="none"/>
              </w:rPr>
            </w:pPr>
            <w:r>
              <w:rPr>
                <w:rFonts w:hint="eastAsia" w:ascii="Times New Roman" w:hAnsi="Times New Roman" w:cs="Times New Roman"/>
                <w:color w:val="auto"/>
                <w:spacing w:val="-16"/>
                <w:kern w:val="21"/>
                <w:szCs w:val="21"/>
                <w:highlight w:val="none"/>
                <w:lang w:eastAsia="zh-CN"/>
              </w:rPr>
              <w:t>项目</w:t>
            </w:r>
            <w:r>
              <w:rPr>
                <w:rFonts w:ascii="Times New Roman" w:hAnsi="Times New Roman" w:cs="Times New Roman"/>
                <w:color w:val="auto"/>
                <w:spacing w:val="-16"/>
                <w:kern w:val="21"/>
                <w:szCs w:val="21"/>
                <w:highlight w:val="none"/>
              </w:rPr>
              <w:t>建成后</w:t>
            </w:r>
          </w:p>
          <w:p w14:paraId="48C25DEB">
            <w:pPr>
              <w:pStyle w:val="153"/>
              <w:rPr>
                <w:rFonts w:ascii="Times New Roman" w:hAnsi="Times New Roman" w:cs="Times New Roman"/>
                <w:color w:val="auto"/>
                <w:spacing w:val="-16"/>
                <w:kern w:val="21"/>
                <w:szCs w:val="21"/>
                <w:highlight w:val="none"/>
              </w:rPr>
            </w:pPr>
            <w:r>
              <w:rPr>
                <w:rFonts w:ascii="Times New Roman" w:hAnsi="Times New Roman" w:cs="Times New Roman"/>
                <w:color w:val="auto"/>
                <w:spacing w:val="-16"/>
                <w:kern w:val="21"/>
                <w:szCs w:val="21"/>
                <w:highlight w:val="none"/>
              </w:rPr>
              <w:t>全厂排放量（固体废物产生量）</w:t>
            </w:r>
            <w:r>
              <w:rPr>
                <w:rFonts w:hint="eastAsia" w:ascii="宋体" w:hAnsi="宋体" w:cs="宋体"/>
                <w:color w:val="auto"/>
                <w:szCs w:val="21"/>
                <w:highlight w:val="none"/>
              </w:rPr>
              <w:t>⑥</w:t>
            </w:r>
          </w:p>
        </w:tc>
        <w:tc>
          <w:tcPr>
            <w:tcW w:w="1130" w:type="dxa"/>
            <w:tcMar>
              <w:left w:w="28" w:type="dxa"/>
              <w:right w:w="28" w:type="dxa"/>
            </w:tcMar>
            <w:vAlign w:val="center"/>
          </w:tcPr>
          <w:p w14:paraId="78EF9BA1">
            <w:pPr>
              <w:pStyle w:val="153"/>
              <w:rPr>
                <w:rFonts w:ascii="Times New Roman" w:hAnsi="Times New Roman" w:cs="Times New Roman"/>
                <w:color w:val="auto"/>
                <w:spacing w:val="-6"/>
                <w:kern w:val="21"/>
                <w:szCs w:val="21"/>
                <w:highlight w:val="none"/>
              </w:rPr>
            </w:pPr>
            <w:r>
              <w:rPr>
                <w:rFonts w:ascii="Times New Roman" w:hAnsi="Times New Roman" w:cs="Times New Roman"/>
                <w:color w:val="auto"/>
                <w:spacing w:val="-6"/>
                <w:kern w:val="21"/>
                <w:szCs w:val="21"/>
                <w:highlight w:val="none"/>
              </w:rPr>
              <w:t>变化量</w:t>
            </w:r>
          </w:p>
          <w:p w14:paraId="02AF043E">
            <w:pPr>
              <w:pStyle w:val="153"/>
              <w:rPr>
                <w:rFonts w:ascii="Times New Roman" w:hAnsi="Times New Roman" w:cs="Times New Roman"/>
                <w:color w:val="auto"/>
                <w:spacing w:val="-6"/>
                <w:kern w:val="21"/>
                <w:szCs w:val="21"/>
                <w:highlight w:val="none"/>
              </w:rPr>
            </w:pPr>
            <w:r>
              <w:rPr>
                <w:rFonts w:hint="eastAsia" w:ascii="宋体" w:hAnsi="宋体" w:cs="宋体"/>
                <w:color w:val="auto"/>
                <w:szCs w:val="21"/>
                <w:highlight w:val="none"/>
              </w:rPr>
              <w:t>⑦</w:t>
            </w:r>
          </w:p>
        </w:tc>
      </w:tr>
      <w:tr w14:paraId="10E578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restart"/>
            <w:vAlign w:val="center"/>
          </w:tcPr>
          <w:p w14:paraId="2B10E028">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废气</w:t>
            </w:r>
          </w:p>
        </w:tc>
        <w:tc>
          <w:tcPr>
            <w:tcW w:w="1830" w:type="dxa"/>
            <w:vAlign w:val="center"/>
          </w:tcPr>
          <w:p w14:paraId="71CF6C1B">
            <w:pPr>
              <w:snapToGrid w:val="0"/>
              <w:jc w:val="center"/>
              <w:rPr>
                <w:iCs/>
                <w:snapToGrid w:val="0"/>
                <w:color w:val="auto"/>
                <w:kern w:val="21"/>
                <w:sz w:val="21"/>
                <w:szCs w:val="21"/>
                <w:highlight w:val="none"/>
              </w:rPr>
            </w:pPr>
            <w:r>
              <w:rPr>
                <w:rFonts w:hint="eastAsia"/>
                <w:bCs/>
                <w:color w:val="auto"/>
                <w:sz w:val="21"/>
                <w:szCs w:val="21"/>
                <w:highlight w:val="none"/>
                <w:lang w:eastAsia="zh-CN"/>
              </w:rPr>
              <w:t>臭气浓度</w:t>
            </w:r>
          </w:p>
        </w:tc>
        <w:tc>
          <w:tcPr>
            <w:tcW w:w="1701" w:type="dxa"/>
            <w:vAlign w:val="center"/>
          </w:tcPr>
          <w:p w14:paraId="725CBD45">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6" w:type="dxa"/>
            <w:vAlign w:val="center"/>
          </w:tcPr>
          <w:p w14:paraId="74C7C338">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701" w:type="dxa"/>
            <w:vAlign w:val="center"/>
          </w:tcPr>
          <w:p w14:paraId="3A3F3999">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559" w:type="dxa"/>
            <w:vAlign w:val="center"/>
          </w:tcPr>
          <w:p w14:paraId="5FB52941">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761" w:type="dxa"/>
            <w:vAlign w:val="center"/>
          </w:tcPr>
          <w:p w14:paraId="1A58DB9C">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655" w:type="dxa"/>
            <w:vAlign w:val="center"/>
          </w:tcPr>
          <w:p w14:paraId="77CE6D28">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130" w:type="dxa"/>
            <w:vAlign w:val="center"/>
          </w:tcPr>
          <w:p w14:paraId="20A56F23">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14:paraId="18D6AF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14:paraId="03A36258">
            <w:pPr>
              <w:pStyle w:val="153"/>
              <w:rPr>
                <w:rFonts w:ascii="Times New Roman" w:hAnsi="Times New Roman" w:cs="Times New Roman"/>
                <w:color w:val="auto"/>
                <w:kern w:val="21"/>
                <w:szCs w:val="21"/>
                <w:highlight w:val="none"/>
              </w:rPr>
            </w:pPr>
          </w:p>
        </w:tc>
        <w:tc>
          <w:tcPr>
            <w:tcW w:w="1830" w:type="dxa"/>
            <w:vAlign w:val="center"/>
          </w:tcPr>
          <w:p w14:paraId="5A75B1C4">
            <w:pPr>
              <w:snapToGrid w:val="0"/>
              <w:jc w:val="center"/>
              <w:rPr>
                <w:snapToGrid w:val="0"/>
                <w:color w:val="auto"/>
                <w:kern w:val="21"/>
                <w:sz w:val="21"/>
                <w:szCs w:val="21"/>
                <w:highlight w:val="none"/>
              </w:rPr>
            </w:pPr>
            <w:r>
              <w:rPr>
                <w:bCs/>
                <w:color w:val="auto"/>
                <w:sz w:val="21"/>
                <w:szCs w:val="21"/>
                <w:highlight w:val="none"/>
              </w:rPr>
              <w:t>NH</w:t>
            </w:r>
            <w:r>
              <w:rPr>
                <w:bCs/>
                <w:color w:val="auto"/>
                <w:sz w:val="21"/>
                <w:szCs w:val="21"/>
                <w:highlight w:val="none"/>
                <w:vertAlign w:val="subscript"/>
              </w:rPr>
              <w:t>3</w:t>
            </w:r>
          </w:p>
        </w:tc>
        <w:tc>
          <w:tcPr>
            <w:tcW w:w="1701" w:type="dxa"/>
            <w:vAlign w:val="center"/>
          </w:tcPr>
          <w:p w14:paraId="4B7CF857">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6" w:type="dxa"/>
            <w:vAlign w:val="center"/>
          </w:tcPr>
          <w:p w14:paraId="3B56A8F9">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701" w:type="dxa"/>
            <w:vAlign w:val="center"/>
          </w:tcPr>
          <w:p w14:paraId="48593365">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559" w:type="dxa"/>
            <w:vAlign w:val="center"/>
          </w:tcPr>
          <w:p w14:paraId="407BAB49">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761" w:type="dxa"/>
            <w:vAlign w:val="center"/>
          </w:tcPr>
          <w:p w14:paraId="4E19284A">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655" w:type="dxa"/>
            <w:vAlign w:val="center"/>
          </w:tcPr>
          <w:p w14:paraId="3477A821">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130" w:type="dxa"/>
            <w:vAlign w:val="center"/>
          </w:tcPr>
          <w:p w14:paraId="343326F1">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14:paraId="45AE84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14:paraId="11EE02F1">
            <w:pPr>
              <w:pStyle w:val="153"/>
              <w:rPr>
                <w:rFonts w:ascii="Times New Roman" w:hAnsi="Times New Roman" w:cs="Times New Roman"/>
                <w:color w:val="auto"/>
                <w:kern w:val="21"/>
                <w:szCs w:val="21"/>
                <w:highlight w:val="none"/>
              </w:rPr>
            </w:pPr>
          </w:p>
        </w:tc>
        <w:tc>
          <w:tcPr>
            <w:tcW w:w="1830" w:type="dxa"/>
            <w:vAlign w:val="center"/>
          </w:tcPr>
          <w:p w14:paraId="7C84D2BB">
            <w:pPr>
              <w:snapToGrid w:val="0"/>
              <w:jc w:val="center"/>
              <w:rPr>
                <w:snapToGrid w:val="0"/>
                <w:color w:val="auto"/>
                <w:kern w:val="21"/>
                <w:sz w:val="21"/>
                <w:szCs w:val="21"/>
                <w:highlight w:val="none"/>
              </w:rPr>
            </w:pPr>
            <w:r>
              <w:rPr>
                <w:bCs/>
                <w:color w:val="auto"/>
                <w:sz w:val="21"/>
                <w:szCs w:val="21"/>
                <w:highlight w:val="none"/>
              </w:rPr>
              <w:t>H</w:t>
            </w:r>
            <w:r>
              <w:rPr>
                <w:bCs/>
                <w:color w:val="auto"/>
                <w:sz w:val="21"/>
                <w:szCs w:val="21"/>
                <w:highlight w:val="none"/>
                <w:vertAlign w:val="subscript"/>
              </w:rPr>
              <w:t>2</w:t>
            </w:r>
            <w:r>
              <w:rPr>
                <w:bCs/>
                <w:color w:val="auto"/>
                <w:sz w:val="21"/>
                <w:szCs w:val="21"/>
                <w:highlight w:val="none"/>
              </w:rPr>
              <w:t>S</w:t>
            </w:r>
          </w:p>
        </w:tc>
        <w:tc>
          <w:tcPr>
            <w:tcW w:w="1701" w:type="dxa"/>
            <w:vAlign w:val="center"/>
          </w:tcPr>
          <w:p w14:paraId="32385B72">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6" w:type="dxa"/>
            <w:vAlign w:val="center"/>
          </w:tcPr>
          <w:p w14:paraId="39A19AC3">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701" w:type="dxa"/>
            <w:vAlign w:val="center"/>
          </w:tcPr>
          <w:p w14:paraId="3D7F659D">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559" w:type="dxa"/>
            <w:vAlign w:val="center"/>
          </w:tcPr>
          <w:p w14:paraId="08E29445">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761" w:type="dxa"/>
            <w:vAlign w:val="center"/>
          </w:tcPr>
          <w:p w14:paraId="45629007">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655" w:type="dxa"/>
            <w:vAlign w:val="center"/>
          </w:tcPr>
          <w:p w14:paraId="0A146009">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130" w:type="dxa"/>
            <w:vAlign w:val="center"/>
          </w:tcPr>
          <w:p w14:paraId="6150A19C">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r>
      <w:tr w14:paraId="723945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restart"/>
            <w:vAlign w:val="center"/>
          </w:tcPr>
          <w:p w14:paraId="622736C5">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废水</w:t>
            </w:r>
          </w:p>
        </w:tc>
        <w:tc>
          <w:tcPr>
            <w:tcW w:w="1830" w:type="dxa"/>
            <w:vAlign w:val="center"/>
          </w:tcPr>
          <w:p w14:paraId="36720379">
            <w:pPr>
              <w:pStyle w:val="189"/>
              <w:spacing w:line="240" w:lineRule="auto"/>
              <w:rPr>
                <w:rFonts w:ascii="Times New Roman" w:hAnsi="Times New Roman" w:eastAsia="宋体" w:cs="Times New Roman"/>
                <w:snapToGrid w:val="0"/>
                <w:color w:val="auto"/>
                <w:kern w:val="21"/>
                <w:highlight w:val="none"/>
              </w:rPr>
            </w:pPr>
            <w:r>
              <w:rPr>
                <w:rFonts w:ascii="Times New Roman" w:hAnsi="Times New Roman" w:eastAsia="宋体" w:cs="Times New Roman"/>
                <w:color w:val="auto"/>
                <w:highlight w:val="none"/>
              </w:rPr>
              <w:t>废水量（t/a）</w:t>
            </w:r>
          </w:p>
        </w:tc>
        <w:tc>
          <w:tcPr>
            <w:tcW w:w="1701" w:type="dxa"/>
            <w:vAlign w:val="center"/>
          </w:tcPr>
          <w:p w14:paraId="2BBCE52B">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6" w:type="dxa"/>
            <w:vAlign w:val="center"/>
          </w:tcPr>
          <w:p w14:paraId="02D1AFA0">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701" w:type="dxa"/>
            <w:vAlign w:val="center"/>
          </w:tcPr>
          <w:p w14:paraId="55B3C73C">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559" w:type="dxa"/>
            <w:vAlign w:val="center"/>
          </w:tcPr>
          <w:p w14:paraId="7D0875D5">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297.32</w:t>
            </w:r>
          </w:p>
        </w:tc>
        <w:tc>
          <w:tcPr>
            <w:tcW w:w="1761" w:type="dxa"/>
            <w:vAlign w:val="center"/>
          </w:tcPr>
          <w:p w14:paraId="55648D95">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655" w:type="dxa"/>
            <w:vAlign w:val="center"/>
          </w:tcPr>
          <w:p w14:paraId="08F6DBEE">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297.32</w:t>
            </w:r>
          </w:p>
        </w:tc>
        <w:tc>
          <w:tcPr>
            <w:tcW w:w="1130" w:type="dxa"/>
            <w:vAlign w:val="center"/>
          </w:tcPr>
          <w:p w14:paraId="16A0F547">
            <w:pPr>
              <w:keepNext w:val="0"/>
              <w:keepLines w:val="0"/>
              <w:widowControl/>
              <w:suppressLineNumbers w:val="0"/>
              <w:jc w:val="center"/>
              <w:textAlignment w:val="center"/>
              <w:rPr>
                <w:rFonts w:hint="default" w:ascii="Times New Roman" w:hAnsi="Times New Roman" w:eastAsia="宋体" w:cs="Times New Roman"/>
                <w:iCs/>
                <w:color w:val="auto"/>
                <w:kern w:val="2"/>
                <w:sz w:val="21"/>
                <w:szCs w:val="21"/>
                <w:highlight w:val="none"/>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297.32</w:t>
            </w:r>
          </w:p>
        </w:tc>
      </w:tr>
      <w:tr w14:paraId="21FEA1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14:paraId="47545528">
            <w:pPr>
              <w:pStyle w:val="153"/>
              <w:rPr>
                <w:rFonts w:ascii="Times New Roman" w:hAnsi="Times New Roman" w:cs="Times New Roman"/>
                <w:color w:val="auto"/>
                <w:kern w:val="21"/>
                <w:szCs w:val="21"/>
                <w:highlight w:val="none"/>
              </w:rPr>
            </w:pPr>
          </w:p>
        </w:tc>
        <w:tc>
          <w:tcPr>
            <w:tcW w:w="1830" w:type="dxa"/>
            <w:vAlign w:val="center"/>
          </w:tcPr>
          <w:p w14:paraId="59E445BD">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COD</w:t>
            </w:r>
            <w:r>
              <w:rPr>
                <w:rFonts w:hint="eastAsia" w:ascii="Times New Roman" w:hAnsi="Times New Roman" w:eastAsia="宋体" w:cs="Times New Roman"/>
                <w:color w:val="auto"/>
                <w:highlight w:val="none"/>
                <w:vertAlign w:val="subscript"/>
                <w:lang w:val="en-US" w:eastAsia="zh-CN"/>
              </w:rPr>
              <w:t>Cr</w:t>
            </w:r>
            <w:r>
              <w:rPr>
                <w:rFonts w:ascii="Times New Roman" w:hAnsi="Times New Roman" w:eastAsia="宋体" w:cs="Times New Roman"/>
                <w:color w:val="auto"/>
                <w:highlight w:val="none"/>
              </w:rPr>
              <w:t>（t/a）</w:t>
            </w:r>
          </w:p>
        </w:tc>
        <w:tc>
          <w:tcPr>
            <w:tcW w:w="1701" w:type="dxa"/>
            <w:vAlign w:val="center"/>
          </w:tcPr>
          <w:p w14:paraId="5CF88A5C">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6" w:type="dxa"/>
            <w:vAlign w:val="center"/>
          </w:tcPr>
          <w:p w14:paraId="622DF5E8">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701" w:type="dxa"/>
            <w:vAlign w:val="center"/>
          </w:tcPr>
          <w:p w14:paraId="62949C15">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559" w:type="dxa"/>
            <w:vAlign w:val="center"/>
          </w:tcPr>
          <w:p w14:paraId="7D9415F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0.07351 </w:t>
            </w:r>
          </w:p>
        </w:tc>
        <w:tc>
          <w:tcPr>
            <w:tcW w:w="1761" w:type="dxa"/>
            <w:vAlign w:val="center"/>
          </w:tcPr>
          <w:p w14:paraId="7FD621A4">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655" w:type="dxa"/>
            <w:vAlign w:val="center"/>
          </w:tcPr>
          <w:p w14:paraId="072B2C6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0.07351 </w:t>
            </w:r>
          </w:p>
        </w:tc>
        <w:tc>
          <w:tcPr>
            <w:tcW w:w="1130" w:type="dxa"/>
            <w:vAlign w:val="center"/>
          </w:tcPr>
          <w:p w14:paraId="3E3C479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0.07351 </w:t>
            </w:r>
          </w:p>
        </w:tc>
      </w:tr>
      <w:tr w14:paraId="1A845A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14:paraId="5D387D74">
            <w:pPr>
              <w:pStyle w:val="153"/>
              <w:rPr>
                <w:rFonts w:ascii="Times New Roman" w:hAnsi="Times New Roman" w:cs="Times New Roman"/>
                <w:color w:val="auto"/>
                <w:kern w:val="21"/>
                <w:szCs w:val="21"/>
                <w:highlight w:val="none"/>
              </w:rPr>
            </w:pPr>
          </w:p>
        </w:tc>
        <w:tc>
          <w:tcPr>
            <w:tcW w:w="1830" w:type="dxa"/>
            <w:vAlign w:val="center"/>
          </w:tcPr>
          <w:p w14:paraId="2DBCD2AC">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BOD</w:t>
            </w:r>
            <w:r>
              <w:rPr>
                <w:rFonts w:ascii="Times New Roman" w:hAnsi="Times New Roman" w:eastAsia="宋体" w:cs="Times New Roman"/>
                <w:color w:val="auto"/>
                <w:highlight w:val="none"/>
                <w:vertAlign w:val="subscript"/>
              </w:rPr>
              <w:t>5</w:t>
            </w:r>
            <w:r>
              <w:rPr>
                <w:rFonts w:ascii="Times New Roman" w:hAnsi="Times New Roman" w:eastAsia="宋体" w:cs="Times New Roman"/>
                <w:color w:val="auto"/>
                <w:highlight w:val="none"/>
              </w:rPr>
              <w:t>（t/a）</w:t>
            </w:r>
          </w:p>
        </w:tc>
        <w:tc>
          <w:tcPr>
            <w:tcW w:w="1701" w:type="dxa"/>
            <w:vAlign w:val="center"/>
          </w:tcPr>
          <w:p w14:paraId="7802B072">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6" w:type="dxa"/>
            <w:vAlign w:val="center"/>
          </w:tcPr>
          <w:p w14:paraId="67A7C29F">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701" w:type="dxa"/>
            <w:vAlign w:val="center"/>
          </w:tcPr>
          <w:p w14:paraId="0653493C">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559" w:type="dxa"/>
            <w:vAlign w:val="center"/>
          </w:tcPr>
          <w:p w14:paraId="4028A78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0.03246 </w:t>
            </w:r>
          </w:p>
        </w:tc>
        <w:tc>
          <w:tcPr>
            <w:tcW w:w="1761" w:type="dxa"/>
            <w:vAlign w:val="center"/>
          </w:tcPr>
          <w:p w14:paraId="4D86BC49">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655" w:type="dxa"/>
            <w:vAlign w:val="center"/>
          </w:tcPr>
          <w:p w14:paraId="741C921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0.03246 </w:t>
            </w:r>
          </w:p>
        </w:tc>
        <w:tc>
          <w:tcPr>
            <w:tcW w:w="1130" w:type="dxa"/>
            <w:vAlign w:val="center"/>
          </w:tcPr>
          <w:p w14:paraId="6D4161C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0.03246 </w:t>
            </w:r>
          </w:p>
        </w:tc>
      </w:tr>
      <w:tr w14:paraId="726A9B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14:paraId="49F5D9EE">
            <w:pPr>
              <w:pStyle w:val="153"/>
              <w:rPr>
                <w:rFonts w:ascii="Times New Roman" w:hAnsi="Times New Roman" w:cs="Times New Roman"/>
                <w:color w:val="auto"/>
                <w:kern w:val="21"/>
                <w:szCs w:val="21"/>
                <w:highlight w:val="none"/>
              </w:rPr>
            </w:pPr>
          </w:p>
        </w:tc>
        <w:tc>
          <w:tcPr>
            <w:tcW w:w="1830" w:type="dxa"/>
            <w:vAlign w:val="center"/>
          </w:tcPr>
          <w:p w14:paraId="5BCCC077">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SS（t/a）</w:t>
            </w:r>
          </w:p>
        </w:tc>
        <w:tc>
          <w:tcPr>
            <w:tcW w:w="1701" w:type="dxa"/>
            <w:vAlign w:val="center"/>
          </w:tcPr>
          <w:p w14:paraId="57B60044">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6" w:type="dxa"/>
            <w:vAlign w:val="center"/>
          </w:tcPr>
          <w:p w14:paraId="2679A50E">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701" w:type="dxa"/>
            <w:vAlign w:val="center"/>
          </w:tcPr>
          <w:p w14:paraId="1D7A98D3">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559" w:type="dxa"/>
            <w:vAlign w:val="center"/>
          </w:tcPr>
          <w:p w14:paraId="4AE96F45">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0.02459 </w:t>
            </w:r>
          </w:p>
        </w:tc>
        <w:tc>
          <w:tcPr>
            <w:tcW w:w="1761" w:type="dxa"/>
            <w:vAlign w:val="center"/>
          </w:tcPr>
          <w:p w14:paraId="1B278C8D">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655" w:type="dxa"/>
            <w:vAlign w:val="center"/>
          </w:tcPr>
          <w:p w14:paraId="371DE30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0.02459 </w:t>
            </w:r>
          </w:p>
        </w:tc>
        <w:tc>
          <w:tcPr>
            <w:tcW w:w="1130" w:type="dxa"/>
            <w:vAlign w:val="center"/>
          </w:tcPr>
          <w:p w14:paraId="625C102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0.02459 </w:t>
            </w:r>
          </w:p>
        </w:tc>
      </w:tr>
      <w:tr w14:paraId="7006BC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14:paraId="272DDABE">
            <w:pPr>
              <w:pStyle w:val="153"/>
              <w:rPr>
                <w:rFonts w:ascii="Times New Roman" w:hAnsi="Times New Roman" w:cs="Times New Roman"/>
                <w:color w:val="auto"/>
                <w:kern w:val="21"/>
                <w:szCs w:val="21"/>
                <w:highlight w:val="none"/>
              </w:rPr>
            </w:pPr>
          </w:p>
        </w:tc>
        <w:tc>
          <w:tcPr>
            <w:tcW w:w="1830" w:type="dxa"/>
            <w:vAlign w:val="center"/>
          </w:tcPr>
          <w:p w14:paraId="3A48A800">
            <w:pPr>
              <w:pStyle w:val="189"/>
              <w:spacing w:line="240" w:lineRule="auto"/>
              <w:rPr>
                <w:rFonts w:ascii="Times New Roman" w:hAnsi="Times New Roman" w:eastAsia="宋体" w:cs="Times New Roman"/>
                <w:color w:val="auto"/>
                <w:highlight w:val="none"/>
              </w:rPr>
            </w:pPr>
            <w:r>
              <w:rPr>
                <w:rFonts w:ascii="Times New Roman" w:hAnsi="Times New Roman" w:eastAsia="宋体" w:cs="Times New Roman"/>
                <w:color w:val="auto"/>
                <w:highlight w:val="none"/>
              </w:rPr>
              <w:t>氨氮（t/a）</w:t>
            </w:r>
          </w:p>
        </w:tc>
        <w:tc>
          <w:tcPr>
            <w:tcW w:w="1701" w:type="dxa"/>
            <w:vAlign w:val="center"/>
          </w:tcPr>
          <w:p w14:paraId="03C59F18">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6" w:type="dxa"/>
            <w:vAlign w:val="center"/>
          </w:tcPr>
          <w:p w14:paraId="4B1551D5">
            <w:pPr>
              <w:keepNext w:val="0"/>
              <w:keepLines w:val="0"/>
              <w:widowControl/>
              <w:suppressLineNumbers w:val="0"/>
              <w:jc w:val="center"/>
              <w:textAlignment w:val="center"/>
              <w:rPr>
                <w:rFonts w:ascii="Times New Roman" w:hAnsi="Times New Roman" w:eastAsia="宋体" w:cs="Times New Roman"/>
                <w:snapToGrid w:val="0"/>
                <w:color w:val="auto"/>
                <w:kern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701" w:type="dxa"/>
            <w:vAlign w:val="center"/>
          </w:tcPr>
          <w:p w14:paraId="1937B3BA">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559" w:type="dxa"/>
            <w:vAlign w:val="center"/>
          </w:tcPr>
          <w:p w14:paraId="023589A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1"/>
                <w:szCs w:val="21"/>
                <w:highlight w:val="none"/>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0.00920 </w:t>
            </w:r>
          </w:p>
        </w:tc>
        <w:tc>
          <w:tcPr>
            <w:tcW w:w="1761" w:type="dxa"/>
            <w:vAlign w:val="center"/>
          </w:tcPr>
          <w:p w14:paraId="581CC0D0">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655" w:type="dxa"/>
            <w:vAlign w:val="center"/>
          </w:tcPr>
          <w:p w14:paraId="135BFE7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0.00920 </w:t>
            </w:r>
          </w:p>
        </w:tc>
        <w:tc>
          <w:tcPr>
            <w:tcW w:w="1130" w:type="dxa"/>
            <w:vAlign w:val="center"/>
          </w:tcPr>
          <w:p w14:paraId="5A51D4D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0.00920 </w:t>
            </w:r>
          </w:p>
        </w:tc>
      </w:tr>
      <w:tr w14:paraId="45B3B9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restart"/>
            <w:vAlign w:val="center"/>
          </w:tcPr>
          <w:p w14:paraId="2523833F">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危险废物</w:t>
            </w:r>
          </w:p>
        </w:tc>
        <w:tc>
          <w:tcPr>
            <w:tcW w:w="1830" w:type="dxa"/>
            <w:vAlign w:val="center"/>
          </w:tcPr>
          <w:p w14:paraId="174E7090">
            <w:pPr>
              <w:jc w:val="center"/>
              <w:rPr>
                <w:color w:val="auto"/>
                <w:sz w:val="21"/>
                <w:szCs w:val="21"/>
                <w:highlight w:val="none"/>
              </w:rPr>
            </w:pPr>
            <w:r>
              <w:rPr>
                <w:color w:val="auto"/>
                <w:sz w:val="21"/>
                <w:szCs w:val="21"/>
                <w:highlight w:val="none"/>
              </w:rPr>
              <w:t>医疗废物</w:t>
            </w:r>
          </w:p>
        </w:tc>
        <w:tc>
          <w:tcPr>
            <w:tcW w:w="1701" w:type="dxa"/>
            <w:vAlign w:val="center"/>
          </w:tcPr>
          <w:p w14:paraId="4EF1B978">
            <w:pPr>
              <w:keepNext w:val="0"/>
              <w:keepLines w:val="0"/>
              <w:widowControl/>
              <w:suppressLineNumbers w:val="0"/>
              <w:jc w:val="center"/>
              <w:textAlignment w:val="center"/>
              <w:rPr>
                <w:snapToGrid w:val="0"/>
                <w:color w:val="auto"/>
                <w:kern w:val="21"/>
                <w:sz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6" w:type="dxa"/>
            <w:vAlign w:val="center"/>
          </w:tcPr>
          <w:p w14:paraId="2AD904E0">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701" w:type="dxa"/>
            <w:vAlign w:val="center"/>
          </w:tcPr>
          <w:p w14:paraId="27061276">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559" w:type="dxa"/>
            <w:vAlign w:val="center"/>
          </w:tcPr>
          <w:p w14:paraId="0C173C98">
            <w:pPr>
              <w:keepNext w:val="0"/>
              <w:keepLines w:val="0"/>
              <w:widowControl/>
              <w:suppressLineNumbers w:val="0"/>
              <w:jc w:val="center"/>
              <w:textAlignment w:val="center"/>
              <w:rPr>
                <w:rFonts w:hint="default" w:ascii="Times New Roman" w:hAnsi="Times New Roman" w:cs="Times New Roman"/>
                <w:iCs/>
                <w:color w:val="auto"/>
                <w:szCs w:val="21"/>
                <w:highlight w:val="none"/>
                <w:lang w:val="en-US"/>
              </w:rPr>
            </w:pPr>
            <w:r>
              <w:rPr>
                <w:rFonts w:hint="default" w:ascii="Times New Roman" w:hAnsi="Times New Roman" w:eastAsia="宋体" w:cs="Times New Roman"/>
                <w:i w:val="0"/>
                <w:iCs w:val="0"/>
                <w:color w:val="000000"/>
                <w:kern w:val="0"/>
                <w:sz w:val="21"/>
                <w:szCs w:val="21"/>
                <w:u w:val="none"/>
                <w:lang w:val="en-US" w:eastAsia="zh-CN" w:bidi="ar"/>
              </w:rPr>
              <w:t>0.72</w:t>
            </w:r>
          </w:p>
        </w:tc>
        <w:tc>
          <w:tcPr>
            <w:tcW w:w="1761" w:type="dxa"/>
            <w:vAlign w:val="center"/>
          </w:tcPr>
          <w:p w14:paraId="2C3F5868">
            <w:pPr>
              <w:keepNext w:val="0"/>
              <w:keepLines w:val="0"/>
              <w:widowControl/>
              <w:suppressLineNumbers w:val="0"/>
              <w:jc w:val="center"/>
              <w:textAlignment w:val="center"/>
              <w:rPr>
                <w:snapToGrid w:val="0"/>
                <w:color w:val="auto"/>
                <w:kern w:val="21"/>
                <w:sz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655" w:type="dxa"/>
            <w:vAlign w:val="center"/>
          </w:tcPr>
          <w:p w14:paraId="2A5AA987">
            <w:pPr>
              <w:keepNext w:val="0"/>
              <w:keepLines w:val="0"/>
              <w:widowControl/>
              <w:suppressLineNumbers w:val="0"/>
              <w:jc w:val="center"/>
              <w:textAlignment w:val="center"/>
              <w:rPr>
                <w:rFonts w:hint="default" w:ascii="Times New Roman" w:hAnsi="Times New Roman" w:eastAsia="宋体" w:cs="Times New Roman"/>
                <w:iCs/>
                <w:snapToGrid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0.72</w:t>
            </w:r>
          </w:p>
        </w:tc>
        <w:tc>
          <w:tcPr>
            <w:tcW w:w="1130" w:type="dxa"/>
            <w:vAlign w:val="center"/>
          </w:tcPr>
          <w:p w14:paraId="2AB72B5F">
            <w:pPr>
              <w:keepNext w:val="0"/>
              <w:keepLines w:val="0"/>
              <w:widowControl/>
              <w:suppressLineNumbers w:val="0"/>
              <w:jc w:val="center"/>
              <w:textAlignment w:val="center"/>
              <w:rPr>
                <w:rFonts w:hint="default" w:ascii="Times New Roman" w:hAnsi="Times New Roman" w:cs="Times New Roman"/>
                <w:iCs/>
                <w:color w:val="auto"/>
                <w:szCs w:val="21"/>
                <w:highlight w:val="none"/>
                <w:lang w:val="en-US"/>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0.72</w:t>
            </w:r>
          </w:p>
        </w:tc>
      </w:tr>
      <w:tr w14:paraId="598D9E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14:paraId="3D286A1E">
            <w:pPr>
              <w:pStyle w:val="153"/>
              <w:rPr>
                <w:rFonts w:ascii="Times New Roman" w:hAnsi="Times New Roman" w:cs="Times New Roman"/>
                <w:color w:val="auto"/>
                <w:kern w:val="21"/>
                <w:szCs w:val="21"/>
                <w:highlight w:val="none"/>
              </w:rPr>
            </w:pPr>
          </w:p>
        </w:tc>
        <w:tc>
          <w:tcPr>
            <w:tcW w:w="1830" w:type="dxa"/>
            <w:vAlign w:val="center"/>
          </w:tcPr>
          <w:p w14:paraId="757FCE1B">
            <w:pPr>
              <w:jc w:val="center"/>
              <w:rPr>
                <w:color w:val="auto"/>
                <w:sz w:val="21"/>
                <w:szCs w:val="21"/>
                <w:highlight w:val="none"/>
              </w:rPr>
            </w:pPr>
            <w:r>
              <w:rPr>
                <w:color w:val="auto"/>
                <w:sz w:val="21"/>
                <w:szCs w:val="21"/>
                <w:highlight w:val="none"/>
              </w:rPr>
              <w:t>污泥</w:t>
            </w:r>
          </w:p>
        </w:tc>
        <w:tc>
          <w:tcPr>
            <w:tcW w:w="1701" w:type="dxa"/>
            <w:vAlign w:val="center"/>
          </w:tcPr>
          <w:p w14:paraId="7C05253B">
            <w:pPr>
              <w:keepNext w:val="0"/>
              <w:keepLines w:val="0"/>
              <w:widowControl/>
              <w:suppressLineNumbers w:val="0"/>
              <w:jc w:val="center"/>
              <w:textAlignment w:val="center"/>
              <w:rPr>
                <w:snapToGrid w:val="0"/>
                <w:color w:val="auto"/>
                <w:kern w:val="21"/>
                <w:sz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6" w:type="dxa"/>
            <w:vAlign w:val="center"/>
          </w:tcPr>
          <w:p w14:paraId="282DC619">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701" w:type="dxa"/>
            <w:vAlign w:val="center"/>
          </w:tcPr>
          <w:p w14:paraId="78E14871">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559" w:type="dxa"/>
            <w:vAlign w:val="center"/>
          </w:tcPr>
          <w:p w14:paraId="2EA2CFBD">
            <w:pPr>
              <w:keepNext w:val="0"/>
              <w:keepLines w:val="0"/>
              <w:widowControl/>
              <w:suppressLineNumbers w:val="0"/>
              <w:jc w:val="center"/>
              <w:textAlignment w:val="center"/>
              <w:rPr>
                <w:rFonts w:hint="default" w:ascii="Times New Roman" w:hAnsi="Times New Roman" w:cs="Times New Roman"/>
                <w:iCs/>
                <w:color w:val="auto"/>
                <w:szCs w:val="21"/>
                <w:highlight w:val="none"/>
                <w:lang w:val="en-US"/>
              </w:rPr>
            </w:pPr>
            <w:r>
              <w:rPr>
                <w:rFonts w:hint="default" w:ascii="Times New Roman" w:hAnsi="Times New Roman" w:eastAsia="宋体" w:cs="Times New Roman"/>
                <w:i w:val="0"/>
                <w:iCs w:val="0"/>
                <w:color w:val="000000"/>
                <w:kern w:val="0"/>
                <w:sz w:val="21"/>
                <w:szCs w:val="21"/>
                <w:u w:val="none"/>
                <w:lang w:val="en-US" w:eastAsia="zh-CN" w:bidi="ar"/>
              </w:rPr>
              <w:t xml:space="preserve">0.02164 </w:t>
            </w:r>
          </w:p>
        </w:tc>
        <w:tc>
          <w:tcPr>
            <w:tcW w:w="1761" w:type="dxa"/>
            <w:vAlign w:val="center"/>
          </w:tcPr>
          <w:p w14:paraId="4E7165B6">
            <w:pPr>
              <w:keepNext w:val="0"/>
              <w:keepLines w:val="0"/>
              <w:widowControl/>
              <w:suppressLineNumbers w:val="0"/>
              <w:jc w:val="center"/>
              <w:textAlignment w:val="center"/>
              <w:rPr>
                <w:snapToGrid w:val="0"/>
                <w:color w:val="auto"/>
                <w:kern w:val="21"/>
                <w:sz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655" w:type="dxa"/>
            <w:vAlign w:val="center"/>
          </w:tcPr>
          <w:p w14:paraId="3F6679A6">
            <w:pPr>
              <w:keepNext w:val="0"/>
              <w:keepLines w:val="0"/>
              <w:widowControl/>
              <w:suppressLineNumbers w:val="0"/>
              <w:jc w:val="center"/>
              <w:textAlignment w:val="center"/>
              <w:rPr>
                <w:rFonts w:hint="default" w:ascii="Times New Roman" w:hAnsi="Times New Roman" w:eastAsia="宋体" w:cs="Times New Roman"/>
                <w:iCs/>
                <w:snapToGrid w:val="0"/>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0.02164 </w:t>
            </w:r>
          </w:p>
        </w:tc>
        <w:tc>
          <w:tcPr>
            <w:tcW w:w="1130" w:type="dxa"/>
            <w:vAlign w:val="center"/>
          </w:tcPr>
          <w:p w14:paraId="6D81C7DF">
            <w:pPr>
              <w:keepNext w:val="0"/>
              <w:keepLines w:val="0"/>
              <w:widowControl/>
              <w:suppressLineNumbers w:val="0"/>
              <w:jc w:val="center"/>
              <w:textAlignment w:val="center"/>
              <w:rPr>
                <w:rFonts w:hint="default" w:ascii="Times New Roman" w:hAnsi="Times New Roman" w:cs="Times New Roman"/>
                <w:iCs/>
                <w:color w:val="auto"/>
                <w:szCs w:val="21"/>
                <w:highlight w:val="none"/>
                <w:lang w:val="en-US"/>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0.02164 </w:t>
            </w:r>
          </w:p>
        </w:tc>
      </w:tr>
      <w:tr w14:paraId="2D5847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Merge w:val="continue"/>
            <w:vAlign w:val="center"/>
          </w:tcPr>
          <w:p w14:paraId="6F8E21CA">
            <w:pPr>
              <w:pStyle w:val="153"/>
              <w:rPr>
                <w:rFonts w:ascii="Times New Roman" w:hAnsi="Times New Roman" w:cs="Times New Roman"/>
                <w:color w:val="auto"/>
                <w:kern w:val="21"/>
                <w:szCs w:val="21"/>
                <w:highlight w:val="none"/>
              </w:rPr>
            </w:pPr>
          </w:p>
        </w:tc>
        <w:tc>
          <w:tcPr>
            <w:tcW w:w="1830" w:type="dxa"/>
            <w:vAlign w:val="center"/>
          </w:tcPr>
          <w:p w14:paraId="15A6D721">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检验设备头道清洗废水</w:t>
            </w:r>
          </w:p>
        </w:tc>
        <w:tc>
          <w:tcPr>
            <w:tcW w:w="1701" w:type="dxa"/>
            <w:vAlign w:val="center"/>
          </w:tcPr>
          <w:p w14:paraId="45F68B35">
            <w:pPr>
              <w:keepNext w:val="0"/>
              <w:keepLines w:val="0"/>
              <w:widowControl/>
              <w:suppressLineNumbers w:val="0"/>
              <w:jc w:val="center"/>
              <w:textAlignment w:val="center"/>
              <w:rPr>
                <w:rFonts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6" w:type="dxa"/>
            <w:vAlign w:val="center"/>
          </w:tcPr>
          <w:p w14:paraId="5E7CA932">
            <w:pPr>
              <w:keepNext w:val="0"/>
              <w:keepLines w:val="0"/>
              <w:widowControl/>
              <w:suppressLineNumbers w:val="0"/>
              <w:jc w:val="center"/>
              <w:textAlignment w:val="center"/>
              <w:rPr>
                <w:rFonts w:ascii="Times New Roman" w:hAnsi="Times New Roman" w:eastAsia="宋体" w:cs="Times New Roman"/>
                <w:snapToGrid w:val="0"/>
                <w:color w:val="auto"/>
                <w:kern w:val="21"/>
                <w:sz w:val="21"/>
                <w:szCs w:val="21"/>
                <w:highlight w:val="none"/>
                <w:lang w:val="en-US" w:eastAsia="zh-CN" w:bidi="ar-SA"/>
              </w:rPr>
            </w:pPr>
            <w:r>
              <w:rPr>
                <w:rFonts w:hint="eastAsia" w:ascii="等线" w:hAnsi="等线" w:eastAsia="等线" w:cs="等线"/>
                <w:i w:val="0"/>
                <w:iCs w:val="0"/>
                <w:color w:val="000000"/>
                <w:kern w:val="0"/>
                <w:sz w:val="21"/>
                <w:szCs w:val="21"/>
                <w:u w:val="none"/>
                <w:lang w:val="en-US" w:eastAsia="zh-CN" w:bidi="ar"/>
              </w:rPr>
              <w:t>/</w:t>
            </w:r>
          </w:p>
        </w:tc>
        <w:tc>
          <w:tcPr>
            <w:tcW w:w="1701" w:type="dxa"/>
            <w:vAlign w:val="center"/>
          </w:tcPr>
          <w:p w14:paraId="102A0470">
            <w:pPr>
              <w:keepNext w:val="0"/>
              <w:keepLines w:val="0"/>
              <w:widowControl/>
              <w:suppressLineNumbers w:val="0"/>
              <w:jc w:val="center"/>
              <w:textAlignment w:val="center"/>
              <w:rPr>
                <w:rFonts w:ascii="Times New Roman" w:hAnsi="Times New Roman" w:eastAsia="宋体" w:cs="Times New Roman"/>
                <w:snapToGrid w:val="0"/>
                <w:color w:val="auto"/>
                <w:kern w:val="21"/>
                <w:sz w:val="21"/>
                <w:szCs w:val="21"/>
                <w:highlight w:val="none"/>
                <w:lang w:val="en-US" w:eastAsia="zh-CN" w:bidi="ar-SA"/>
              </w:rPr>
            </w:pPr>
            <w:r>
              <w:rPr>
                <w:rFonts w:hint="eastAsia" w:ascii="等线" w:hAnsi="等线" w:eastAsia="等线" w:cs="等线"/>
                <w:i w:val="0"/>
                <w:iCs w:val="0"/>
                <w:color w:val="000000"/>
                <w:kern w:val="0"/>
                <w:sz w:val="21"/>
                <w:szCs w:val="21"/>
                <w:u w:val="none"/>
                <w:lang w:val="en-US" w:eastAsia="zh-CN" w:bidi="ar"/>
              </w:rPr>
              <w:t>/</w:t>
            </w:r>
          </w:p>
        </w:tc>
        <w:tc>
          <w:tcPr>
            <w:tcW w:w="1559" w:type="dxa"/>
            <w:vAlign w:val="center"/>
          </w:tcPr>
          <w:p w14:paraId="6AB08B09">
            <w:pPr>
              <w:keepNext w:val="0"/>
              <w:keepLines w:val="0"/>
              <w:widowControl/>
              <w:suppressLineNumbers w:val="0"/>
              <w:jc w:val="center"/>
              <w:textAlignment w:val="center"/>
              <w:rPr>
                <w:rFonts w:hint="eastAsia" w:ascii="Times New Roman" w:hAnsi="Times New Roman" w:eastAsia="宋体" w:cs="Times New Roman"/>
                <w:snapToGrid w:val="0"/>
                <w:color w:val="auto"/>
                <w:kern w:val="2"/>
                <w:sz w:val="21"/>
                <w:szCs w:val="24"/>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0.02</w:t>
            </w:r>
          </w:p>
        </w:tc>
        <w:tc>
          <w:tcPr>
            <w:tcW w:w="1761" w:type="dxa"/>
            <w:vAlign w:val="center"/>
          </w:tcPr>
          <w:p w14:paraId="393BCAFB">
            <w:pPr>
              <w:keepNext w:val="0"/>
              <w:keepLines w:val="0"/>
              <w:widowControl/>
              <w:suppressLineNumbers w:val="0"/>
              <w:jc w:val="center"/>
              <w:textAlignment w:val="center"/>
              <w:rPr>
                <w:rFonts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655" w:type="dxa"/>
            <w:vAlign w:val="center"/>
          </w:tcPr>
          <w:p w14:paraId="0E6C6AE0">
            <w:pPr>
              <w:keepNext w:val="0"/>
              <w:keepLines w:val="0"/>
              <w:widowControl/>
              <w:suppressLineNumbers w:val="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w:t>
            </w:r>
          </w:p>
        </w:tc>
        <w:tc>
          <w:tcPr>
            <w:tcW w:w="1130" w:type="dxa"/>
            <w:vAlign w:val="center"/>
          </w:tcPr>
          <w:p w14:paraId="019D42DA">
            <w:pPr>
              <w:keepNext w:val="0"/>
              <w:keepLines w:val="0"/>
              <w:widowControl/>
              <w:suppressLineNumbers w:val="0"/>
              <w:jc w:val="center"/>
              <w:textAlignment w:val="center"/>
              <w:rPr>
                <w:rFonts w:hint="default" w:ascii="Times New Roman" w:hAnsi="Times New Roman" w:eastAsia="宋体" w:cs="Times New Roman"/>
                <w:iCs/>
                <w:color w:val="auto"/>
                <w:szCs w:val="21"/>
                <w:highlight w:val="none"/>
                <w:lang w:val="en-US" w:eastAsia="zh-CN"/>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0.02</w:t>
            </w:r>
          </w:p>
        </w:tc>
      </w:tr>
      <w:tr w14:paraId="50C460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5" w:type="dxa"/>
            <w:vAlign w:val="center"/>
          </w:tcPr>
          <w:p w14:paraId="59972D18">
            <w:pPr>
              <w:pStyle w:val="153"/>
              <w:rPr>
                <w:rFonts w:ascii="Times New Roman" w:hAnsi="Times New Roman" w:cs="Times New Roman"/>
                <w:color w:val="auto"/>
                <w:kern w:val="21"/>
                <w:szCs w:val="21"/>
                <w:highlight w:val="none"/>
              </w:rPr>
            </w:pPr>
            <w:r>
              <w:rPr>
                <w:rFonts w:ascii="Times New Roman" w:hAnsi="Times New Roman" w:cs="Times New Roman"/>
                <w:color w:val="auto"/>
                <w:kern w:val="21"/>
                <w:szCs w:val="21"/>
                <w:highlight w:val="none"/>
              </w:rPr>
              <w:t>一般固废</w:t>
            </w:r>
          </w:p>
        </w:tc>
        <w:tc>
          <w:tcPr>
            <w:tcW w:w="1830" w:type="dxa"/>
            <w:vAlign w:val="center"/>
          </w:tcPr>
          <w:p w14:paraId="3F2CF334">
            <w:pPr>
              <w:pStyle w:val="189"/>
              <w:adjustRightInd w:val="0"/>
              <w:snapToGrid w:val="0"/>
              <w:spacing w:line="240" w:lineRule="auto"/>
              <w:rPr>
                <w:rFonts w:ascii="Times New Roman" w:hAnsi="Times New Roman" w:eastAsia="宋体" w:cs="Times New Roman"/>
                <w:color w:val="auto"/>
                <w:highlight w:val="none"/>
              </w:rPr>
            </w:pPr>
            <w:r>
              <w:rPr>
                <w:rFonts w:ascii="Times New Roman" w:hAnsi="Times New Roman" w:eastAsia="宋体" w:cs="Times New Roman"/>
                <w:snapToGrid w:val="0"/>
                <w:color w:val="auto"/>
                <w:kern w:val="21"/>
                <w:highlight w:val="none"/>
              </w:rPr>
              <w:t>生活垃圾</w:t>
            </w:r>
          </w:p>
        </w:tc>
        <w:tc>
          <w:tcPr>
            <w:tcW w:w="1701" w:type="dxa"/>
            <w:vAlign w:val="center"/>
          </w:tcPr>
          <w:p w14:paraId="6EB6EF61">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276" w:type="dxa"/>
            <w:vAlign w:val="center"/>
          </w:tcPr>
          <w:p w14:paraId="3986C7AE">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701" w:type="dxa"/>
            <w:vAlign w:val="center"/>
          </w:tcPr>
          <w:p w14:paraId="5DDB3EA8">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559" w:type="dxa"/>
            <w:vAlign w:val="center"/>
          </w:tcPr>
          <w:p w14:paraId="5DEB85FD">
            <w:pPr>
              <w:keepNext w:val="0"/>
              <w:keepLines w:val="0"/>
              <w:widowControl/>
              <w:suppressLineNumbers w:val="0"/>
              <w:jc w:val="center"/>
              <w:textAlignment w:val="center"/>
              <w:rPr>
                <w:rFonts w:hint="default" w:ascii="Times New Roman" w:hAnsi="Times New Roman" w:eastAsia="宋体" w:cs="Times New Roman"/>
                <w:snapToGrid w:val="0"/>
                <w:color w:val="auto"/>
                <w:kern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w:t>
            </w:r>
          </w:p>
        </w:tc>
        <w:tc>
          <w:tcPr>
            <w:tcW w:w="1761" w:type="dxa"/>
            <w:vAlign w:val="center"/>
          </w:tcPr>
          <w:p w14:paraId="5A9EF4E4">
            <w:pPr>
              <w:keepNext w:val="0"/>
              <w:keepLines w:val="0"/>
              <w:widowControl/>
              <w:suppressLineNumbers w:val="0"/>
              <w:jc w:val="center"/>
              <w:textAlignment w:val="center"/>
              <w:rPr>
                <w:rFonts w:ascii="Times New Roman" w:hAnsi="Times New Roman" w:cs="Times New Roman"/>
                <w:color w:val="auto"/>
                <w:kern w:val="21"/>
                <w:szCs w:val="21"/>
                <w:highlight w:val="none"/>
              </w:rPr>
            </w:pPr>
            <w:r>
              <w:rPr>
                <w:rFonts w:hint="default" w:ascii="Times New Roman" w:hAnsi="Times New Roman" w:eastAsia="宋体" w:cs="Times New Roman"/>
                <w:i w:val="0"/>
                <w:iCs w:val="0"/>
                <w:color w:val="000000"/>
                <w:kern w:val="0"/>
                <w:sz w:val="21"/>
                <w:szCs w:val="21"/>
                <w:u w:val="none"/>
                <w:lang w:val="en-US" w:eastAsia="zh-CN" w:bidi="ar"/>
              </w:rPr>
              <w:t>/</w:t>
            </w:r>
          </w:p>
        </w:tc>
        <w:tc>
          <w:tcPr>
            <w:tcW w:w="1655" w:type="dxa"/>
            <w:vAlign w:val="center"/>
          </w:tcPr>
          <w:p w14:paraId="3456ADD8">
            <w:pPr>
              <w:keepNext w:val="0"/>
              <w:keepLines w:val="0"/>
              <w:widowControl/>
              <w:suppressLineNumbers w:val="0"/>
              <w:jc w:val="center"/>
              <w:textAlignment w:val="center"/>
              <w:rPr>
                <w:rFonts w:hint="default" w:ascii="Times New Roman" w:hAnsi="Times New Roman" w:eastAsia="宋体" w:cs="Times New Roman"/>
                <w:snapToGrid w:val="0"/>
                <w:color w:val="auto"/>
                <w:kern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0.9</w:t>
            </w:r>
          </w:p>
        </w:tc>
        <w:tc>
          <w:tcPr>
            <w:tcW w:w="1130" w:type="dxa"/>
            <w:vAlign w:val="center"/>
          </w:tcPr>
          <w:p w14:paraId="223535F3">
            <w:pPr>
              <w:keepNext w:val="0"/>
              <w:keepLines w:val="0"/>
              <w:widowControl/>
              <w:suppressLineNumbers w:val="0"/>
              <w:jc w:val="center"/>
              <w:textAlignment w:val="center"/>
              <w:rPr>
                <w:rFonts w:hint="default" w:ascii="Times New Roman" w:hAnsi="Times New Roman" w:eastAsia="宋体" w:cs="Times New Roman"/>
                <w:snapToGrid w:val="0"/>
                <w:color w:val="auto"/>
                <w:kern w:val="21"/>
                <w:highlight w:val="none"/>
                <w:lang w:val="en-US"/>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0.9</w:t>
            </w:r>
          </w:p>
        </w:tc>
      </w:tr>
    </w:tbl>
    <w:p w14:paraId="04F2B942">
      <w:pPr>
        <w:rPr>
          <w:snapToGrid w:val="0"/>
          <w:color w:val="auto"/>
          <w:spacing w:val="-6"/>
          <w:kern w:val="21"/>
          <w:sz w:val="21"/>
          <w:szCs w:val="21"/>
          <w:highlight w:val="none"/>
        </w:rPr>
      </w:pPr>
      <w:r>
        <w:rPr>
          <w:snapToGrid w:val="0"/>
          <w:color w:val="auto"/>
          <w:kern w:val="21"/>
          <w:sz w:val="21"/>
          <w:szCs w:val="21"/>
          <w:highlight w:val="none"/>
        </w:rPr>
        <w:t>注：</w:t>
      </w:r>
      <w:r>
        <w:rPr>
          <w:rFonts w:hint="eastAsia" w:ascii="宋体" w:hAnsi="宋体" w:cs="宋体"/>
          <w:color w:val="auto"/>
          <w:sz w:val="21"/>
          <w:szCs w:val="21"/>
          <w:highlight w:val="none"/>
        </w:rPr>
        <w:t>⑥</w:t>
      </w:r>
      <w:r>
        <w:rPr>
          <w:snapToGrid w:val="0"/>
          <w:color w:val="auto"/>
          <w:spacing w:val="-16"/>
          <w:kern w:val="21"/>
          <w:sz w:val="21"/>
          <w:szCs w:val="21"/>
          <w:highlight w:val="none"/>
        </w:rPr>
        <w:t>=</w:t>
      </w:r>
      <w:r>
        <w:rPr>
          <w:rFonts w:hint="eastAsia" w:ascii="宋体" w:hAnsi="宋体" w:cs="宋体"/>
          <w:color w:val="auto"/>
          <w:sz w:val="21"/>
          <w:szCs w:val="21"/>
          <w:highlight w:val="none"/>
        </w:rPr>
        <w:t>①</w:t>
      </w:r>
      <w:r>
        <w:rPr>
          <w:snapToGrid w:val="0"/>
          <w:color w:val="auto"/>
          <w:spacing w:val="-6"/>
          <w:kern w:val="21"/>
          <w:sz w:val="21"/>
          <w:szCs w:val="21"/>
          <w:highlight w:val="none"/>
        </w:rPr>
        <w:t>+</w:t>
      </w:r>
      <w:r>
        <w:rPr>
          <w:rFonts w:hint="eastAsia" w:ascii="宋体" w:hAnsi="宋体" w:cs="宋体"/>
          <w:color w:val="auto"/>
          <w:sz w:val="21"/>
          <w:szCs w:val="21"/>
          <w:highlight w:val="none"/>
        </w:rPr>
        <w:t>③</w:t>
      </w:r>
      <w:r>
        <w:rPr>
          <w:snapToGrid w:val="0"/>
          <w:color w:val="auto"/>
          <w:spacing w:val="-6"/>
          <w:kern w:val="21"/>
          <w:sz w:val="21"/>
          <w:szCs w:val="21"/>
          <w:highlight w:val="none"/>
        </w:rPr>
        <w:t>+</w:t>
      </w:r>
      <w:r>
        <w:rPr>
          <w:rFonts w:hint="eastAsia" w:ascii="宋体" w:hAnsi="宋体" w:cs="宋体"/>
          <w:color w:val="auto"/>
          <w:sz w:val="21"/>
          <w:szCs w:val="21"/>
          <w:highlight w:val="none"/>
        </w:rPr>
        <w:t>④</w:t>
      </w:r>
      <w:r>
        <w:rPr>
          <w:snapToGrid w:val="0"/>
          <w:color w:val="auto"/>
          <w:spacing w:val="-6"/>
          <w:kern w:val="21"/>
          <w:sz w:val="21"/>
          <w:szCs w:val="21"/>
          <w:highlight w:val="none"/>
        </w:rPr>
        <w:t>-</w:t>
      </w:r>
      <w:r>
        <w:rPr>
          <w:rFonts w:hint="eastAsia" w:ascii="宋体" w:hAnsi="宋体" w:cs="宋体"/>
          <w:color w:val="auto"/>
          <w:sz w:val="21"/>
          <w:szCs w:val="21"/>
          <w:highlight w:val="none"/>
        </w:rPr>
        <w:t>⑤</w:t>
      </w:r>
      <w:r>
        <w:rPr>
          <w:snapToGrid w:val="0"/>
          <w:color w:val="auto"/>
          <w:spacing w:val="-16"/>
          <w:kern w:val="21"/>
          <w:sz w:val="21"/>
          <w:szCs w:val="21"/>
          <w:highlight w:val="none"/>
        </w:rPr>
        <w:t>；</w:t>
      </w:r>
      <w:r>
        <w:rPr>
          <w:rFonts w:hint="eastAsia" w:ascii="宋体" w:hAnsi="宋体" w:cs="宋体"/>
          <w:color w:val="auto"/>
          <w:sz w:val="21"/>
          <w:szCs w:val="21"/>
          <w:highlight w:val="none"/>
        </w:rPr>
        <w:t>⑦</w:t>
      </w:r>
      <w:r>
        <w:rPr>
          <w:snapToGrid w:val="0"/>
          <w:color w:val="auto"/>
          <w:spacing w:val="-6"/>
          <w:kern w:val="21"/>
          <w:sz w:val="21"/>
          <w:szCs w:val="21"/>
          <w:highlight w:val="none"/>
        </w:rPr>
        <w:t>=</w:t>
      </w:r>
      <w:r>
        <w:rPr>
          <w:rFonts w:hint="eastAsia" w:ascii="宋体" w:hAnsi="宋体" w:cs="宋体"/>
          <w:color w:val="auto"/>
          <w:sz w:val="21"/>
          <w:szCs w:val="21"/>
          <w:highlight w:val="none"/>
        </w:rPr>
        <w:t>⑥</w:t>
      </w:r>
      <w:r>
        <w:rPr>
          <w:snapToGrid w:val="0"/>
          <w:color w:val="auto"/>
          <w:spacing w:val="-16"/>
          <w:kern w:val="21"/>
          <w:sz w:val="21"/>
          <w:szCs w:val="21"/>
          <w:highlight w:val="none"/>
        </w:rPr>
        <w:t>-</w:t>
      </w:r>
      <w:r>
        <w:rPr>
          <w:rFonts w:hint="eastAsia" w:ascii="宋体" w:hAnsi="宋体" w:cs="宋体"/>
          <w:color w:val="auto"/>
          <w:sz w:val="21"/>
          <w:szCs w:val="21"/>
          <w:highlight w:val="none"/>
        </w:rPr>
        <w:t>①</w:t>
      </w:r>
    </w:p>
    <w:p w14:paraId="677B7B9F">
      <w:pPr>
        <w:pStyle w:val="2"/>
        <w:rPr>
          <w:color w:val="auto"/>
          <w:highlight w:val="none"/>
        </w:rPr>
        <w:sectPr>
          <w:footerReference r:id="rId12" w:type="default"/>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720" w:num="1"/>
          <w:docGrid w:linePitch="312" w:charSpace="0"/>
        </w:sectPr>
      </w:pPr>
    </w:p>
    <w:bookmarkEnd w:id="212"/>
    <w:p w14:paraId="57AC51D3">
      <w:pPr>
        <w:jc w:val="center"/>
        <w:rPr>
          <w:rFonts w:eastAsia="仿宋_GB2312"/>
          <w:color w:val="auto"/>
          <w:highlight w:val="none"/>
        </w:rPr>
      </w:pPr>
      <w:r>
        <w:rPr>
          <w:color w:val="auto"/>
          <w:sz w:val="21"/>
          <w:highlight w:val="none"/>
        </w:rPr>
        <mc:AlternateContent>
          <mc:Choice Requires="wpg">
            <w:drawing>
              <wp:anchor distT="0" distB="0" distL="114300" distR="114300" simplePos="0" relativeHeight="251663360" behindDoc="0" locked="0" layoutInCell="1" allowOverlap="1">
                <wp:simplePos x="0" y="0"/>
                <wp:positionH relativeFrom="column">
                  <wp:posOffset>4873625</wp:posOffset>
                </wp:positionH>
                <wp:positionV relativeFrom="paragraph">
                  <wp:posOffset>3457575</wp:posOffset>
                </wp:positionV>
                <wp:extent cx="1206500" cy="619760"/>
                <wp:effectExtent l="3175" t="18415" r="28575" b="28575"/>
                <wp:wrapNone/>
                <wp:docPr id="44" name="组合 270"/>
                <wp:cNvGraphicFramePr/>
                <a:graphic xmlns:a="http://schemas.openxmlformats.org/drawingml/2006/main">
                  <a:graphicData uri="http://schemas.microsoft.com/office/word/2010/wordprocessingGroup">
                    <wpg:wgp>
                      <wpg:cNvGrpSpPr/>
                      <wpg:grpSpPr>
                        <a:xfrm flipV="1">
                          <a:off x="0" y="0"/>
                          <a:ext cx="1206384" cy="619760"/>
                          <a:chOff x="4984" y="4559"/>
                          <a:chExt cx="2073" cy="1011"/>
                        </a:xfrm>
                        <a:solidFill>
                          <a:schemeClr val="accent5"/>
                        </a:solidFill>
                      </wpg:grpSpPr>
                      <wps:wsp>
                        <wps:cNvPr id="41" name="任意多边形: 形状 1"/>
                        <wps:cNvSpPr/>
                        <wps:spPr>
                          <a:xfrm rot="19620000">
                            <a:off x="4984" y="5265"/>
                            <a:ext cx="292" cy="305"/>
                          </a:xfrm>
                          <a:custGeom>
                            <a:avLst/>
                            <a:gdLst>
                              <a:gd name="A1" fmla="val 0"/>
                              <a:gd name="A2" fmla="val 0"/>
                              <a:gd name="A3" fmla="val 0"/>
                            </a:gdLst>
                            <a:ahLst/>
                            <a:cxnLst>
                              <a:cxn ang="0">
                                <a:pos x="0" y="43173"/>
                              </a:cxn>
                              <a:cxn ang="0">
                                <a:pos x="52875" y="43173"/>
                              </a:cxn>
                              <a:cxn ang="0">
                                <a:pos x="69215" y="0"/>
                              </a:cxn>
                              <a:cxn ang="0">
                                <a:pos x="85554" y="43173"/>
                              </a:cxn>
                              <a:cxn ang="0">
                                <a:pos x="138429" y="43173"/>
                              </a:cxn>
                              <a:cxn ang="0">
                                <a:pos x="95652" y="69856"/>
                              </a:cxn>
                              <a:cxn ang="0">
                                <a:pos x="111992" y="113029"/>
                              </a:cxn>
                              <a:cxn ang="0">
                                <a:pos x="69215" y="86346"/>
                              </a:cxn>
                              <a:cxn ang="0">
                                <a:pos x="26437" y="113029"/>
                              </a:cxn>
                              <a:cxn ang="0">
                                <a:pos x="42777" y="69856"/>
                              </a:cxn>
                            </a:cxnLst>
                            <a:pathLst>
                              <a:path w="138430" h="113030">
                                <a:moveTo>
                                  <a:pt x="0" y="43173"/>
                                </a:moveTo>
                                <a:lnTo>
                                  <a:pt x="52875" y="43173"/>
                                </a:lnTo>
                                <a:lnTo>
                                  <a:pt x="69215" y="0"/>
                                </a:lnTo>
                                <a:lnTo>
                                  <a:pt x="85554" y="43173"/>
                                </a:lnTo>
                                <a:lnTo>
                                  <a:pt x="138429" y="43173"/>
                                </a:lnTo>
                                <a:lnTo>
                                  <a:pt x="95652" y="69856"/>
                                </a:lnTo>
                                <a:lnTo>
                                  <a:pt x="111992" y="113029"/>
                                </a:lnTo>
                                <a:lnTo>
                                  <a:pt x="69215" y="86346"/>
                                </a:lnTo>
                                <a:lnTo>
                                  <a:pt x="26437" y="113029"/>
                                </a:lnTo>
                                <a:lnTo>
                                  <a:pt x="42777" y="69856"/>
                                </a:lnTo>
                                <a:close/>
                              </a:path>
                            </a:pathLst>
                          </a:custGeom>
                          <a:solidFill>
                            <a:srgbClr val="FFFF00"/>
                          </a:solidFill>
                          <a:ln w="3175" cap="flat" cmpd="sng">
                            <a:solidFill>
                              <a:schemeClr val="bg1"/>
                            </a:solidFill>
                            <a:prstDash val="solid"/>
                            <a:round/>
                            <a:headEnd type="none" w="med" len="med"/>
                            <a:tailEnd type="none" w="med" len="med"/>
                          </a:ln>
                        </wps:spPr>
                        <wps:bodyPr anchor="ctr" anchorCtr="0" upright="1"/>
                      </wps:wsp>
                      <wps:wsp>
                        <wps:cNvPr id="42" name="对话气泡: 矩形 79"/>
                        <wps:cNvSpPr/>
                        <wps:spPr>
                          <a:xfrm>
                            <a:off x="5451" y="4559"/>
                            <a:ext cx="1606" cy="547"/>
                          </a:xfrm>
                          <a:prstGeom prst="wedgeRectCallout">
                            <a:avLst>
                              <a:gd name="adj1" fmla="val -61208"/>
                              <a:gd name="adj2" fmla="val 105394"/>
                            </a:avLst>
                          </a:prstGeom>
                          <a:grpFill/>
                          <a:ln w="25400" cap="flat" cmpd="sng">
                            <a:solidFill>
                              <a:schemeClr val="bg1"/>
                            </a:solidFill>
                            <a:prstDash val="solid"/>
                            <a:round/>
                            <a:headEnd type="none" w="med" len="med"/>
                            <a:tailEnd type="none" w="med" len="med"/>
                          </a:ln>
                        </wps:spPr>
                        <wps:txbx>
                          <w:txbxContent>
                            <w:p w14:paraId="09B01DAE">
                              <w:pPr>
                                <w:jc w:val="center"/>
                                <w:rPr>
                                  <w:b/>
                                  <w:bCs/>
                                  <w:color w:val="FF0000"/>
                                </w:rPr>
                              </w:pPr>
                              <w:r>
                                <w:rPr>
                                  <w:rFonts w:hint="eastAsia"/>
                                  <w:b/>
                                  <w:bCs/>
                                  <w:color w:val="FF0000"/>
                                  <w:lang w:eastAsia="zh-CN"/>
                                </w:rPr>
                                <w:t>项目</w:t>
                              </w:r>
                              <w:r>
                                <w:rPr>
                                  <w:rFonts w:hint="eastAsia"/>
                                  <w:b/>
                                  <w:bCs/>
                                  <w:color w:val="FF0000"/>
                                </w:rPr>
                                <w:t>位置</w:t>
                              </w:r>
                            </w:p>
                          </w:txbxContent>
                        </wps:txbx>
                        <wps:bodyPr anchor="ctr" anchorCtr="0" upright="1"/>
                      </wps:wsp>
                    </wpg:wgp>
                  </a:graphicData>
                </a:graphic>
              </wp:anchor>
            </w:drawing>
          </mc:Choice>
          <mc:Fallback>
            <w:pict>
              <v:group id="组合 270" o:spid="_x0000_s1026" o:spt="203" style="position:absolute;left:0pt;flip:y;margin-left:383.75pt;margin-top:272.25pt;height:48.8pt;width:95pt;z-index:251663360;mso-width-relative:page;mso-height-relative:page;" coordorigin="4984,4559" coordsize="2073,1011" o:gfxdata="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">
                <o:lock v:ext="edit" aspectratio="f"/>
                <v:shape id="任意多边形: 形状 1" o:spid="_x0000_s1026" o:spt="100" style="position:absolute;left:4984;top:5265;height:305;width:292;rotation:-2162688f;v-text-anchor:middle;" fillcolor="#FFFF00" filled="t" stroked="t" coordsize="138430,113030" o:gfxdata="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QfIhvQAA&#10;ANsAAAAPAAAAAAAAAAEAIAAAACIAAABkcnMvZG93bnJldi54bWxQSwECFAAUAAAACACHTuJAMy8F&#10;njsAAAA5AAAAEAAAAAAAAAABACAAAAAMAQAAZHJzL3NoYXBleG1sLnhtbFBLBQYAAAAABgAGAFsB&#10;AAC2AwAAAAA=&#10;" path="m0,43173l52875,43173,69215,0,85554,43173,138429,43173,95652,69856,111992,113029,69215,86346,26437,113029,42777,69856xe">
                  <v:path o:connectlocs="0,43173;52875,43173;69215,0;85554,43173;138429,43173;95652,69856;111992,113029;69215,86346;26437,113029;42777,69856" o:connectangles="0,0,0,0,0,0,0,0,0,0"/>
                  <v:fill on="t" focussize="0,0"/>
                  <v:stroke weight="0.25pt" color="#FFFFFF [3212]" joinstyle="round"/>
                  <v:imagedata o:title=""/>
                  <o:lock v:ext="edit" aspectratio="f"/>
                </v:shape>
                <v:shape id="对话气泡: 矩形 79" o:spid="_x0000_s1026" o:spt="61" type="#_x0000_t61" style="position:absolute;left:5451;top:4559;height:547;width:1606;v-text-anchor:middle;" filled="t" stroked="t" coordsize="21600,21600" o:gfxdata="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OCP9&#10;wAAAANsAAAAPAAAAAAAAAAEAIAAAACIAAABkcnMvZG93bnJldi54bWxQSwECFAAUAAAACACHTuJA&#10;My8FnjsAAAA5AAAAEAAAAAAAAAABACAAAAAPAQAAZHJzL3NoYXBleG1sLnhtbFBLBQYAAAAABgAG&#10;AFsBAAC5AwAAAAA=&#10;" adj="-2421,33565">
                  <v:fill on="t" focussize="0,0"/>
                  <v:stroke weight="2pt" color="#FFFFFF [3212]" joinstyle="round"/>
                  <v:imagedata o:title=""/>
                  <o:lock v:ext="edit" aspectratio="f"/>
                  <v:textbox>
                    <w:txbxContent>
                      <w:p w14:paraId="09B01DAE">
                        <w:pPr>
                          <w:jc w:val="center"/>
                          <w:rPr>
                            <w:b/>
                            <w:bCs/>
                            <w:color w:val="FF0000"/>
                          </w:rPr>
                        </w:pPr>
                        <w:r>
                          <w:rPr>
                            <w:rFonts w:hint="eastAsia"/>
                            <w:b/>
                            <w:bCs/>
                            <w:color w:val="FF0000"/>
                            <w:lang w:eastAsia="zh-CN"/>
                          </w:rPr>
                          <w:t>项目</w:t>
                        </w:r>
                        <w:r>
                          <w:rPr>
                            <w:rFonts w:hint="eastAsia"/>
                            <w:b/>
                            <w:bCs/>
                            <w:color w:val="FF0000"/>
                          </w:rPr>
                          <w:t>位置</w:t>
                        </w:r>
                      </w:p>
                    </w:txbxContent>
                  </v:textbox>
                </v:shape>
              </v:group>
            </w:pict>
          </mc:Fallback>
        </mc:AlternateContent>
      </w:r>
      <w:r>
        <w:drawing>
          <wp:anchor distT="0" distB="0" distL="114300" distR="114300" simplePos="0" relativeHeight="251693056" behindDoc="0" locked="0" layoutInCell="1" allowOverlap="1">
            <wp:simplePos x="0" y="0"/>
            <wp:positionH relativeFrom="column">
              <wp:posOffset>7620</wp:posOffset>
            </wp:positionH>
            <wp:positionV relativeFrom="paragraph">
              <wp:posOffset>4556760</wp:posOffset>
            </wp:positionV>
            <wp:extent cx="795020" cy="557530"/>
            <wp:effectExtent l="0" t="0" r="5080" b="13970"/>
            <wp:wrapNone/>
            <wp:docPr id="1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
                    <pic:cNvPicPr>
                      <a:picLocks noChangeAspect="1"/>
                    </pic:cNvPicPr>
                  </pic:nvPicPr>
                  <pic:blipFill>
                    <a:blip r:embed="rId31"/>
                    <a:stretch>
                      <a:fillRect/>
                    </a:stretch>
                  </pic:blipFill>
                  <pic:spPr>
                    <a:xfrm>
                      <a:off x="0" y="0"/>
                      <a:ext cx="795020" cy="557530"/>
                    </a:xfrm>
                    <a:prstGeom prst="rect">
                      <a:avLst/>
                    </a:prstGeom>
                    <a:noFill/>
                    <a:ln>
                      <a:noFill/>
                    </a:ln>
                  </pic:spPr>
                </pic:pic>
              </a:graphicData>
            </a:graphic>
          </wp:anchor>
        </w:drawing>
      </w:r>
      <w:r>
        <w:drawing>
          <wp:inline distT="0" distB="0" distL="114300" distR="114300">
            <wp:extent cx="8855710" cy="5081905"/>
            <wp:effectExtent l="0" t="0" r="2540" b="4445"/>
            <wp:docPr id="1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
                    <pic:cNvPicPr>
                      <a:picLocks noChangeAspect="1"/>
                    </pic:cNvPicPr>
                  </pic:nvPicPr>
                  <pic:blipFill>
                    <a:blip r:embed="rId32"/>
                    <a:stretch>
                      <a:fillRect/>
                    </a:stretch>
                  </pic:blipFill>
                  <pic:spPr>
                    <a:xfrm>
                      <a:off x="0" y="0"/>
                      <a:ext cx="8855710" cy="5081905"/>
                    </a:xfrm>
                    <a:prstGeom prst="rect">
                      <a:avLst/>
                    </a:prstGeom>
                    <a:noFill/>
                    <a:ln>
                      <a:noFill/>
                    </a:ln>
                  </pic:spPr>
                </pic:pic>
              </a:graphicData>
            </a:graphic>
          </wp:inline>
        </w:drawing>
      </w:r>
      <w:r>
        <w:rPr>
          <w:sz w:val="21"/>
          <w:highlight w:val="none"/>
        </w:rPr>
        <mc:AlternateContent>
          <mc:Choice Requires="wps">
            <w:drawing>
              <wp:anchor distT="0" distB="0" distL="114300" distR="114300" simplePos="0" relativeHeight="251682816" behindDoc="0" locked="0" layoutInCell="1" allowOverlap="1">
                <wp:simplePos x="0" y="0"/>
                <wp:positionH relativeFrom="column">
                  <wp:posOffset>-97790</wp:posOffset>
                </wp:positionH>
                <wp:positionV relativeFrom="paragraph">
                  <wp:posOffset>5102860</wp:posOffset>
                </wp:positionV>
                <wp:extent cx="973455" cy="864235"/>
                <wp:effectExtent l="0" t="0" r="0" b="0"/>
                <wp:wrapNone/>
                <wp:docPr id="57" name="文本框 57"/>
                <wp:cNvGraphicFramePr/>
                <a:graphic xmlns:a="http://schemas.openxmlformats.org/drawingml/2006/main">
                  <a:graphicData uri="http://schemas.microsoft.com/office/word/2010/wordprocessingShape">
                    <wps:wsp>
                      <wps:cNvSpPr txBox="1"/>
                      <wps:spPr>
                        <a:xfrm>
                          <a:off x="1095375" y="5808345"/>
                          <a:ext cx="973455" cy="864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B2540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7pt;margin-top:401.8pt;height:68.05pt;width:76.65pt;z-index:251682816;mso-width-relative:page;mso-height-relative:page;" filled="f" stroked="f" coordsize="21600,21600" o:gfxdata="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9wKxHdAAAACwEAAA8AAAAA&#10;AAAAAQAgAAAAIgAAAGRycy9kb3ducmV2LnhtbFBLAQIUABQAAAAIAIdO4kAY2f6nSAIAAHMEAAAO&#10;AAAAAAAAAAEAIAAAACwBAABkcnMvZTJvRG9jLnhtbFBLBQYAAAAABgAGAFkBAADmBQAAAAA=&#10;">
                <v:fill on="f" focussize="0,0"/>
                <v:stroke on="f" weight="0.5pt"/>
                <v:imagedata o:title=""/>
                <o:lock v:ext="edit" aspectratio="f"/>
                <v:textbox>
                  <w:txbxContent>
                    <w:p w14:paraId="2EB25405"/>
                  </w:txbxContent>
                </v:textbox>
              </v:shape>
            </w:pict>
          </mc:Fallback>
        </mc:AlternateContent>
      </w:r>
      <w:r>
        <w:rPr>
          <w:color w:val="auto"/>
          <w:sz w:val="21"/>
          <w:highlight w:val="none"/>
        </w:rPr>
        <mc:AlternateContent>
          <mc:Choice Requires="wps">
            <w:drawing>
              <wp:anchor distT="0" distB="0" distL="114300" distR="114300" simplePos="0" relativeHeight="251664384" behindDoc="0" locked="0" layoutInCell="1" allowOverlap="1">
                <wp:simplePos x="0" y="0"/>
                <wp:positionH relativeFrom="column">
                  <wp:posOffset>-3810</wp:posOffset>
                </wp:positionH>
                <wp:positionV relativeFrom="paragraph">
                  <wp:posOffset>32385</wp:posOffset>
                </wp:positionV>
                <wp:extent cx="593090" cy="913130"/>
                <wp:effectExtent l="0" t="0" r="16510" b="1270"/>
                <wp:wrapNone/>
                <wp:docPr id="77" name="文本框 77"/>
                <wp:cNvGraphicFramePr/>
                <a:graphic xmlns:a="http://schemas.openxmlformats.org/drawingml/2006/main">
                  <a:graphicData uri="http://schemas.microsoft.com/office/word/2010/wordprocessingShape">
                    <wps:wsp>
                      <wps:cNvSpPr txBox="1">
                        <a:spLocks noChangeArrowheads="1"/>
                      </wps:cNvSpPr>
                      <wps:spPr bwMode="auto">
                        <a:xfrm>
                          <a:off x="0" y="0"/>
                          <a:ext cx="593090" cy="913130"/>
                        </a:xfrm>
                        <a:prstGeom prst="rect">
                          <a:avLst/>
                        </a:prstGeom>
                        <a:gradFill rotWithShape="0">
                          <a:gsLst>
                            <a:gs pos="0">
                              <a:srgbClr val="FFFFFF"/>
                            </a:gs>
                            <a:gs pos="100000">
                              <a:srgbClr val="FFFFFF"/>
                            </a:gs>
                          </a:gsLst>
                          <a:lin ang="0"/>
                        </a:gradFill>
                        <a:ln w="15875">
                          <a:noFill/>
                          <a:miter lim="800000"/>
                        </a:ln>
                        <a:effectLst/>
                      </wps:spPr>
                      <wps:txbx>
                        <w:txbxContent>
                          <w:p w14:paraId="0E44EF86">
                            <w:pPr>
                              <w:rPr>
                                <w:rFonts w:eastAsia="Times New Roman"/>
                              </w:rPr>
                            </w:pPr>
                            <w:r>
                              <w:rPr>
                                <w:rFonts w:hint="eastAsia" w:eastAsia="Times New Roman"/>
                              </w:rPr>
                              <w:drawing>
                                <wp:inline distT="0" distB="0" distL="0" distR="0">
                                  <wp:extent cx="462915" cy="758190"/>
                                  <wp:effectExtent l="0" t="0" r="13335" b="3810"/>
                                  <wp:docPr id="58" name="图片 58"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环评资料\标准要求\风玫瑰图\福清风玫瑰图.png福清风玫瑰图"/>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62915" cy="7581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0.3pt;margin-top:2.55pt;height:71.9pt;width:46.7pt;z-index:251664384;mso-width-relative:page;mso-height-relative:page;" fillcolor="#FFFFFF" filled="t" stroked="f" coordsize="21600,21600" o:gfxdata="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UNHY71wAAAAYBAAAPAAAAAAAAAAEAIAAAACIAAABkcnMv&#10;ZG93bnJldi54bWxQSwECFAAUAAAACACHTuJArBtHEHYCAADoBAAADgAAAAAAAAABACAAAAAmAQAA&#10;ZHJzL2Uyb0RvYy54bWxQSwUGAAAAAAYABgBZAQAADgYAAAAA&#10;">
                <v:fill type="gradient" on="t" color2="#FFFFFF" angle="90" focus="100%" focussize="0,0">
                  <o:fill type="gradientUnscaled" v:ext="backwardCompatible"/>
                </v:fill>
                <v:stroke on="f" weight="1.25pt" miterlimit="8" joinstyle="miter"/>
                <v:imagedata o:title=""/>
                <o:lock v:ext="edit" aspectratio="f"/>
                <v:textbox>
                  <w:txbxContent>
                    <w:p w14:paraId="0E44EF86">
                      <w:pPr>
                        <w:rPr>
                          <w:rFonts w:eastAsia="Times New Roman"/>
                        </w:rPr>
                      </w:pPr>
                      <w:r>
                        <w:rPr>
                          <w:rFonts w:hint="eastAsia" w:eastAsia="Times New Roman"/>
                        </w:rPr>
                        <w:drawing>
                          <wp:inline distT="0" distB="0" distL="0" distR="0">
                            <wp:extent cx="462915" cy="758190"/>
                            <wp:effectExtent l="0" t="0" r="13335" b="3810"/>
                            <wp:docPr id="58" name="图片 58"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环评资料\标准要求\风玫瑰图\福清风玫瑰图.png福清风玫瑰图"/>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62915" cy="758190"/>
                                    </a:xfrm>
                                    <a:prstGeom prst="rect">
                                      <a:avLst/>
                                    </a:prstGeom>
                                    <a:noFill/>
                                    <a:ln>
                                      <a:noFill/>
                                    </a:ln>
                                  </pic:spPr>
                                </pic:pic>
                              </a:graphicData>
                            </a:graphic>
                          </wp:inline>
                        </w:drawing>
                      </w:r>
                    </w:p>
                  </w:txbxContent>
                </v:textbox>
              </v:shape>
            </w:pict>
          </mc:Fallback>
        </mc:AlternateContent>
      </w:r>
    </w:p>
    <w:p w14:paraId="3E278750">
      <w:pPr>
        <w:pStyle w:val="60"/>
        <w:jc w:val="center"/>
        <w:outlineLvl w:val="0"/>
        <w:rPr>
          <w:rFonts w:hint="default" w:ascii="Times New Roman" w:hAnsi="Times New Roman" w:eastAsia="宋体" w:cs="Times New Roman"/>
          <w:b/>
          <w:bCs/>
          <w:color w:val="auto"/>
          <w:highlight w:val="none"/>
          <w:lang w:val="en-US" w:eastAsia="zh-CN"/>
        </w:rPr>
        <w:sectPr>
          <w:footerReference r:id="rId13" w:type="default"/>
          <w:pgSz w:w="16838" w:h="11906" w:orient="landscape"/>
          <w:pgMar w:top="1134" w:right="1440" w:bottom="1134"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highlight w:val="none"/>
          <w:lang w:val="en-US" w:eastAsia="zh-CN"/>
        </w:rPr>
        <w:t>附图1 项目</w:t>
      </w:r>
      <w:r>
        <w:rPr>
          <w:rFonts w:hint="eastAsia" w:ascii="Times New Roman" w:hAnsi="Times New Roman" w:eastAsia="宋体" w:cs="Times New Roman"/>
          <w:b/>
          <w:bCs/>
          <w:color w:val="auto"/>
          <w:highlight w:val="none"/>
          <w:lang w:val="en-US" w:eastAsia="zh-CN"/>
        </w:rPr>
        <w:t>地理位置图</w:t>
      </w:r>
    </w:p>
    <w:p w14:paraId="2CF4C93B">
      <w:pPr>
        <w:keepNext w:val="0"/>
        <w:keepLines w:val="0"/>
        <w:pageBreakBefore w:val="0"/>
        <w:widowControl w:val="0"/>
        <w:tabs>
          <w:tab w:val="left" w:pos="1680"/>
        </w:tabs>
        <w:kinsoku/>
        <w:wordWrap/>
        <w:overflowPunct/>
        <w:topLinePunct w:val="0"/>
        <w:autoSpaceDE/>
        <w:autoSpaceDN/>
        <w:bidi w:val="0"/>
        <w:adjustRightInd/>
        <w:snapToGrid/>
        <w:jc w:val="center"/>
        <w:textAlignment w:val="auto"/>
        <w:rPr>
          <w:rFonts w:hint="eastAsia" w:eastAsia="宋体"/>
          <w:b/>
          <w:bCs/>
          <w:color w:val="auto"/>
          <w:sz w:val="24"/>
          <w:szCs w:val="24"/>
          <w:highlight w:val="none"/>
          <w:lang w:eastAsia="zh-CN"/>
        </w:rPr>
      </w:pPr>
      <w:r>
        <w:rPr>
          <w:sz w:val="24"/>
          <w:highlight w:val="none"/>
        </w:rPr>
        <w:drawing>
          <wp:inline distT="0" distB="0" distL="114300" distR="114300">
            <wp:extent cx="8116570" cy="5723255"/>
            <wp:effectExtent l="0" t="0" r="17780" b="10795"/>
            <wp:docPr id="98" name="图片 98" descr="敏感坐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敏感坐标"/>
                    <pic:cNvPicPr>
                      <a:picLocks noChangeAspect="1"/>
                    </pic:cNvPicPr>
                  </pic:nvPicPr>
                  <pic:blipFill>
                    <a:blip r:embed="rId34"/>
                    <a:stretch>
                      <a:fillRect/>
                    </a:stretch>
                  </pic:blipFill>
                  <pic:spPr>
                    <a:xfrm>
                      <a:off x="0" y="0"/>
                      <a:ext cx="8116570" cy="5723255"/>
                    </a:xfrm>
                    <a:prstGeom prst="rect">
                      <a:avLst/>
                    </a:prstGeom>
                  </pic:spPr>
                </pic:pic>
              </a:graphicData>
            </a:graphic>
          </wp:inline>
        </w:drawing>
      </w:r>
      <w:r>
        <w:drawing>
          <wp:anchor distT="0" distB="0" distL="114300" distR="114300" simplePos="0" relativeHeight="251694080" behindDoc="0" locked="0" layoutInCell="1" allowOverlap="1">
            <wp:simplePos x="0" y="0"/>
            <wp:positionH relativeFrom="column">
              <wp:posOffset>367030</wp:posOffset>
            </wp:positionH>
            <wp:positionV relativeFrom="paragraph">
              <wp:posOffset>5135245</wp:posOffset>
            </wp:positionV>
            <wp:extent cx="853440" cy="604520"/>
            <wp:effectExtent l="0" t="0" r="3810" b="508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5"/>
                    <a:stretch>
                      <a:fillRect/>
                    </a:stretch>
                  </pic:blipFill>
                  <pic:spPr>
                    <a:xfrm>
                      <a:off x="0" y="0"/>
                      <a:ext cx="853440" cy="604520"/>
                    </a:xfrm>
                    <a:prstGeom prst="rect">
                      <a:avLst/>
                    </a:prstGeom>
                    <a:noFill/>
                    <a:ln>
                      <a:noFill/>
                    </a:ln>
                  </pic:spPr>
                </pic:pic>
              </a:graphicData>
            </a:graphic>
          </wp:anchor>
        </w:drawing>
      </w:r>
      <w:r>
        <w:rPr>
          <w:sz w:val="24"/>
          <w:highlight w:val="none"/>
        </w:rPr>
        <mc:AlternateContent>
          <mc:Choice Requires="wps">
            <w:drawing>
              <wp:anchor distT="0" distB="0" distL="114300" distR="114300" simplePos="0" relativeHeight="251671552" behindDoc="0" locked="0" layoutInCell="1" allowOverlap="1">
                <wp:simplePos x="0" y="0"/>
                <wp:positionH relativeFrom="column">
                  <wp:posOffset>260350</wp:posOffset>
                </wp:positionH>
                <wp:positionV relativeFrom="paragraph">
                  <wp:posOffset>5021580</wp:posOffset>
                </wp:positionV>
                <wp:extent cx="1020445" cy="771525"/>
                <wp:effectExtent l="0" t="0" r="0" b="0"/>
                <wp:wrapNone/>
                <wp:docPr id="54" name="文本框 54"/>
                <wp:cNvGraphicFramePr/>
                <a:graphic xmlns:a="http://schemas.openxmlformats.org/drawingml/2006/main">
                  <a:graphicData uri="http://schemas.microsoft.com/office/word/2010/wordprocessingShape">
                    <wps:wsp>
                      <wps:cNvSpPr txBox="1"/>
                      <wps:spPr>
                        <a:xfrm>
                          <a:off x="1094105" y="5820410"/>
                          <a:ext cx="1020445" cy="771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27D7E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5pt;margin-top:395.4pt;height:60.75pt;width:80.35pt;z-index:251671552;mso-width-relative:page;mso-height-relative:page;" filled="f" stroked="f" coordsize="21600,21600" o:gfxdata="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VjItB3AAAAAoBAAAPAAAAAAAAAAEA&#10;IAAAACIAAABkcnMvZG93bnJldi54bWxQSwECFAAUAAAACACHTuJAMMXpqEQCAAB0BAAADgAAAAAA&#10;AAABACAAAAArAQAAZHJzL2Uyb0RvYy54bWxQSwUGAAAAAAYABgBZAQAA4QUAAAAA&#10;">
                <v:fill on="f" focussize="0,0"/>
                <v:stroke on="f" weight="0.5pt"/>
                <v:imagedata o:title=""/>
                <o:lock v:ext="edit" aspectratio="f"/>
                <v:textbox>
                  <w:txbxContent>
                    <w:p w14:paraId="6927D7EA"/>
                  </w:txbxContent>
                </v:textbox>
              </v:shape>
            </w:pict>
          </mc:Fallback>
        </mc:AlternateContent>
      </w:r>
      <w:r>
        <w:rPr>
          <w:sz w:val="24"/>
          <w:highlight w:val="none"/>
        </w:rPr>
        <mc:AlternateContent>
          <mc:Choice Requires="wps">
            <w:drawing>
              <wp:anchor distT="0" distB="0" distL="114300" distR="114300" simplePos="0" relativeHeight="251676672" behindDoc="0" locked="0" layoutInCell="1" allowOverlap="1">
                <wp:simplePos x="0" y="0"/>
                <wp:positionH relativeFrom="column">
                  <wp:posOffset>4792980</wp:posOffset>
                </wp:positionH>
                <wp:positionV relativeFrom="paragraph">
                  <wp:posOffset>2798445</wp:posOffset>
                </wp:positionV>
                <wp:extent cx="192405" cy="162560"/>
                <wp:effectExtent l="13335" t="10160" r="22860" b="17780"/>
                <wp:wrapNone/>
                <wp:docPr id="3" name="六角星 3"/>
                <wp:cNvGraphicFramePr/>
                <a:graphic xmlns:a="http://schemas.openxmlformats.org/drawingml/2006/main">
                  <a:graphicData uri="http://schemas.microsoft.com/office/word/2010/wordprocessingShape">
                    <wps:wsp>
                      <wps:cNvSpPr/>
                      <wps:spPr>
                        <a:xfrm>
                          <a:off x="0" y="0"/>
                          <a:ext cx="192405" cy="162560"/>
                        </a:xfrm>
                        <a:prstGeom prst="star6">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77.4pt;margin-top:220.35pt;height:12.8pt;width:15.15pt;z-index:251676672;v-text-anchor:middle;mso-width-relative:page;mso-height-relative:page;" fillcolor="#FFFF00" filled="t" stroked="t" coordsize="192405,162560" o:gfxdata="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1di6h2gAAAAsBAAAPAAAAAAAAAAEAIAAAACIAAABkcnMv&#10;ZG93bnJldi54bWxQSwECFAAUAAAACACHTuJAth4ZdXMCAAD3BAAADgAAAAAAAAABACAAAAApAQAA&#10;ZHJzL2Uyb0RvYy54bWxQSwUGAAAAAAYABgBZAQAADgYAAAAA&#10;" path="m0,40640l64134,40639,96202,0,128270,40639,192404,40640,160338,81280,192404,121920,128270,121920,96202,162560,64134,121920,0,121920,32066,81280xe">
                <v:path o:connectlocs="192404,40640;192404,121920;96202,162560;0,121920;0,40640;96202,0" o:connectangles="0,0,82,164,164,247"/>
                <v:fill on="t" focussize="0,0"/>
                <v:stroke weight="1pt" color="#FFFF00 [2404]" miterlimit="8" joinstyle="miter"/>
                <v:imagedata o:title=""/>
                <o:lock v:ext="edit" aspectratio="f"/>
              </v:shape>
            </w:pict>
          </mc:Fallback>
        </mc:AlternateContent>
      </w:r>
      <w:r>
        <w:rPr>
          <w:sz w:val="24"/>
        </w:rPr>
        <mc:AlternateContent>
          <mc:Choice Requires="wpg">
            <w:drawing>
              <wp:anchor distT="0" distB="0" distL="114300" distR="114300" simplePos="0" relativeHeight="251674624" behindDoc="0" locked="0" layoutInCell="1" allowOverlap="1">
                <wp:simplePos x="0" y="0"/>
                <wp:positionH relativeFrom="column">
                  <wp:posOffset>6937375</wp:posOffset>
                </wp:positionH>
                <wp:positionV relativeFrom="paragraph">
                  <wp:posOffset>4705350</wp:posOffset>
                </wp:positionV>
                <wp:extent cx="1548130" cy="1024890"/>
                <wp:effectExtent l="4445" t="4445" r="9525" b="18415"/>
                <wp:wrapNone/>
                <wp:docPr id="99" name="组合 99"/>
                <wp:cNvGraphicFramePr/>
                <a:graphic xmlns:a="http://schemas.openxmlformats.org/drawingml/2006/main">
                  <a:graphicData uri="http://schemas.microsoft.com/office/word/2010/wordprocessingGroup">
                    <wpg:wgp>
                      <wpg:cNvGrpSpPr/>
                      <wpg:grpSpPr>
                        <a:xfrm>
                          <a:off x="0" y="0"/>
                          <a:ext cx="1548130" cy="1024890"/>
                          <a:chOff x="14073" y="981392"/>
                          <a:chExt cx="2438" cy="1614"/>
                        </a:xfrm>
                      </wpg:grpSpPr>
                      <wps:wsp>
                        <wps:cNvPr id="49" name="文本框 49"/>
                        <wps:cNvSpPr txBox="1"/>
                        <wps:spPr>
                          <a:xfrm>
                            <a:off x="14073" y="981392"/>
                            <a:ext cx="2438" cy="161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9B757B9">
                              <w:pPr>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图例</w:t>
                              </w:r>
                            </w:p>
                            <w:p w14:paraId="2B93776B">
                              <w:pPr>
                                <w:pStyle w:val="60"/>
                                <w:ind w:firstLine="840" w:firstLineChars="400"/>
                                <w:rPr>
                                  <w:rFonts w:hint="default" w:ascii="宋体" w:hAnsi="宋体" w:eastAsia="宋体" w:cs="宋体"/>
                                  <w:sz w:val="21"/>
                                  <w:szCs w:val="21"/>
                                  <w:lang w:val="en-US" w:eastAsia="zh-CN"/>
                                </w:rPr>
                              </w:pPr>
                              <w:r>
                                <w:rPr>
                                  <w:rFonts w:hint="eastAsia" w:eastAsia="宋体" w:cs="宋体"/>
                                  <w:sz w:val="21"/>
                                  <w:szCs w:val="21"/>
                                  <w:lang w:val="en-US" w:eastAsia="zh-CN"/>
                                </w:rPr>
                                <w:t>敏感目标</w:t>
                              </w:r>
                            </w:p>
                            <w:p w14:paraId="5B63C5C7">
                              <w:pPr>
                                <w:pStyle w:val="60"/>
                                <w:ind w:firstLine="840" w:firstLineChars="4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项目位置</w:t>
                              </w:r>
                            </w:p>
                            <w:p w14:paraId="05450EAA"/>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0" name="矩形 50"/>
                        <wps:cNvSpPr/>
                        <wps:spPr>
                          <a:xfrm>
                            <a:off x="14481" y="981860"/>
                            <a:ext cx="393" cy="235"/>
                          </a:xfrm>
                          <a:prstGeom prst="rect">
                            <a:avLst/>
                          </a:prstGeom>
                          <a:solidFill>
                            <a:srgbClr val="7B7BB7"/>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2" name="六角星 52"/>
                        <wps:cNvSpPr/>
                        <wps:spPr>
                          <a:xfrm>
                            <a:off x="14505" y="982291"/>
                            <a:ext cx="346" cy="384"/>
                          </a:xfrm>
                          <a:prstGeom prst="star6">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46.25pt;margin-top:370.5pt;height:80.7pt;width:121.9pt;z-index:251674624;mso-width-relative:page;mso-height-relative:page;" coordorigin="14073,981392" coordsize="2438,1614" o:gfxdata="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">
                <o:lock v:ext="edit" aspectratio="f"/>
                <v:shape id="_x0000_s1026" o:spid="_x0000_s1026" o:spt="202" type="#_x0000_t202" style="position:absolute;left:14073;top:981392;height:1614;width:2438;" fillcolor="#FFFFFF [3201]" filled="t" stroked="t" coordsize="21600,21600" o:gfxdata="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fQSm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09B757B9">
                        <w:pPr>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图例</w:t>
                        </w:r>
                      </w:p>
                      <w:p w14:paraId="2B93776B">
                        <w:pPr>
                          <w:pStyle w:val="60"/>
                          <w:ind w:firstLine="840" w:firstLineChars="400"/>
                          <w:rPr>
                            <w:rFonts w:hint="default" w:ascii="宋体" w:hAnsi="宋体" w:eastAsia="宋体" w:cs="宋体"/>
                            <w:sz w:val="21"/>
                            <w:szCs w:val="21"/>
                            <w:lang w:val="en-US" w:eastAsia="zh-CN"/>
                          </w:rPr>
                        </w:pPr>
                        <w:r>
                          <w:rPr>
                            <w:rFonts w:hint="eastAsia" w:eastAsia="宋体" w:cs="宋体"/>
                            <w:sz w:val="21"/>
                            <w:szCs w:val="21"/>
                            <w:lang w:val="en-US" w:eastAsia="zh-CN"/>
                          </w:rPr>
                          <w:t>敏感目标</w:t>
                        </w:r>
                      </w:p>
                      <w:p w14:paraId="5B63C5C7">
                        <w:pPr>
                          <w:pStyle w:val="60"/>
                          <w:ind w:firstLine="840" w:firstLineChars="4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项目位置</w:t>
                        </w:r>
                      </w:p>
                      <w:p w14:paraId="05450EAA"/>
                    </w:txbxContent>
                  </v:textbox>
                </v:shape>
                <v:rect id="_x0000_s1026" o:spid="_x0000_s1026" o:spt="1" style="position:absolute;left:14481;top:981860;height:235;width:393;v-text-anchor:middle;" fillcolor="#7B7BB7" filled="t" stroked="t" coordsize="21600,21600" o:gfxdata="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Zp2grgAAADbAAAA&#10;DwAAAAAAAAABACAAAAAiAAAAZHJzL2Rvd25yZXYueG1sUEsBAhQAFAAAAAgAh07iQDMvBZ47AAAA&#10;OQAAABAAAAAAAAAAAQAgAAAABwEAAGRycy9zaGFwZXhtbC54bWxQSwUGAAAAAAYABgBbAQAAsQMA&#10;AAAA&#10;">
                  <v:fill on="t" focussize="0,0"/>
                  <v:stroke weight="1pt" color="#FF0000 [2404]" miterlimit="8" joinstyle="miter"/>
                  <v:imagedata o:title=""/>
                  <o:lock v:ext="edit" aspectratio="f"/>
                </v:rect>
                <v:shape id="_x0000_s1026" o:spid="_x0000_s1026" style="position:absolute;left:14505;top:982291;height:384;width:346;v-text-anchor:middle;" fillcolor="#FFFF00" filled="t" stroked="t" coordsize="346,384" o:gfxdata="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HXZd2/&#10;AAAA2wAAAA8AAAAAAAAAAQAgAAAAIgAAAGRycy9kb3ducmV2LnhtbFBLAQIUABQAAAAIAIdO4kAz&#10;LwWeOwAAADkAAAAQAAAAAAAAAAEAIAAAAA4BAABkcnMvc2hhcGV4bWwueG1sUEsFBgAAAAAGAAYA&#10;WwEAALgDAAAAAA==&#10;" path="m0,96l115,95,173,0,230,95,345,96,288,192,345,288,230,288,173,384,115,288,0,288,57,192xe">
                  <v:path o:connectlocs="345,96;345,288;173,384;0,288;0,96;173,0" o:connectangles="0,0,82,164,164,247"/>
                  <v:fill on="t" focussize="0,0"/>
                  <v:stroke weight="1pt" color="#FFFF00 [2404]" miterlimit="8" joinstyle="miter"/>
                  <v:imagedata o:title=""/>
                  <o:lock v:ext="edit" aspectratio="f"/>
                </v:shape>
              </v:group>
            </w:pict>
          </mc:Fallback>
        </mc:AlternateContent>
      </w:r>
      <w:r>
        <w:rPr>
          <w:sz w:val="24"/>
          <w:highlight w:val="none"/>
        </w:rPr>
        <mc:AlternateContent>
          <mc:Choice Requires="wps">
            <w:drawing>
              <wp:anchor distT="0" distB="0" distL="114300" distR="114300" simplePos="0" relativeHeight="251670528" behindDoc="0" locked="0" layoutInCell="1" allowOverlap="1">
                <wp:simplePos x="0" y="0"/>
                <wp:positionH relativeFrom="column">
                  <wp:posOffset>334010</wp:posOffset>
                </wp:positionH>
                <wp:positionV relativeFrom="paragraph">
                  <wp:posOffset>-6350</wp:posOffset>
                </wp:positionV>
                <wp:extent cx="467360" cy="636905"/>
                <wp:effectExtent l="0" t="0" r="8890" b="10795"/>
                <wp:wrapNone/>
                <wp:docPr id="47" name="文本框 47"/>
                <wp:cNvGraphicFramePr/>
                <a:graphic xmlns:a="http://schemas.openxmlformats.org/drawingml/2006/main">
                  <a:graphicData uri="http://schemas.microsoft.com/office/word/2010/wordprocessingShape">
                    <wps:wsp>
                      <wps:cNvSpPr txBox="1"/>
                      <wps:spPr>
                        <a:xfrm>
                          <a:off x="1844040" y="1886585"/>
                          <a:ext cx="467360" cy="6369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D6351ED">
                            <w:r>
                              <w:rPr>
                                <w:rFonts w:hint="eastAsia" w:eastAsia="Times New Roman"/>
                                <w:color w:val="FFFFFF" w:themeColor="background1"/>
                                <w14:textFill>
                                  <w14:solidFill>
                                    <w14:schemeClr w14:val="bg1"/>
                                  </w14:solidFill>
                                </w14:textFill>
                              </w:rPr>
                              <w:drawing>
                                <wp:inline distT="0" distB="0" distL="0" distR="0">
                                  <wp:extent cx="342900" cy="487680"/>
                                  <wp:effectExtent l="0" t="0" r="0" b="7620"/>
                                  <wp:docPr id="48" name="图片 48"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E:\环评资料\标准要求\风玫瑰图\福清风玫瑰图.png福清风玫瑰图"/>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42900" cy="4876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pt;margin-top:-0.5pt;height:50.15pt;width:36.8pt;z-index:251670528;mso-width-relative:page;mso-height-relative:page;" fillcolor="#FFFFFF [3201]" filled="t" stroked="f" coordsize="21600,21600" o:gfxdata="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NeadHzTAAAA&#10;CAEAAA8AAAAAAAAAAQAgAAAAIgAAAGRycy9kb3ducmV2LnhtbFBLAQIUABQAAAAIAIdO4kBBBEbN&#10;WwIAAJwEAAAOAAAAAAAAAAEAIAAAACIBAABkcnMvZTJvRG9jLnhtbFBLBQYAAAAABgAGAFkBAADv&#10;BQAAAAA=&#10;">
                <v:fill on="t" focussize="0,0"/>
                <v:stroke on="f" weight="0.5pt"/>
                <v:imagedata o:title=""/>
                <o:lock v:ext="edit" aspectratio="f"/>
                <v:textbox>
                  <w:txbxContent>
                    <w:p w14:paraId="2D6351ED">
                      <w:r>
                        <w:rPr>
                          <w:rFonts w:hint="eastAsia" w:eastAsia="Times New Roman"/>
                          <w:color w:val="FFFFFF" w:themeColor="background1"/>
                          <w14:textFill>
                            <w14:solidFill>
                              <w14:schemeClr w14:val="bg1"/>
                            </w14:solidFill>
                          </w14:textFill>
                        </w:rPr>
                        <w:drawing>
                          <wp:inline distT="0" distB="0" distL="0" distR="0">
                            <wp:extent cx="342900" cy="487680"/>
                            <wp:effectExtent l="0" t="0" r="0" b="7620"/>
                            <wp:docPr id="48" name="图片 48"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E:\环评资料\标准要求\风玫瑰图\福清风玫瑰图.png福清风玫瑰图"/>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42900" cy="487680"/>
                                    </a:xfrm>
                                    <a:prstGeom prst="rect">
                                      <a:avLst/>
                                    </a:prstGeom>
                                    <a:noFill/>
                                    <a:ln>
                                      <a:noFill/>
                                    </a:ln>
                                  </pic:spPr>
                                </pic:pic>
                              </a:graphicData>
                            </a:graphic>
                          </wp:inline>
                        </w:drawing>
                      </w:r>
                    </w:p>
                  </w:txbxContent>
                </v:textbox>
              </v:shape>
            </w:pict>
          </mc:Fallback>
        </mc:AlternateContent>
      </w:r>
    </w:p>
    <w:p w14:paraId="4DF52D8A">
      <w:pPr>
        <w:keepNext w:val="0"/>
        <w:keepLines w:val="0"/>
        <w:pageBreakBefore w:val="0"/>
        <w:widowControl w:val="0"/>
        <w:kinsoku/>
        <w:wordWrap/>
        <w:overflowPunct/>
        <w:topLinePunct w:val="0"/>
        <w:autoSpaceDE/>
        <w:autoSpaceDN/>
        <w:bidi w:val="0"/>
        <w:adjustRightInd/>
        <w:snapToGrid/>
        <w:jc w:val="center"/>
        <w:textAlignment w:val="auto"/>
        <w:outlineLvl w:val="0"/>
        <w:rPr>
          <w:color w:val="auto"/>
          <w:sz w:val="24"/>
          <w:szCs w:val="24"/>
          <w:highlight w:val="none"/>
        </w:rPr>
        <w:sectPr>
          <w:pgSz w:w="16838" w:h="11906" w:orient="landscape"/>
          <w:pgMar w:top="1134" w:right="1440" w:bottom="1134"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b/>
          <w:bCs/>
          <w:color w:val="auto"/>
          <w:sz w:val="24"/>
          <w:szCs w:val="24"/>
          <w:highlight w:val="none"/>
        </w:rPr>
        <w:t>附图</w:t>
      </w:r>
      <w:r>
        <w:rPr>
          <w:rFonts w:hint="eastAsia"/>
          <w:b/>
          <w:bCs/>
          <w:color w:val="auto"/>
          <w:sz w:val="24"/>
          <w:szCs w:val="24"/>
          <w:highlight w:val="none"/>
          <w:lang w:val="en-US" w:eastAsia="zh-CN"/>
        </w:rPr>
        <w:t>2</w:t>
      </w:r>
      <w:r>
        <w:rPr>
          <w:b/>
          <w:bCs/>
          <w:color w:val="auto"/>
          <w:sz w:val="24"/>
          <w:szCs w:val="24"/>
          <w:highlight w:val="none"/>
        </w:rPr>
        <w:t xml:space="preserve"> 项目</w:t>
      </w:r>
      <w:r>
        <w:rPr>
          <w:rFonts w:hint="eastAsia"/>
          <w:b/>
          <w:bCs/>
          <w:color w:val="auto"/>
          <w:sz w:val="24"/>
          <w:szCs w:val="24"/>
          <w:highlight w:val="none"/>
          <w:lang w:val="en-US" w:eastAsia="zh-CN"/>
        </w:rPr>
        <w:t>周边</w:t>
      </w:r>
      <w:r>
        <w:rPr>
          <w:rFonts w:hint="eastAsia"/>
          <w:b/>
          <w:bCs/>
          <w:color w:val="auto"/>
          <w:sz w:val="24"/>
          <w:szCs w:val="24"/>
          <w:highlight w:val="none"/>
        </w:rPr>
        <w:t>敏感目标示意</w:t>
      </w:r>
      <w:r>
        <w:rPr>
          <w:b/>
          <w:bCs/>
          <w:color w:val="auto"/>
          <w:sz w:val="24"/>
          <w:szCs w:val="24"/>
          <w:highlight w:val="none"/>
        </w:rPr>
        <w:t>图</w:t>
      </w:r>
    </w:p>
    <w:tbl>
      <w:tblPr>
        <w:tblStyle w:val="5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1DCED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shd w:val="clear" w:color="auto" w:fill="auto"/>
          </w:tcPr>
          <w:p w14:paraId="70EB7069">
            <w:p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564765" cy="3847465"/>
                  <wp:effectExtent l="0" t="0" r="6985" b="635"/>
                  <wp:docPr id="137" name="图片 137" descr="b4a23584620b61538df2ab56291ee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b4a23584620b61538df2ab56291eef3"/>
                          <pic:cNvPicPr>
                            <a:picLocks noChangeAspect="1"/>
                          </pic:cNvPicPr>
                        </pic:nvPicPr>
                        <pic:blipFill>
                          <a:blip r:embed="rId36"/>
                          <a:stretch>
                            <a:fillRect/>
                          </a:stretch>
                        </pic:blipFill>
                        <pic:spPr>
                          <a:xfrm>
                            <a:off x="0" y="0"/>
                            <a:ext cx="2564765" cy="3847465"/>
                          </a:xfrm>
                          <a:prstGeom prst="rect">
                            <a:avLst/>
                          </a:prstGeom>
                        </pic:spPr>
                      </pic:pic>
                    </a:graphicData>
                  </a:graphic>
                </wp:inline>
              </w:drawing>
            </w:r>
          </w:p>
        </w:tc>
        <w:tc>
          <w:tcPr>
            <w:tcW w:w="4261" w:type="dxa"/>
            <w:shd w:val="clear" w:color="auto" w:fill="auto"/>
          </w:tcPr>
          <w:p w14:paraId="660E57B4">
            <w:p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567305" cy="3851275"/>
                  <wp:effectExtent l="0" t="0" r="4445" b="15875"/>
                  <wp:docPr id="138" name="图片 138" descr="3f34480afdbc6b0c07d385fb58f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3f34480afdbc6b0c07d385fb58f5077"/>
                          <pic:cNvPicPr>
                            <a:picLocks noChangeAspect="1"/>
                          </pic:cNvPicPr>
                        </pic:nvPicPr>
                        <pic:blipFill>
                          <a:blip r:embed="rId37"/>
                          <a:stretch>
                            <a:fillRect/>
                          </a:stretch>
                        </pic:blipFill>
                        <pic:spPr>
                          <a:xfrm>
                            <a:off x="0" y="0"/>
                            <a:ext cx="2567305" cy="3851275"/>
                          </a:xfrm>
                          <a:prstGeom prst="rect">
                            <a:avLst/>
                          </a:prstGeom>
                        </pic:spPr>
                      </pic:pic>
                    </a:graphicData>
                  </a:graphic>
                </wp:inline>
              </w:drawing>
            </w:r>
          </w:p>
        </w:tc>
      </w:tr>
      <w:tr w14:paraId="2B280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shd w:val="clear" w:color="auto" w:fill="auto"/>
          </w:tcPr>
          <w:p w14:paraId="44E12CD1">
            <w:pPr>
              <w:jc w:val="center"/>
              <w:rPr>
                <w:rFonts w:hint="default"/>
                <w:color w:val="auto"/>
                <w:highlight w:val="none"/>
                <w:lang w:val="en-US"/>
              </w:rPr>
            </w:pPr>
            <w:r>
              <w:rPr>
                <w:rFonts w:hint="eastAsia"/>
                <w:b/>
                <w:bCs/>
                <w:color w:val="auto"/>
                <w:highlight w:val="none"/>
                <w:lang w:eastAsia="zh-CN"/>
              </w:rPr>
              <w:t xml:space="preserve"> </w:t>
            </w:r>
            <w:r>
              <w:rPr>
                <w:b/>
                <w:bCs/>
                <w:color w:val="auto"/>
                <w:highlight w:val="none"/>
              </w:rPr>
              <w:t>项目北侧</w:t>
            </w:r>
            <w:r>
              <w:rPr>
                <w:rFonts w:hint="eastAsia"/>
                <w:b/>
                <w:bCs/>
                <w:color w:val="auto"/>
                <w:highlight w:val="none"/>
                <w:lang w:val="en-US" w:eastAsia="zh-CN"/>
              </w:rPr>
              <w:t>为蓝光星珀</w:t>
            </w:r>
          </w:p>
        </w:tc>
        <w:tc>
          <w:tcPr>
            <w:tcW w:w="4261" w:type="dxa"/>
            <w:shd w:val="clear" w:color="auto" w:fill="auto"/>
          </w:tcPr>
          <w:p w14:paraId="284A0CE3">
            <w:pPr>
              <w:jc w:val="center"/>
              <w:rPr>
                <w:rFonts w:hint="default"/>
                <w:color w:val="auto"/>
                <w:highlight w:val="none"/>
                <w:lang w:val="en-US"/>
              </w:rPr>
            </w:pPr>
            <w:r>
              <w:rPr>
                <w:b/>
                <w:bCs/>
                <w:color w:val="auto"/>
                <w:highlight w:val="none"/>
              </w:rPr>
              <w:t>项目南侧</w:t>
            </w:r>
            <w:r>
              <w:rPr>
                <w:rFonts w:hint="eastAsia"/>
                <w:b/>
                <w:bCs/>
                <w:color w:val="auto"/>
                <w:highlight w:val="none"/>
                <w:lang w:val="en-US" w:eastAsia="zh-CN"/>
              </w:rPr>
              <w:t>为蓝光星珀</w:t>
            </w:r>
          </w:p>
        </w:tc>
      </w:tr>
      <w:tr w14:paraId="56C84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shd w:val="clear" w:color="auto" w:fill="auto"/>
          </w:tcPr>
          <w:p w14:paraId="76E2E87B">
            <w:p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568575" cy="3853815"/>
                  <wp:effectExtent l="0" t="0" r="3175" b="13335"/>
                  <wp:docPr id="135" name="图片 135" descr="ba1e39cfa87e842a2954a1fcc9d8c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ba1e39cfa87e842a2954a1fcc9d8c5c"/>
                          <pic:cNvPicPr>
                            <a:picLocks noChangeAspect="1"/>
                          </pic:cNvPicPr>
                        </pic:nvPicPr>
                        <pic:blipFill>
                          <a:blip r:embed="rId38"/>
                          <a:stretch>
                            <a:fillRect/>
                          </a:stretch>
                        </pic:blipFill>
                        <pic:spPr>
                          <a:xfrm>
                            <a:off x="0" y="0"/>
                            <a:ext cx="2568575" cy="3853815"/>
                          </a:xfrm>
                          <a:prstGeom prst="rect">
                            <a:avLst/>
                          </a:prstGeom>
                        </pic:spPr>
                      </pic:pic>
                    </a:graphicData>
                  </a:graphic>
                </wp:inline>
              </w:drawing>
            </w:r>
          </w:p>
        </w:tc>
        <w:tc>
          <w:tcPr>
            <w:tcW w:w="4261" w:type="dxa"/>
            <w:shd w:val="clear" w:color="auto" w:fill="auto"/>
          </w:tcPr>
          <w:p w14:paraId="13879384">
            <w:p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2549525" cy="3823335"/>
                  <wp:effectExtent l="0" t="0" r="3175" b="5715"/>
                  <wp:docPr id="136" name="图片 136" descr="0ae4b0e8220d6ab9bff243e1f73c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0ae4b0e8220d6ab9bff243e1f73c577"/>
                          <pic:cNvPicPr>
                            <a:picLocks noChangeAspect="1"/>
                          </pic:cNvPicPr>
                        </pic:nvPicPr>
                        <pic:blipFill>
                          <a:blip r:embed="rId39"/>
                          <a:stretch>
                            <a:fillRect/>
                          </a:stretch>
                        </pic:blipFill>
                        <pic:spPr>
                          <a:xfrm>
                            <a:off x="0" y="0"/>
                            <a:ext cx="2549525" cy="3823335"/>
                          </a:xfrm>
                          <a:prstGeom prst="rect">
                            <a:avLst/>
                          </a:prstGeom>
                        </pic:spPr>
                      </pic:pic>
                    </a:graphicData>
                  </a:graphic>
                </wp:inline>
              </w:drawing>
            </w:r>
          </w:p>
        </w:tc>
      </w:tr>
      <w:tr w14:paraId="7B287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shd w:val="clear" w:color="auto" w:fill="auto"/>
          </w:tcPr>
          <w:p w14:paraId="3F1E7717">
            <w:pPr>
              <w:jc w:val="center"/>
              <w:rPr>
                <w:b/>
                <w:bCs/>
                <w:color w:val="auto"/>
                <w:highlight w:val="none"/>
              </w:rPr>
            </w:pPr>
            <w:r>
              <w:rPr>
                <w:b/>
                <w:bCs/>
                <w:color w:val="auto"/>
                <w:highlight w:val="none"/>
              </w:rPr>
              <w:t>项目东侧</w:t>
            </w:r>
            <w:r>
              <w:rPr>
                <w:rFonts w:hint="eastAsia"/>
                <w:b/>
                <w:bCs/>
                <w:color w:val="auto"/>
                <w:highlight w:val="none"/>
                <w:lang w:val="en-US" w:eastAsia="zh-CN"/>
              </w:rPr>
              <w:t>为蓝光星珀</w:t>
            </w:r>
          </w:p>
        </w:tc>
        <w:tc>
          <w:tcPr>
            <w:tcW w:w="4261" w:type="dxa"/>
            <w:shd w:val="clear" w:color="auto" w:fill="auto"/>
          </w:tcPr>
          <w:p w14:paraId="2BC6E201">
            <w:pPr>
              <w:jc w:val="center"/>
              <w:rPr>
                <w:rFonts w:hint="default"/>
                <w:b/>
                <w:bCs/>
                <w:color w:val="auto"/>
                <w:highlight w:val="none"/>
                <w:lang w:val="en-US"/>
              </w:rPr>
            </w:pPr>
            <w:r>
              <w:rPr>
                <w:b/>
                <w:bCs/>
                <w:color w:val="auto"/>
                <w:highlight w:val="none"/>
              </w:rPr>
              <w:t>项目西侧</w:t>
            </w:r>
            <w:r>
              <w:rPr>
                <w:rFonts w:hint="eastAsia"/>
                <w:b/>
                <w:bCs/>
                <w:color w:val="auto"/>
                <w:highlight w:val="none"/>
                <w:lang w:val="en-US" w:eastAsia="zh-CN"/>
              </w:rPr>
              <w:t>为前横路</w:t>
            </w:r>
          </w:p>
        </w:tc>
      </w:tr>
    </w:tbl>
    <w:p w14:paraId="32D512D8">
      <w:pPr>
        <w:pStyle w:val="2"/>
        <w:numPr>
          <w:ilvl w:val="0"/>
          <w:numId w:val="0"/>
        </w:numPr>
        <w:adjustRightInd/>
        <w:snapToGrid/>
        <w:spacing w:line="240" w:lineRule="auto"/>
        <w:rPr>
          <w:color w:val="auto"/>
          <w:sz w:val="24"/>
          <w:szCs w:val="24"/>
          <w:highlight w:val="none"/>
        </w:rPr>
      </w:pPr>
      <w:bookmarkStart w:id="215" w:name="_Toc515"/>
      <w:bookmarkStart w:id="216" w:name="_Toc133251570"/>
      <w:bookmarkStart w:id="217" w:name="_Toc24824"/>
      <w:bookmarkStart w:id="218" w:name="_Toc22236"/>
      <w:r>
        <w:rPr>
          <w:color w:val="auto"/>
          <w:sz w:val="24"/>
          <w:szCs w:val="24"/>
          <w:highlight w:val="none"/>
        </w:rPr>
        <w:t>附图</w:t>
      </w:r>
      <w:r>
        <w:rPr>
          <w:rFonts w:hint="eastAsia"/>
          <w:color w:val="auto"/>
          <w:sz w:val="24"/>
          <w:szCs w:val="24"/>
          <w:highlight w:val="none"/>
          <w:lang w:val="en-US" w:eastAsia="zh-CN"/>
        </w:rPr>
        <w:t>3</w:t>
      </w:r>
      <w:r>
        <w:rPr>
          <w:color w:val="auto"/>
          <w:sz w:val="24"/>
          <w:szCs w:val="24"/>
          <w:highlight w:val="none"/>
        </w:rPr>
        <w:t xml:space="preserve"> 项目周边环境照片</w:t>
      </w:r>
      <w:bookmarkEnd w:id="215"/>
      <w:bookmarkEnd w:id="216"/>
      <w:bookmarkEnd w:id="217"/>
      <w:bookmarkEnd w:id="218"/>
    </w:p>
    <w:p w14:paraId="263AAC22">
      <w:pPr>
        <w:jc w:val="center"/>
        <w:rPr>
          <w:rFonts w:hint="eastAsia" w:eastAsia="宋体"/>
          <w:color w:val="auto"/>
          <w:highlight w:val="none"/>
          <w:lang w:eastAsia="zh-CN"/>
        </w:rPr>
        <w:sectPr>
          <w:footerReference r:id="rId14"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5E79B73D">
      <w:pPr>
        <w:jc w:val="center"/>
        <w:rPr>
          <w:color w:val="auto"/>
          <w:highlight w:val="none"/>
        </w:rPr>
      </w:pPr>
      <w:r>
        <w:rPr>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3806190</wp:posOffset>
                </wp:positionH>
                <wp:positionV relativeFrom="paragraph">
                  <wp:posOffset>1689735</wp:posOffset>
                </wp:positionV>
                <wp:extent cx="1019810" cy="347345"/>
                <wp:effectExtent l="127000" t="12700" r="15240" b="211455"/>
                <wp:wrapNone/>
                <wp:docPr id="46" name="对话气泡: 矩形 36"/>
                <wp:cNvGraphicFramePr/>
                <a:graphic xmlns:a="http://schemas.openxmlformats.org/drawingml/2006/main">
                  <a:graphicData uri="http://schemas.microsoft.com/office/word/2010/wordprocessingShape">
                    <wps:wsp>
                      <wps:cNvSpPr>
                        <a:spLocks noChangeArrowheads="1"/>
                      </wps:cNvSpPr>
                      <wps:spPr bwMode="auto">
                        <a:xfrm>
                          <a:off x="0" y="0"/>
                          <a:ext cx="1019810" cy="347345"/>
                        </a:xfrm>
                        <a:prstGeom prst="wedgeRectCallout">
                          <a:avLst>
                            <a:gd name="adj1" fmla="val -61208"/>
                            <a:gd name="adj2" fmla="val 105394"/>
                          </a:avLst>
                        </a:prstGeom>
                        <a:noFill/>
                        <a:ln w="25400">
                          <a:solidFill>
                            <a:srgbClr val="FF0000"/>
                          </a:solidFill>
                          <a:round/>
                        </a:ln>
                        <a:effectLst/>
                      </wps:spPr>
                      <wps:txbx>
                        <w:txbxContent>
                          <w:p w14:paraId="400A1124">
                            <w:pPr>
                              <w:jc w:val="center"/>
                              <w:rPr>
                                <w:b/>
                                <w:bCs/>
                                <w:color w:val="FF0000"/>
                              </w:rPr>
                            </w:pPr>
                            <w:r>
                              <w:rPr>
                                <w:rFonts w:hint="eastAsia"/>
                                <w:b/>
                                <w:bCs/>
                                <w:color w:val="FF0000"/>
                                <w:lang w:eastAsia="zh-CN"/>
                              </w:rPr>
                              <w:t>项目</w:t>
                            </w:r>
                            <w:r>
                              <w:rPr>
                                <w:rFonts w:hint="eastAsia"/>
                                <w:b/>
                                <w:bCs/>
                                <w:color w:val="FF0000"/>
                              </w:rPr>
                              <w:t>位置</w:t>
                            </w:r>
                          </w:p>
                        </w:txbxContent>
                      </wps:txbx>
                      <wps:bodyPr rot="0" vert="horz" wrap="square" lIns="91440" tIns="45720" rIns="91440" bIns="45720" anchor="ctr" anchorCtr="0" upright="1">
                        <a:noAutofit/>
                      </wps:bodyPr>
                    </wps:wsp>
                  </a:graphicData>
                </a:graphic>
              </wp:anchor>
            </w:drawing>
          </mc:Choice>
          <mc:Fallback>
            <w:pict>
              <v:shape id="对话气泡: 矩形 36" o:spid="_x0000_s1026" o:spt="61" type="#_x0000_t61" style="position:absolute;left:0pt;margin-left:299.7pt;margin-top:133.05pt;height:27.35pt;width:80.3pt;z-index:251666432;v-text-anchor:middle;mso-width-relative:page;mso-height-relative:page;" filled="f" stroked="t" coordsize="21600,21600" o:gfxdata="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Nrhp3NcAAAALAQAADwAAAAAAAAABACAA&#10;AAAiAAAAZHJzL2Rvd25yZXYueG1sUEsBAhQAFAAAAAgAh07iQF+9nLCAAgAAxAQAAA4AAAAAAAAA&#10;AQAgAAAAJgEAAGRycy9lMm9Eb2MueG1sUEsFBgAAAAAGAAYAWQEAABgGAAAAAA==&#10;" adj="-2421,33565">
                <v:fill on="f" focussize="0,0"/>
                <v:stroke weight="2pt" color="#FF0000" joinstyle="round"/>
                <v:imagedata o:title=""/>
                <o:lock v:ext="edit" aspectratio="f"/>
                <v:textbox>
                  <w:txbxContent>
                    <w:p w14:paraId="400A1124">
                      <w:pPr>
                        <w:jc w:val="center"/>
                        <w:rPr>
                          <w:b/>
                          <w:bCs/>
                          <w:color w:val="FF0000"/>
                        </w:rPr>
                      </w:pPr>
                      <w:r>
                        <w:rPr>
                          <w:rFonts w:hint="eastAsia"/>
                          <w:b/>
                          <w:bCs/>
                          <w:color w:val="FF0000"/>
                          <w:lang w:eastAsia="zh-CN"/>
                        </w:rPr>
                        <w:t>项目</w:t>
                      </w:r>
                      <w:r>
                        <w:rPr>
                          <w:rFonts w:hint="eastAsia"/>
                          <w:b/>
                          <w:bCs/>
                          <w:color w:val="FF0000"/>
                        </w:rPr>
                        <w:t>位置</w:t>
                      </w:r>
                    </w:p>
                  </w:txbxContent>
                </v:textbox>
              </v:shape>
            </w:pict>
          </mc:Fallback>
        </mc:AlternateContent>
      </w:r>
      <w:r>
        <w:rPr>
          <w:sz w:val="21"/>
          <w:highlight w:val="none"/>
        </w:rPr>
        <mc:AlternateContent>
          <mc:Choice Requires="wps">
            <w:drawing>
              <wp:anchor distT="0" distB="0" distL="114300" distR="114300" simplePos="0" relativeHeight="251680768" behindDoc="0" locked="0" layoutInCell="1" allowOverlap="1">
                <wp:simplePos x="0" y="0"/>
                <wp:positionH relativeFrom="column">
                  <wp:posOffset>2762250</wp:posOffset>
                </wp:positionH>
                <wp:positionV relativeFrom="paragraph">
                  <wp:posOffset>2459355</wp:posOffset>
                </wp:positionV>
                <wp:extent cx="4540885" cy="2723515"/>
                <wp:effectExtent l="0" t="0" r="0" b="0"/>
                <wp:wrapNone/>
                <wp:docPr id="17" name="文本框 17"/>
                <wp:cNvGraphicFramePr/>
                <a:graphic xmlns:a="http://schemas.openxmlformats.org/drawingml/2006/main">
                  <a:graphicData uri="http://schemas.microsoft.com/office/word/2010/wordprocessingShape">
                    <wps:wsp>
                      <wps:cNvSpPr txBox="1"/>
                      <wps:spPr>
                        <a:xfrm>
                          <a:off x="3470910" y="3271520"/>
                          <a:ext cx="4540885" cy="27235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EE717F">
                            <w:r>
                              <w:drawing>
                                <wp:inline distT="0" distB="0" distL="114300" distR="114300">
                                  <wp:extent cx="3903980" cy="1807845"/>
                                  <wp:effectExtent l="0" t="0" r="1270" b="1905"/>
                                  <wp:docPr id="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pic:cNvPicPr>
                                            <a:picLocks noChangeAspect="1"/>
                                          </pic:cNvPicPr>
                                        </pic:nvPicPr>
                                        <pic:blipFill>
                                          <a:blip r:embed="rId40"/>
                                          <a:stretch>
                                            <a:fillRect/>
                                          </a:stretch>
                                        </pic:blipFill>
                                        <pic:spPr>
                                          <a:xfrm>
                                            <a:off x="0" y="0"/>
                                            <a:ext cx="3903980" cy="18078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7.5pt;margin-top:193.65pt;height:214.45pt;width:357.55pt;z-index:251680768;mso-width-relative:page;mso-height-relative:page;" filled="f" stroked="f" coordsize="21600,21600" o:gfxdata="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kmEnXcAAAADAEAAA8AAAAA&#10;AAAAAQAgAAAAIgAAAGRycy9kb3ducmV2LnhtbFBLAQIUABQAAAAIAIdO4kD/v1+8SQIAAHUEAAAO&#10;AAAAAAAAAAEAIAAAACsBAABkcnMvZTJvRG9jLnhtbFBLBQYAAAAABgAGAFkBAADmBQAAAAA=&#10;">
                <v:fill on="f" focussize="0,0"/>
                <v:stroke on="f" weight="0.5pt"/>
                <v:imagedata o:title=""/>
                <o:lock v:ext="edit" aspectratio="f"/>
                <v:textbox>
                  <w:txbxContent>
                    <w:p w14:paraId="16EE717F">
                      <w:r>
                        <w:drawing>
                          <wp:inline distT="0" distB="0" distL="114300" distR="114300">
                            <wp:extent cx="3903980" cy="1807845"/>
                            <wp:effectExtent l="0" t="0" r="1270" b="1905"/>
                            <wp:docPr id="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pic:cNvPicPr>
                                      <a:picLocks noChangeAspect="1"/>
                                    </pic:cNvPicPr>
                                  </pic:nvPicPr>
                                  <pic:blipFill>
                                    <a:blip r:embed="rId40"/>
                                    <a:stretch>
                                      <a:fillRect/>
                                    </a:stretch>
                                  </pic:blipFill>
                                  <pic:spPr>
                                    <a:xfrm>
                                      <a:off x="0" y="0"/>
                                      <a:ext cx="3903980" cy="1807845"/>
                                    </a:xfrm>
                                    <a:prstGeom prst="rect">
                                      <a:avLst/>
                                    </a:prstGeom>
                                    <a:noFill/>
                                    <a:ln>
                                      <a:noFill/>
                                    </a:ln>
                                  </pic:spPr>
                                </pic:pic>
                              </a:graphicData>
                            </a:graphic>
                          </wp:inline>
                        </w:drawing>
                      </w:r>
                    </w:p>
                  </w:txbxContent>
                </v:textbox>
              </v:shape>
            </w:pict>
          </mc:Fallback>
        </mc:AlternateContent>
      </w:r>
      <w:r>
        <w:rPr>
          <w:color w:val="auto"/>
          <w:highlight w:val="none"/>
        </w:rPr>
        <w:drawing>
          <wp:inline distT="0" distB="0" distL="0" distR="0">
            <wp:extent cx="8086725" cy="5490845"/>
            <wp:effectExtent l="0" t="0" r="9525" b="14605"/>
            <wp:docPr id="16" name="图片 16" descr="微信图片_20201120112807"/>
            <wp:cNvGraphicFramePr/>
            <a:graphic xmlns:a="http://schemas.openxmlformats.org/drawingml/2006/main">
              <a:graphicData uri="http://schemas.openxmlformats.org/drawingml/2006/picture">
                <pic:pic xmlns:pic="http://schemas.openxmlformats.org/drawingml/2006/picture">
                  <pic:nvPicPr>
                    <pic:cNvPr id="16" name="图片 16" descr="微信图片_20201120112807"/>
                    <pic:cNvPicPr>
                      <a:picLocks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8086725" cy="5490845"/>
                    </a:xfrm>
                    <a:prstGeom prst="rect">
                      <a:avLst/>
                    </a:prstGeom>
                    <a:noFill/>
                    <a:ln>
                      <a:noFill/>
                    </a:ln>
                    <a:effectLst/>
                  </pic:spPr>
                </pic:pic>
              </a:graphicData>
            </a:graphic>
          </wp:inline>
        </w:drawing>
      </w:r>
    </w:p>
    <w:p w14:paraId="520CC4B5">
      <w:pPr>
        <w:pStyle w:val="2"/>
        <w:numPr>
          <w:ilvl w:val="0"/>
          <w:numId w:val="0"/>
        </w:numPr>
        <w:adjustRightInd/>
        <w:snapToGrid/>
        <w:spacing w:line="240" w:lineRule="auto"/>
        <w:rPr>
          <w:color w:val="auto"/>
          <w:sz w:val="24"/>
          <w:szCs w:val="24"/>
          <w:highlight w:val="none"/>
        </w:rPr>
        <w:sectPr>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bookmarkStart w:id="219" w:name="_Toc20435"/>
      <w:bookmarkStart w:id="220" w:name="_Toc21926"/>
      <w:bookmarkStart w:id="221" w:name="_Toc31440"/>
      <w:bookmarkStart w:id="222" w:name="_Toc133251571"/>
      <w:r>
        <w:rPr>
          <w:color w:val="auto"/>
          <w:sz w:val="24"/>
          <w:szCs w:val="24"/>
          <w:highlight w:val="none"/>
        </w:rPr>
        <w:t>附图</w:t>
      </w:r>
      <w:bookmarkEnd w:id="219"/>
      <w:bookmarkEnd w:id="220"/>
      <w:r>
        <w:rPr>
          <w:rFonts w:hint="eastAsia"/>
          <w:color w:val="auto"/>
          <w:sz w:val="24"/>
          <w:szCs w:val="24"/>
          <w:highlight w:val="none"/>
          <w:lang w:val="en-US" w:eastAsia="zh-CN"/>
        </w:rPr>
        <w:t>4</w:t>
      </w:r>
      <w:r>
        <w:rPr>
          <w:color w:val="auto"/>
          <w:sz w:val="24"/>
          <w:highlight w:val="none"/>
        </w:rPr>
        <w:t>福州市</w:t>
      </w:r>
      <w:r>
        <w:rPr>
          <w:rFonts w:hint="eastAsia"/>
          <w:color w:val="auto"/>
          <w:sz w:val="24"/>
          <w:highlight w:val="none"/>
          <w:lang w:val="en-US" w:eastAsia="zh-CN"/>
        </w:rPr>
        <w:t>城市总体规划</w:t>
      </w:r>
      <w:r>
        <w:rPr>
          <w:color w:val="auto"/>
          <w:sz w:val="24"/>
          <w:highlight w:val="none"/>
        </w:rPr>
        <w:t>图</w:t>
      </w:r>
      <w:bookmarkEnd w:id="221"/>
      <w:bookmarkEnd w:id="222"/>
    </w:p>
    <w:p w14:paraId="07673E31">
      <w:pPr>
        <w:pStyle w:val="134"/>
        <w:ind w:firstLine="0" w:firstLineChars="0"/>
        <w:jc w:val="center"/>
        <w:rPr>
          <w:rFonts w:ascii="Times New Roman" w:hAnsi="Times New Roman" w:cs="Times New Roman"/>
          <w:color w:val="auto"/>
          <w:highlight w:val="none"/>
        </w:rPr>
      </w:pPr>
      <w:r>
        <w:rPr>
          <w:sz w:val="24"/>
          <w:highlight w:val="none"/>
        </w:rPr>
        <mc:AlternateContent>
          <mc:Choice Requires="wps">
            <w:drawing>
              <wp:anchor distT="0" distB="0" distL="114300" distR="114300" simplePos="0" relativeHeight="251683840" behindDoc="0" locked="0" layoutInCell="1" allowOverlap="1">
                <wp:simplePos x="0" y="0"/>
                <wp:positionH relativeFrom="column">
                  <wp:posOffset>6553835</wp:posOffset>
                </wp:positionH>
                <wp:positionV relativeFrom="paragraph">
                  <wp:posOffset>420370</wp:posOffset>
                </wp:positionV>
                <wp:extent cx="1336040" cy="374015"/>
                <wp:effectExtent l="4445" t="4445" r="12065" b="21590"/>
                <wp:wrapNone/>
                <wp:docPr id="65" name="文本框 65"/>
                <wp:cNvGraphicFramePr/>
                <a:graphic xmlns:a="http://schemas.openxmlformats.org/drawingml/2006/main">
                  <a:graphicData uri="http://schemas.microsoft.com/office/word/2010/wordprocessingShape">
                    <wps:wsp>
                      <wps:cNvSpPr txBox="1"/>
                      <wps:spPr>
                        <a:xfrm>
                          <a:off x="0" y="0"/>
                          <a:ext cx="1336040" cy="3740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398CAA5">
                            <w:pPr>
                              <w:rPr>
                                <w:rFonts w:hint="default" w:eastAsia="宋体"/>
                                <w:lang w:val="en-US" w:eastAsia="zh-CN"/>
                              </w:rPr>
                            </w:pPr>
                            <w:r>
                              <w:rPr>
                                <w:rFonts w:hint="eastAsia"/>
                                <w:lang w:val="en-US" w:eastAsia="zh-CN"/>
                              </w:rPr>
                              <w:t>污水处理器（01）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6.05pt;margin-top:33.1pt;height:29.45pt;width:105.2pt;z-index:251683840;mso-width-relative:page;mso-height-relative:page;" fillcolor="#FFFFFF [3201]" filled="t" stroked="t" coordsize="21600,21600" o:gfxdata="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s1ANe1gAA&#10;AAwBAAAPAAAAAAAAAAEAIAAAACIAAABkcnMvZG93bnJldi54bWxQSwECFAAUAAAACACHTuJAuP7I&#10;J1kCAAC5BAAADgAAAAAAAAABACAAAAAlAQAAZHJzL2Uyb0RvYy54bWxQSwUGAAAAAAYABgBZAQAA&#10;8AUAAAAA&#10;">
                <v:fill on="t" focussize="0,0"/>
                <v:stroke weight="0.5pt" color="#000000 [3204]" joinstyle="round"/>
                <v:imagedata o:title=""/>
                <o:lock v:ext="edit" aspectratio="f"/>
                <v:textbox>
                  <w:txbxContent>
                    <w:p w14:paraId="0398CAA5">
                      <w:pPr>
                        <w:rPr>
                          <w:rFonts w:hint="default" w:eastAsia="宋体"/>
                          <w:lang w:val="en-US" w:eastAsia="zh-CN"/>
                        </w:rPr>
                      </w:pPr>
                      <w:r>
                        <w:rPr>
                          <w:rFonts w:hint="eastAsia"/>
                          <w:lang w:val="en-US" w:eastAsia="zh-CN"/>
                        </w:rPr>
                        <w:t>污水处理器（01）</w:t>
                      </w:r>
                    </w:p>
                  </w:txbxContent>
                </v:textbox>
              </v:shape>
            </w:pict>
          </mc:Fallback>
        </mc:AlternateContent>
      </w:r>
      <w:r>
        <w:rPr>
          <w:sz w:val="24"/>
          <w:highlight w:val="none"/>
        </w:rPr>
        <mc:AlternateContent>
          <mc:Choice Requires="wps">
            <w:drawing>
              <wp:anchor distT="0" distB="0" distL="114300" distR="114300" simplePos="0" relativeHeight="251685888" behindDoc="0" locked="0" layoutInCell="1" allowOverlap="1">
                <wp:simplePos x="0" y="0"/>
                <wp:positionH relativeFrom="column">
                  <wp:posOffset>6830695</wp:posOffset>
                </wp:positionH>
                <wp:positionV relativeFrom="paragraph">
                  <wp:posOffset>875030</wp:posOffset>
                </wp:positionV>
                <wp:extent cx="5080" cy="361950"/>
                <wp:effectExtent l="49530" t="0" r="59690" b="0"/>
                <wp:wrapNone/>
                <wp:docPr id="81" name="直接箭头连接符 81"/>
                <wp:cNvGraphicFramePr/>
                <a:graphic xmlns:a="http://schemas.openxmlformats.org/drawingml/2006/main">
                  <a:graphicData uri="http://schemas.microsoft.com/office/word/2010/wordprocessingShape">
                    <wps:wsp>
                      <wps:cNvCnPr/>
                      <wps:spPr>
                        <a:xfrm flipH="1" flipV="1">
                          <a:off x="0" y="0"/>
                          <a:ext cx="5080" cy="3619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537.85pt;margin-top:68.9pt;height:28.5pt;width:0.4pt;z-index:251685888;mso-width-relative:page;mso-height-relative:page;" filled="f" stroked="t" coordsize="21600,21600" o:gfxdata="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PqwMT2AAAAA0BAAAPAAAA&#10;AAAAAAEAIAAAACIAAABkcnMvZG93bnJldi54bWxQSwECFAAUAAAACACHTuJAfTQtOBUCAAD3AwAA&#10;DgAAAAAAAAABACAAAAAnAQAAZHJzL2Uyb0RvYy54bWxQSwUGAAAAAAYABgBZAQAArgUAAAAA&#10;">
                <v:fill on="f" focussize="0,0"/>
                <v:stroke weight="1pt" color="#FF0000 [3204]" miterlimit="8" joinstyle="miter" endarrow="open"/>
                <v:imagedata o:title=""/>
                <o:lock v:ext="edit" aspectratio="f"/>
              </v:shape>
            </w:pict>
          </mc:Fallback>
        </mc:AlternateContent>
      </w:r>
      <w:r>
        <w:rPr>
          <w:sz w:val="24"/>
          <w:highlight w:val="none"/>
        </w:rPr>
        <mc:AlternateContent>
          <mc:Choice Requires="wps">
            <w:drawing>
              <wp:anchor distT="0" distB="0" distL="114300" distR="114300" simplePos="0" relativeHeight="251684864" behindDoc="0" locked="0" layoutInCell="1" allowOverlap="1">
                <wp:simplePos x="0" y="0"/>
                <wp:positionH relativeFrom="column">
                  <wp:posOffset>6591300</wp:posOffset>
                </wp:positionH>
                <wp:positionV relativeFrom="paragraph">
                  <wp:posOffset>1207135</wp:posOffset>
                </wp:positionV>
                <wp:extent cx="257175" cy="286385"/>
                <wp:effectExtent l="6350" t="6350" r="12065" b="22225"/>
                <wp:wrapNone/>
                <wp:docPr id="78" name="矩形 78"/>
                <wp:cNvGraphicFramePr/>
                <a:graphic xmlns:a="http://schemas.openxmlformats.org/drawingml/2006/main">
                  <a:graphicData uri="http://schemas.microsoft.com/office/word/2010/wordprocessingShape">
                    <wps:wsp>
                      <wps:cNvSpPr/>
                      <wps:spPr>
                        <a:xfrm rot="5400000">
                          <a:off x="0" y="0"/>
                          <a:ext cx="257175" cy="286385"/>
                        </a:xfrm>
                        <a:prstGeom prst="rect">
                          <a:avLst/>
                        </a:prstGeom>
                        <a:solidFill>
                          <a:srgbClr val="FF0000">
                            <a:alpha val="53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9pt;margin-top:95.05pt;height:22.55pt;width:20.25pt;rotation:5898240f;z-index:251684864;v-text-anchor:middle;mso-width-relative:page;mso-height-relative:page;" fillcolor="#FF0000" filled="t" stroked="t" coordsize="21600,21600" o:gfxdata="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fP+2sNoAAAANAQAADwAA&#10;AAAAAAABACAAAAAiAAAAZHJzL2Rvd25yZXYueG1sUEsBAhQAFAAAAAgAh07iQJhlbEyGAgAAJAUA&#10;AA4AAAAAAAAAAQAgAAAAKQEAAGRycy9lMm9Eb2MueG1sUEsFBgAAAAAGAAYAWQEAACEGAAAAAA==&#10;">
                <v:fill on="t" opacity="34734f" focussize="0,0"/>
                <v:stroke weight="1pt" color="#FF0000 [2404]" miterlimit="8" joinstyle="miter"/>
                <v:imagedata o:title=""/>
                <o:lock v:ext="edit" aspectratio="f"/>
              </v:rect>
            </w:pict>
          </mc:Fallback>
        </mc:AlternateContent>
      </w:r>
      <w:r>
        <w:rPr>
          <w:sz w:val="24"/>
          <w:highlight w:val="none"/>
        </w:rPr>
        <mc:AlternateContent>
          <mc:Choice Requires="wps">
            <w:drawing>
              <wp:anchor distT="0" distB="0" distL="114300" distR="114300" simplePos="0" relativeHeight="251691008" behindDoc="0" locked="0" layoutInCell="1" allowOverlap="1">
                <wp:simplePos x="0" y="0"/>
                <wp:positionH relativeFrom="column">
                  <wp:posOffset>4568825</wp:posOffset>
                </wp:positionH>
                <wp:positionV relativeFrom="paragraph">
                  <wp:posOffset>2712720</wp:posOffset>
                </wp:positionV>
                <wp:extent cx="687070" cy="279400"/>
                <wp:effectExtent l="4445" t="4445" r="13335" b="20955"/>
                <wp:wrapNone/>
                <wp:docPr id="117" name="文本框 117"/>
                <wp:cNvGraphicFramePr/>
                <a:graphic xmlns:a="http://schemas.openxmlformats.org/drawingml/2006/main">
                  <a:graphicData uri="http://schemas.microsoft.com/office/word/2010/wordprocessingShape">
                    <wps:wsp>
                      <wps:cNvSpPr txBox="1"/>
                      <wps:spPr>
                        <a:xfrm>
                          <a:off x="0" y="0"/>
                          <a:ext cx="687070" cy="279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EAE9056">
                            <w:pPr>
                              <w:jc w:val="center"/>
                              <w:rPr>
                                <w:rFonts w:hint="eastAsia" w:eastAsia="宋体"/>
                                <w:lang w:val="en-US" w:eastAsia="zh-CN"/>
                              </w:rPr>
                            </w:pPr>
                            <w:r>
                              <w:rPr>
                                <w:rFonts w:hint="eastAsia"/>
                                <w:lang w:val="en-US"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9.75pt;margin-top:213.6pt;height:22pt;width:54.1pt;z-index:251691008;mso-width-relative:page;mso-height-relative:page;" fillcolor="#FFFFFF [3201]" filled="t" stroked="t" coordsize="21600,21600" o:gfxdata="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C5jDE&#10;2AAAAAsBAAAPAAAAAAAAAAEAIAAAACIAAABkcnMvZG93bnJldi54bWxQSwECFAAUAAAACACHTuJA&#10;B3hGbFoCAAC6BAAADgAAAAAAAAABACAAAAAnAQAAZHJzL2Uyb0RvYy54bWxQSwUGAAAAAAYABgBZ&#10;AQAA8wUAAAAA&#10;">
                <v:fill on="t" focussize="0,0"/>
                <v:stroke weight="0.5pt" color="#000000 [3204]" joinstyle="round"/>
                <v:imagedata o:title=""/>
                <o:lock v:ext="edit" aspectratio="f"/>
                <v:textbox>
                  <w:txbxContent>
                    <w:p w14:paraId="0EAE9056">
                      <w:pPr>
                        <w:jc w:val="center"/>
                        <w:rPr>
                          <w:rFonts w:hint="eastAsia" w:eastAsia="宋体"/>
                          <w:lang w:val="en-US" w:eastAsia="zh-CN"/>
                        </w:rPr>
                      </w:pPr>
                      <w:r>
                        <w:rPr>
                          <w:rFonts w:hint="eastAsia"/>
                          <w:lang w:val="en-US" w:eastAsia="zh-CN"/>
                        </w:rPr>
                        <w:t>危废间</w:t>
                      </w:r>
                    </w:p>
                  </w:txbxContent>
                </v:textbox>
              </v:shape>
            </w:pict>
          </mc:Fallback>
        </mc:AlternateContent>
      </w:r>
      <w:r>
        <w:rPr>
          <w:sz w:val="24"/>
          <w:highlight w:val="none"/>
        </w:rPr>
        <mc:AlternateContent>
          <mc:Choice Requires="wps">
            <w:drawing>
              <wp:anchor distT="0" distB="0" distL="114300" distR="114300" simplePos="0" relativeHeight="251692032" behindDoc="0" locked="0" layoutInCell="1" allowOverlap="1">
                <wp:simplePos x="0" y="0"/>
                <wp:positionH relativeFrom="column">
                  <wp:posOffset>4109720</wp:posOffset>
                </wp:positionH>
                <wp:positionV relativeFrom="paragraph">
                  <wp:posOffset>2847340</wp:posOffset>
                </wp:positionV>
                <wp:extent cx="432435" cy="3810"/>
                <wp:effectExtent l="0" t="47625" r="5715" b="62865"/>
                <wp:wrapNone/>
                <wp:docPr id="118" name="直接箭头连接符 118"/>
                <wp:cNvGraphicFramePr/>
                <a:graphic xmlns:a="http://schemas.openxmlformats.org/drawingml/2006/main">
                  <a:graphicData uri="http://schemas.microsoft.com/office/word/2010/wordprocessingShape">
                    <wps:wsp>
                      <wps:cNvCnPr/>
                      <wps:spPr>
                        <a:xfrm>
                          <a:off x="0" y="0"/>
                          <a:ext cx="432435" cy="381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23.6pt;margin-top:224.2pt;height:0.3pt;width:34.05pt;z-index:251692032;mso-width-relative:page;mso-height-relative:page;" filled="f" stroked="t" coordsize="21600,21600" o:gfxdata="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R1jE82QAAAAsBAAAPAAAAAAAAAAEAIAAA&#10;ACIAAABkcnMvZG93bnJldi54bWxQSwECFAAUAAAACACHTuJA+xqOQgsCAADlAwAADgAAAAAAAAAB&#10;ACAAAAAoAQAAZHJzL2Uyb0RvYy54bWxQSwUGAAAAAAYABgBZAQAApQUAAAAA&#10;">
                <v:fill on="f" focussize="0,0"/>
                <v:stroke weight="1pt" color="#FF0000 [3204]"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3752215</wp:posOffset>
                </wp:positionH>
                <wp:positionV relativeFrom="paragraph">
                  <wp:posOffset>2682875</wp:posOffset>
                </wp:positionV>
                <wp:extent cx="329565" cy="329565"/>
                <wp:effectExtent l="13970" t="13970" r="18415" b="18415"/>
                <wp:wrapNone/>
                <wp:docPr id="116" name="矩形 116"/>
                <wp:cNvGraphicFramePr/>
                <a:graphic xmlns:a="http://schemas.openxmlformats.org/drawingml/2006/main">
                  <a:graphicData uri="http://schemas.microsoft.com/office/word/2010/wordprocessingShape">
                    <wps:wsp>
                      <wps:cNvSpPr/>
                      <wps:spPr>
                        <a:xfrm>
                          <a:off x="0" y="0"/>
                          <a:ext cx="329565" cy="329565"/>
                        </a:xfrm>
                        <a:prstGeom prst="rect">
                          <a:avLst/>
                        </a:prstGeom>
                        <a:solidFill>
                          <a:schemeClr val="accent3">
                            <a:alpha val="20000"/>
                          </a:schemeClr>
                        </a:solidFill>
                        <a:ln w="28575" cmpd="sng">
                          <a:solidFill>
                            <a:srgbClr val="FF0000"/>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5.45pt;margin-top:211.25pt;height:25.95pt;width:25.95pt;z-index:251689984;v-text-anchor:middle;mso-width-relative:page;mso-height-relative:page;" fillcolor="#A5A5A5 [3206]" filled="t" stroked="t" coordsize="21600,21600" o:gfxdata="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i8cDytsAAAALAQAADwAAAAAAAAAB&#10;ACAAAAAiAAAAZHJzL2Rvd25yZXYueG1sUEsBAhQAFAAAAAgAh07iQHZuzVd/AgAAGAUAAA4AAAAA&#10;AAAAAQAgAAAAKgEAAGRycy9lMm9Eb2MueG1sUEsFBgAAAAAGAAYAWQEAABsGAAAAAA==&#10;">
                <v:fill on="t" opacity="13107f" focussize="0,0"/>
                <v:stroke weight="2.25pt" color="#FF0000 [2404]" miterlimit="8" joinstyle="miter"/>
                <v:imagedata o:title=""/>
                <o:lock v:ext="edit" aspectratio="f"/>
              </v:rect>
            </w:pict>
          </mc:Fallback>
        </mc:AlternateContent>
      </w:r>
      <w:r>
        <w:rPr>
          <w:highlight w:val="none"/>
        </w:rPr>
        <w:drawing>
          <wp:inline distT="0" distB="0" distL="114300" distR="114300">
            <wp:extent cx="9173845" cy="5027295"/>
            <wp:effectExtent l="0" t="0" r="8255" b="1905"/>
            <wp:docPr id="111" name="图片 3" descr="C:/Users/Administrator/Desktop/青鸟动物医院/图片/0_1.jpg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 descr="C:/Users/Administrator/Desktop/青鸟动物医院/图片/0_1.jpg0_1"/>
                    <pic:cNvPicPr>
                      <a:picLocks noChangeAspect="1"/>
                    </pic:cNvPicPr>
                  </pic:nvPicPr>
                  <pic:blipFill>
                    <a:blip r:embed="rId42"/>
                    <a:srcRect t="11270" b="11270"/>
                    <a:stretch>
                      <a:fillRect/>
                    </a:stretch>
                  </pic:blipFill>
                  <pic:spPr>
                    <a:xfrm>
                      <a:off x="0" y="0"/>
                      <a:ext cx="9173845" cy="5027295"/>
                    </a:xfrm>
                    <a:prstGeom prst="rect">
                      <a:avLst/>
                    </a:prstGeom>
                    <a:noFill/>
                    <a:ln>
                      <a:noFill/>
                    </a:ln>
                  </pic:spPr>
                </pic:pic>
              </a:graphicData>
            </a:graphic>
          </wp:inline>
        </w:drawing>
      </w:r>
      <w:r>
        <w:rPr>
          <w:sz w:val="24"/>
          <w:highlight w:val="none"/>
        </w:rPr>
        <mc:AlternateContent>
          <mc:Choice Requires="wps">
            <w:drawing>
              <wp:anchor distT="0" distB="0" distL="114300" distR="114300" simplePos="0" relativeHeight="251688960" behindDoc="0" locked="0" layoutInCell="1" allowOverlap="1">
                <wp:simplePos x="0" y="0"/>
                <wp:positionH relativeFrom="column">
                  <wp:posOffset>1374775</wp:posOffset>
                </wp:positionH>
                <wp:positionV relativeFrom="paragraph">
                  <wp:posOffset>484505</wp:posOffset>
                </wp:positionV>
                <wp:extent cx="1304925" cy="298450"/>
                <wp:effectExtent l="4445" t="4445" r="5080" b="20955"/>
                <wp:wrapNone/>
                <wp:docPr id="112" name="文本框 112"/>
                <wp:cNvGraphicFramePr/>
                <a:graphic xmlns:a="http://schemas.openxmlformats.org/drawingml/2006/main">
                  <a:graphicData uri="http://schemas.microsoft.com/office/word/2010/wordprocessingShape">
                    <wps:wsp>
                      <wps:cNvSpPr txBox="1"/>
                      <wps:spPr>
                        <a:xfrm>
                          <a:off x="0" y="0"/>
                          <a:ext cx="1304925" cy="2984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23DF793">
                            <w:pPr>
                              <w:rPr>
                                <w:rFonts w:hint="default" w:eastAsia="宋体"/>
                                <w:lang w:val="en-US" w:eastAsia="zh-CN"/>
                              </w:rPr>
                            </w:pPr>
                            <w:r>
                              <w:rPr>
                                <w:rFonts w:hint="eastAsia"/>
                                <w:lang w:val="en-US" w:eastAsia="zh-CN"/>
                              </w:rPr>
                              <w:t>污水处理器（02）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8.25pt;margin-top:38.15pt;height:23.5pt;width:102.75pt;z-index:251688960;mso-width-relative:page;mso-height-relative:page;" fillcolor="#FFFFFF [3201]" filled="t" stroked="t" coordsize="21600,21600" o:gfxdata="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Ekjsr1QAA&#10;AAoBAAAPAAAAAAAAAAEAIAAAACIAAABkcnMvZG93bnJldi54bWxQSwECFAAUAAAACACHTuJAT7Rf&#10;N1oCAAC7BAAADgAAAAAAAAABACAAAAAkAQAAZHJzL2Uyb0RvYy54bWxQSwUGAAAAAAYABgBZAQAA&#10;8AUAAAAA&#10;">
                <v:fill on="t" focussize="0,0"/>
                <v:stroke weight="0.5pt" color="#000000 [3204]" joinstyle="round"/>
                <v:imagedata o:title=""/>
                <o:lock v:ext="edit" aspectratio="f"/>
                <v:textbox>
                  <w:txbxContent>
                    <w:p w14:paraId="123DF793">
                      <w:pPr>
                        <w:rPr>
                          <w:rFonts w:hint="default" w:eastAsia="宋体"/>
                          <w:lang w:val="en-US" w:eastAsia="zh-CN"/>
                        </w:rPr>
                      </w:pPr>
                      <w:r>
                        <w:rPr>
                          <w:rFonts w:hint="eastAsia"/>
                          <w:lang w:val="en-US" w:eastAsia="zh-CN"/>
                        </w:rPr>
                        <w:t>污水处理器（02）</w:t>
                      </w:r>
                    </w:p>
                  </w:txbxContent>
                </v:textbox>
              </v:shape>
            </w:pict>
          </mc:Fallback>
        </mc:AlternateContent>
      </w:r>
      <w:r>
        <w:rPr>
          <w:sz w:val="24"/>
          <w:highlight w:val="none"/>
        </w:rPr>
        <mc:AlternateContent>
          <mc:Choice Requires="wps">
            <w:drawing>
              <wp:anchor distT="0" distB="0" distL="114300" distR="114300" simplePos="0" relativeHeight="251687936" behindDoc="0" locked="0" layoutInCell="1" allowOverlap="1">
                <wp:simplePos x="0" y="0"/>
                <wp:positionH relativeFrom="column">
                  <wp:posOffset>2023110</wp:posOffset>
                </wp:positionH>
                <wp:positionV relativeFrom="paragraph">
                  <wp:posOffset>782955</wp:posOffset>
                </wp:positionV>
                <wp:extent cx="4445" cy="583565"/>
                <wp:effectExtent l="46990" t="0" r="62865" b="6985"/>
                <wp:wrapNone/>
                <wp:docPr id="107" name="直接箭头连接符 107"/>
                <wp:cNvGraphicFramePr/>
                <a:graphic xmlns:a="http://schemas.openxmlformats.org/drawingml/2006/main">
                  <a:graphicData uri="http://schemas.microsoft.com/office/word/2010/wordprocessingShape">
                    <wps:wsp>
                      <wps:cNvCnPr>
                        <a:stCxn id="106" idx="1"/>
                        <a:endCxn id="112" idx="2"/>
                      </wps:cNvCnPr>
                      <wps:spPr>
                        <a:xfrm flipV="1">
                          <a:off x="0" y="0"/>
                          <a:ext cx="4445" cy="58356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59.3pt;margin-top:61.65pt;height:45.95pt;width:0.35pt;z-index:251687936;mso-width-relative:page;mso-height-relative:page;" filled="f" stroked="t" coordsize="21600,21600" o:gfxdata="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ZoKjqNgAAAALAQAADwAAAAAAAAABACAAAAAiAAAAZHJzL2Rvd25yZXYueG1sUEsBAhQA&#10;FAAAAAgAh07iQP+pSgcrAgAAMwQAAA4AAAAAAAAAAQAgAAAAJwEAAGRycy9lMm9Eb2MueG1sUEsF&#10;BgAAAAAGAAYAWQEAAMQFAAAAAA==&#10;">
                <v:fill on="f" focussize="0,0"/>
                <v:stroke weight="1pt" color="#FF0000 [3204]" miterlimit="8" joinstyle="miter" endarrow="open"/>
                <v:imagedata o:title=""/>
                <o:lock v:ext="edit" aspectratio="f"/>
              </v:shape>
            </w:pict>
          </mc:Fallback>
        </mc:AlternateContent>
      </w:r>
      <w:r>
        <w:rPr>
          <w:sz w:val="24"/>
          <w:highlight w:val="none"/>
        </w:rPr>
        <mc:AlternateContent>
          <mc:Choice Requires="wps">
            <w:drawing>
              <wp:anchor distT="0" distB="0" distL="114300" distR="114300" simplePos="0" relativeHeight="251686912" behindDoc="0" locked="0" layoutInCell="1" allowOverlap="1">
                <wp:simplePos x="0" y="0"/>
                <wp:positionH relativeFrom="column">
                  <wp:posOffset>1922780</wp:posOffset>
                </wp:positionH>
                <wp:positionV relativeFrom="paragraph">
                  <wp:posOffset>1291590</wp:posOffset>
                </wp:positionV>
                <wp:extent cx="200025" cy="349250"/>
                <wp:effectExtent l="6350" t="6985" r="6350" b="21590"/>
                <wp:wrapNone/>
                <wp:docPr id="106" name="矩形 106"/>
                <wp:cNvGraphicFramePr/>
                <a:graphic xmlns:a="http://schemas.openxmlformats.org/drawingml/2006/main">
                  <a:graphicData uri="http://schemas.microsoft.com/office/word/2010/wordprocessingShape">
                    <wps:wsp>
                      <wps:cNvSpPr/>
                      <wps:spPr>
                        <a:xfrm rot="5400000">
                          <a:off x="0" y="0"/>
                          <a:ext cx="200025" cy="349250"/>
                        </a:xfrm>
                        <a:prstGeom prst="rect">
                          <a:avLst/>
                        </a:prstGeom>
                        <a:solidFill>
                          <a:srgbClr val="FF0000">
                            <a:alpha val="53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1.4pt;margin-top:101.7pt;height:27.5pt;width:15.75pt;rotation:5898240f;z-index:251686912;v-text-anchor:middle;mso-width-relative:page;mso-height-relative:page;" fillcolor="#FF0000" filled="t" stroked="t" coordsize="21600,21600" o:gfxdata="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OiOyDPZAAAACwEAAA8AAAAA&#10;AAAAAQAgAAAAIgAAAGRycy9kb3ducmV2LnhtbFBLAQIUABQAAAAIAIdO4kAtPmuZhQIAACYFAAAO&#10;AAAAAAAAAAEAIAAAACgBAABkcnMvZTJvRG9jLnhtbFBLBQYAAAAABgAGAFkBAAAfBgAAAAA=&#10;">
                <v:fill on="t" opacity="34734f" focussize="0,0"/>
                <v:stroke weight="1pt" color="#FF0000 [2404]" miterlimit="8" joinstyle="miter"/>
                <v:imagedata o:title=""/>
                <o:lock v:ext="edit" aspectratio="f"/>
              </v:rect>
            </w:pict>
          </mc:Fallback>
        </mc:AlternateContent>
      </w:r>
      <w:r>
        <w:rPr>
          <w:sz w:val="24"/>
          <w:highlight w:val="none"/>
        </w:rPr>
        <mc:AlternateContent>
          <mc:Choice Requires="wps">
            <w:drawing>
              <wp:anchor distT="0" distB="0" distL="114300" distR="114300" simplePos="0" relativeHeight="251673600" behindDoc="0" locked="0" layoutInCell="1" allowOverlap="1">
                <wp:simplePos x="0" y="0"/>
                <wp:positionH relativeFrom="column">
                  <wp:posOffset>63500</wp:posOffset>
                </wp:positionH>
                <wp:positionV relativeFrom="paragraph">
                  <wp:posOffset>106045</wp:posOffset>
                </wp:positionV>
                <wp:extent cx="742950" cy="1200150"/>
                <wp:effectExtent l="0" t="0" r="0" b="0"/>
                <wp:wrapNone/>
                <wp:docPr id="22" name="文本框 22"/>
                <wp:cNvGraphicFramePr/>
                <a:graphic xmlns:a="http://schemas.openxmlformats.org/drawingml/2006/main">
                  <a:graphicData uri="http://schemas.microsoft.com/office/word/2010/wordprocessingShape">
                    <wps:wsp>
                      <wps:cNvSpPr txBox="1"/>
                      <wps:spPr>
                        <a:xfrm>
                          <a:off x="1530985" y="829310"/>
                          <a:ext cx="742950" cy="12001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17469D3">
                            <w:r>
                              <w:rPr>
                                <w:rFonts w:hint="eastAsia" w:eastAsia="Times New Roman"/>
                                <w:color w:val="FFFFFF" w:themeColor="background1"/>
                                <w14:textFill>
                                  <w14:solidFill>
                                    <w14:schemeClr w14:val="bg1"/>
                                  </w14:solidFill>
                                </w14:textFill>
                              </w:rPr>
                              <w:drawing>
                                <wp:inline distT="0" distB="0" distL="0" distR="0">
                                  <wp:extent cx="580390" cy="826135"/>
                                  <wp:effectExtent l="0" t="0" r="10160" b="12065"/>
                                  <wp:docPr id="23" name="图片 23"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E:\环评资料\标准要求\风玫瑰图\福清风玫瑰图.png福清风玫瑰图"/>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80390" cy="8261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pt;margin-top:8.35pt;height:94.5pt;width:58.5pt;z-index:251673600;mso-width-relative:page;mso-height-relative:page;" fillcolor="#FFFFFF [3201]" filled="t" stroked="f" coordsize="21600,21600" o:gfxdata="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BVQNIPUAAAA&#10;CQEAAA8AAAAAAAAAAQAgAAAAIgAAAGRycy9kb3ducmV2LnhtbFBLAQIUABQAAAAIAIdO4kD3LzhO&#10;WgIAAJwEAAAOAAAAAAAAAAEAIAAAACMBAABkcnMvZTJvRG9jLnhtbFBLBQYAAAAABgAGAFkBAADv&#10;BQAAAAA=&#10;">
                <v:fill on="t" focussize="0,0"/>
                <v:stroke on="f" weight="0.5pt"/>
                <v:imagedata o:title=""/>
                <o:lock v:ext="edit" aspectratio="f"/>
                <v:textbox>
                  <w:txbxContent>
                    <w:p w14:paraId="617469D3">
                      <w:r>
                        <w:rPr>
                          <w:rFonts w:hint="eastAsia" w:eastAsia="Times New Roman"/>
                          <w:color w:val="FFFFFF" w:themeColor="background1"/>
                          <w14:textFill>
                            <w14:solidFill>
                              <w14:schemeClr w14:val="bg1"/>
                            </w14:solidFill>
                          </w14:textFill>
                        </w:rPr>
                        <w:drawing>
                          <wp:inline distT="0" distB="0" distL="0" distR="0">
                            <wp:extent cx="580390" cy="826135"/>
                            <wp:effectExtent l="0" t="0" r="10160" b="12065"/>
                            <wp:docPr id="23" name="图片 23"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E:\环评资料\标准要求\风玫瑰图\福清风玫瑰图.png福清风玫瑰图"/>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80390" cy="826135"/>
                                    </a:xfrm>
                                    <a:prstGeom prst="rect">
                                      <a:avLst/>
                                    </a:prstGeom>
                                    <a:noFill/>
                                    <a:ln>
                                      <a:noFill/>
                                    </a:ln>
                                  </pic:spPr>
                                </pic:pic>
                              </a:graphicData>
                            </a:graphic>
                          </wp:inline>
                        </w:drawing>
                      </w:r>
                    </w:p>
                  </w:txbxContent>
                </v:textbox>
              </v:shape>
            </w:pict>
          </mc:Fallback>
        </mc:AlternateContent>
      </w:r>
    </w:p>
    <w:p w14:paraId="3388DCD0">
      <w:pPr>
        <w:pStyle w:val="2"/>
        <w:numPr>
          <w:ilvl w:val="0"/>
          <w:numId w:val="0"/>
        </w:numPr>
        <w:adjustRightInd/>
        <w:snapToGrid/>
        <w:spacing w:line="240" w:lineRule="auto"/>
        <w:rPr>
          <w:rFonts w:hint="default" w:eastAsia="宋体"/>
          <w:color w:val="auto"/>
          <w:sz w:val="24"/>
          <w:szCs w:val="24"/>
          <w:highlight w:val="none"/>
          <w:lang w:val="en-US" w:eastAsia="zh-CN"/>
        </w:rPr>
      </w:pPr>
      <w:bookmarkStart w:id="223" w:name="_Toc133251572"/>
      <w:bookmarkStart w:id="224" w:name="_Toc18424"/>
      <w:bookmarkStart w:id="225" w:name="_Toc7610"/>
      <w:bookmarkStart w:id="226" w:name="_Toc12251"/>
      <w:r>
        <w:rPr>
          <w:color w:val="auto"/>
          <w:sz w:val="24"/>
          <w:szCs w:val="24"/>
          <w:highlight w:val="none"/>
        </w:rPr>
        <w:t>附图</w:t>
      </w:r>
      <w:r>
        <w:rPr>
          <w:rFonts w:hint="eastAsia"/>
          <w:color w:val="auto"/>
          <w:sz w:val="24"/>
          <w:szCs w:val="24"/>
          <w:highlight w:val="none"/>
          <w:lang w:val="en-US" w:eastAsia="zh-CN"/>
        </w:rPr>
        <w:t xml:space="preserve">5-1 </w:t>
      </w:r>
      <w:r>
        <w:rPr>
          <w:color w:val="auto"/>
          <w:sz w:val="24"/>
          <w:szCs w:val="24"/>
          <w:highlight w:val="none"/>
        </w:rPr>
        <w:t>平面布置图</w:t>
      </w:r>
      <w:bookmarkEnd w:id="223"/>
      <w:bookmarkEnd w:id="224"/>
      <w:bookmarkEnd w:id="225"/>
      <w:bookmarkEnd w:id="226"/>
      <w:r>
        <w:rPr>
          <w:rFonts w:hint="eastAsia"/>
          <w:color w:val="auto"/>
          <w:sz w:val="24"/>
          <w:szCs w:val="24"/>
          <w:highlight w:val="none"/>
          <w:lang w:eastAsia="zh-CN"/>
        </w:rPr>
        <w:t>（</w:t>
      </w:r>
      <w:r>
        <w:rPr>
          <w:rFonts w:hint="eastAsia"/>
          <w:color w:val="auto"/>
          <w:sz w:val="24"/>
          <w:szCs w:val="24"/>
          <w:highlight w:val="none"/>
          <w:lang w:val="en-US" w:eastAsia="zh-CN"/>
        </w:rPr>
        <w:t>一层）</w:t>
      </w:r>
    </w:p>
    <w:p w14:paraId="1AF8B2AD">
      <w:pPr>
        <w:rPr>
          <w:color w:val="auto"/>
          <w:sz w:val="24"/>
          <w:szCs w:val="24"/>
          <w:highlight w:val="none"/>
        </w:rPr>
      </w:pPr>
    </w:p>
    <w:p w14:paraId="23D213CE">
      <w:pPr>
        <w:pStyle w:val="20"/>
        <w:rPr>
          <w:highlight w:val="none"/>
        </w:rPr>
      </w:pPr>
      <w:r>
        <w:rPr>
          <w:sz w:val="24"/>
          <w:highlight w:val="none"/>
        </w:rPr>
        <mc:AlternateContent>
          <mc:Choice Requires="wps">
            <w:drawing>
              <wp:anchor distT="0" distB="0" distL="114300" distR="114300" simplePos="0" relativeHeight="251679744" behindDoc="0" locked="0" layoutInCell="1" allowOverlap="1">
                <wp:simplePos x="0" y="0"/>
                <wp:positionH relativeFrom="column">
                  <wp:posOffset>3218180</wp:posOffset>
                </wp:positionH>
                <wp:positionV relativeFrom="paragraph">
                  <wp:posOffset>549910</wp:posOffset>
                </wp:positionV>
                <wp:extent cx="1357630" cy="326390"/>
                <wp:effectExtent l="4445" t="4445" r="9525" b="12065"/>
                <wp:wrapNone/>
                <wp:docPr id="63" name="文本框 63"/>
                <wp:cNvGraphicFramePr/>
                <a:graphic xmlns:a="http://schemas.openxmlformats.org/drawingml/2006/main">
                  <a:graphicData uri="http://schemas.microsoft.com/office/word/2010/wordprocessingShape">
                    <wps:wsp>
                      <wps:cNvSpPr txBox="1"/>
                      <wps:spPr>
                        <a:xfrm>
                          <a:off x="0" y="0"/>
                          <a:ext cx="1357630" cy="3263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B3177A8">
                            <w:pPr>
                              <w:rPr>
                                <w:rFonts w:hint="default" w:eastAsia="宋体"/>
                                <w:lang w:val="en-US" w:eastAsia="zh-CN"/>
                              </w:rPr>
                            </w:pPr>
                            <w:r>
                              <w:rPr>
                                <w:rFonts w:hint="eastAsia"/>
                                <w:lang w:val="en-US" w:eastAsia="zh-CN"/>
                              </w:rPr>
                              <w:t>污水处理器（03）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4pt;margin-top:43.3pt;height:25.7pt;width:106.9pt;z-index:251679744;mso-width-relative:page;mso-height-relative:page;" fillcolor="#FFFFFF [3201]" filled="t" stroked="t" coordsize="21600,21600" o:gfxdata="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KL0P7XVAAAA&#10;CgEAAA8AAAAAAAAAAQAgAAAAIgAAAGRycy9kb3ducmV2LnhtbFBLAQIUABQAAAAIAIdO4kCqsQ3x&#10;WQIAALkEAAAOAAAAAAAAAAEAIAAAACQBAABkcnMvZTJvRG9jLnhtbFBLBQYAAAAABgAGAFkBAADv&#10;BQAAAAA=&#10;">
                <v:fill on="t" focussize="0,0"/>
                <v:stroke weight="0.5pt" color="#000000 [3204]" joinstyle="round"/>
                <v:imagedata o:title=""/>
                <o:lock v:ext="edit" aspectratio="f"/>
                <v:textbox>
                  <w:txbxContent>
                    <w:p w14:paraId="6B3177A8">
                      <w:pPr>
                        <w:rPr>
                          <w:rFonts w:hint="default" w:eastAsia="宋体"/>
                          <w:lang w:val="en-US" w:eastAsia="zh-CN"/>
                        </w:rPr>
                      </w:pPr>
                      <w:r>
                        <w:rPr>
                          <w:rFonts w:hint="eastAsia"/>
                          <w:lang w:val="en-US" w:eastAsia="zh-CN"/>
                        </w:rPr>
                        <w:t>污水处理器（03）</w:t>
                      </w:r>
                    </w:p>
                  </w:txbxContent>
                </v:textbox>
              </v:shape>
            </w:pict>
          </mc:Fallback>
        </mc:AlternateContent>
      </w:r>
      <w:r>
        <w:rPr>
          <w:sz w:val="24"/>
          <w:highlight w:val="none"/>
        </w:rPr>
        <mc:AlternateContent>
          <mc:Choice Requires="wps">
            <w:drawing>
              <wp:anchor distT="0" distB="0" distL="114300" distR="114300" simplePos="0" relativeHeight="251677696" behindDoc="0" locked="0" layoutInCell="1" allowOverlap="1">
                <wp:simplePos x="0" y="0"/>
                <wp:positionH relativeFrom="column">
                  <wp:posOffset>3802380</wp:posOffset>
                </wp:positionH>
                <wp:positionV relativeFrom="paragraph">
                  <wp:posOffset>1359535</wp:posOffset>
                </wp:positionV>
                <wp:extent cx="196215" cy="281305"/>
                <wp:effectExtent l="6350" t="6350" r="17145" b="6985"/>
                <wp:wrapNone/>
                <wp:docPr id="61" name="矩形 61"/>
                <wp:cNvGraphicFramePr/>
                <a:graphic xmlns:a="http://schemas.openxmlformats.org/drawingml/2006/main">
                  <a:graphicData uri="http://schemas.microsoft.com/office/word/2010/wordprocessingShape">
                    <wps:wsp>
                      <wps:cNvSpPr/>
                      <wps:spPr>
                        <a:xfrm rot="5400000">
                          <a:off x="0" y="0"/>
                          <a:ext cx="196215" cy="281305"/>
                        </a:xfrm>
                        <a:prstGeom prst="rect">
                          <a:avLst/>
                        </a:prstGeom>
                        <a:solidFill>
                          <a:srgbClr val="FF0000">
                            <a:alpha val="53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9.4pt;margin-top:107.05pt;height:22.15pt;width:15.45pt;rotation:5898240f;z-index:251677696;v-text-anchor:middle;mso-width-relative:page;mso-height-relative:page;" fillcolor="#FF0000" filled="t" stroked="t" coordsize="21600,21600" o:gfxdata="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Y4ZaHaAAAACwEAAA8A&#10;AAAAAAAAAQAgAAAAIgAAAGRycy9kb3ducmV2LnhtbFBLAQIUABQAAAAIAIdO4kD+cKUWhwIAACQF&#10;AAAOAAAAAAAAAAEAIAAAACkBAABkcnMvZTJvRG9jLnhtbFBLBQYAAAAABgAGAFkBAAAiBgAAAAA=&#10;">
                <v:fill on="t" opacity="34734f" focussize="0,0"/>
                <v:stroke weight="1pt" color="#FF0000 [2404]" miterlimit="8" joinstyle="miter"/>
                <v:imagedata o:title=""/>
                <o:lock v:ext="edit" aspectratio="f"/>
              </v:rect>
            </w:pict>
          </mc:Fallback>
        </mc:AlternateContent>
      </w:r>
      <w:r>
        <w:rPr>
          <w:sz w:val="24"/>
          <w:highlight w:val="none"/>
        </w:rPr>
        <mc:AlternateContent>
          <mc:Choice Requires="wps">
            <w:drawing>
              <wp:anchor distT="0" distB="0" distL="114300" distR="114300" simplePos="0" relativeHeight="251678720" behindDoc="0" locked="0" layoutInCell="1" allowOverlap="1">
                <wp:simplePos x="0" y="0"/>
                <wp:positionH relativeFrom="column">
                  <wp:posOffset>3896995</wp:posOffset>
                </wp:positionH>
                <wp:positionV relativeFrom="paragraph">
                  <wp:posOffset>876300</wp:posOffset>
                </wp:positionV>
                <wp:extent cx="3175" cy="525780"/>
                <wp:effectExtent l="50165" t="0" r="60960" b="7620"/>
                <wp:wrapNone/>
                <wp:docPr id="62" name="直接箭头连接符 62"/>
                <wp:cNvGraphicFramePr/>
                <a:graphic xmlns:a="http://schemas.openxmlformats.org/drawingml/2006/main">
                  <a:graphicData uri="http://schemas.microsoft.com/office/word/2010/wordprocessingShape">
                    <wps:wsp>
                      <wps:cNvCnPr>
                        <a:stCxn id="61" idx="1"/>
                        <a:endCxn id="63" idx="2"/>
                      </wps:cNvCnPr>
                      <wps:spPr>
                        <a:xfrm flipH="1" flipV="1">
                          <a:off x="0" y="0"/>
                          <a:ext cx="3175" cy="52578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06.85pt;margin-top:69pt;height:41.4pt;width:0.25pt;z-index:251678720;mso-width-relative:page;mso-height-relative:page;" filled="f" stroked="t" coordsize="21600,21600" o:gfxdata="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A/xjl2AAAAAsBAAAPAAAAAAAAAAEAIAAAACIAAABkcnMvZG93bnJldi54bWxQ&#10;SwECFAAUAAAACACHTuJA35fHWjACAAA5BAAADgAAAAAAAAABACAAAAAnAQAAZHJzL2Uyb0RvYy54&#10;bWxQSwUGAAAAAAYABgBZAQAAyQUAAAAA&#10;">
                <v:fill on="f" focussize="0,0"/>
                <v:stroke weight="1pt" color="#FF0000 [3204]" miterlimit="8" joinstyle="miter" endarrow="open"/>
                <v:imagedata o:title=""/>
                <o:lock v:ext="edit" aspectratio="f"/>
              </v:shape>
            </w:pict>
          </mc:Fallback>
        </mc:AlternateContent>
      </w:r>
      <w:r>
        <w:rPr>
          <w:highlight w:val="none"/>
        </w:rPr>
        <w:drawing>
          <wp:inline distT="0" distB="0" distL="114300" distR="114300">
            <wp:extent cx="8738235" cy="4954270"/>
            <wp:effectExtent l="0" t="0" r="5715" b="17780"/>
            <wp:docPr id="115" name="图片 4" descr="C:/Users/Administrator/Desktop/青鸟动物医院/图片/二层.jpg二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 descr="C:/Users/Administrator/Desktop/青鸟动物医院/图片/二层.jpg二层"/>
                    <pic:cNvPicPr>
                      <a:picLocks noChangeAspect="1"/>
                    </pic:cNvPicPr>
                  </pic:nvPicPr>
                  <pic:blipFill>
                    <a:blip r:embed="rId43"/>
                    <a:srcRect t="9928" b="9928"/>
                    <a:stretch>
                      <a:fillRect/>
                    </a:stretch>
                  </pic:blipFill>
                  <pic:spPr>
                    <a:xfrm>
                      <a:off x="0" y="0"/>
                      <a:ext cx="8738235" cy="4954270"/>
                    </a:xfrm>
                    <a:prstGeom prst="rect">
                      <a:avLst/>
                    </a:prstGeom>
                    <a:noFill/>
                    <a:ln>
                      <a:noFill/>
                    </a:ln>
                  </pic:spPr>
                </pic:pic>
              </a:graphicData>
            </a:graphic>
          </wp:inline>
        </w:drawing>
      </w:r>
      <w:r>
        <w:rPr>
          <w:sz w:val="24"/>
          <w:highlight w:val="none"/>
        </w:rPr>
        <mc:AlternateContent>
          <mc:Choice Requires="wps">
            <w:drawing>
              <wp:anchor distT="0" distB="0" distL="114300" distR="114300" simplePos="0" relativeHeight="251681792" behindDoc="0" locked="0" layoutInCell="1" allowOverlap="1">
                <wp:simplePos x="0" y="0"/>
                <wp:positionH relativeFrom="column">
                  <wp:posOffset>4583430</wp:posOffset>
                </wp:positionH>
                <wp:positionV relativeFrom="paragraph">
                  <wp:posOffset>3662045</wp:posOffset>
                </wp:positionV>
                <wp:extent cx="572135" cy="828675"/>
                <wp:effectExtent l="0" t="0" r="0" b="0"/>
                <wp:wrapNone/>
                <wp:docPr id="9" name="文本框 9"/>
                <wp:cNvGraphicFramePr/>
                <a:graphic xmlns:a="http://schemas.openxmlformats.org/drawingml/2006/main">
                  <a:graphicData uri="http://schemas.microsoft.com/office/word/2010/wordprocessingShape">
                    <wps:wsp>
                      <wps:cNvSpPr txBox="1"/>
                      <wps:spPr>
                        <a:xfrm>
                          <a:off x="5599430" y="4550410"/>
                          <a:ext cx="572135" cy="828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6E68EF">
                            <w:r>
                              <w:drawing>
                                <wp:inline distT="0" distB="0" distL="114300" distR="114300">
                                  <wp:extent cx="283845" cy="434340"/>
                                  <wp:effectExtent l="0" t="0" r="1905" b="381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44"/>
                                          <a:stretch>
                                            <a:fillRect/>
                                          </a:stretch>
                                        </pic:blipFill>
                                        <pic:spPr>
                                          <a:xfrm>
                                            <a:off x="0" y="0"/>
                                            <a:ext cx="283845" cy="4343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0.9pt;margin-top:288.35pt;height:65.25pt;width:45.05pt;z-index:251681792;mso-width-relative:page;mso-height-relative:page;" filled="f" stroked="f" coordsize="21600,21600" o:gfxdata="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TMwa39sAAAALAQAADwAAAAAAAAAB&#10;ACAAAAAiAAAAZHJzL2Rvd25yZXYueG1sUEsBAhQAFAAAAAgAh07iQFmb0WBGAgAAcQQAAA4AAAAA&#10;AAAAAQAgAAAAKgEAAGRycy9lMm9Eb2MueG1sUEsFBgAAAAAGAAYAWQEAAOIFAAAAAA==&#10;">
                <v:fill on="f" focussize="0,0"/>
                <v:stroke on="f" weight="0.5pt"/>
                <v:imagedata o:title=""/>
                <o:lock v:ext="edit" aspectratio="f"/>
                <v:textbox>
                  <w:txbxContent>
                    <w:p w14:paraId="166E68EF">
                      <w:r>
                        <w:drawing>
                          <wp:inline distT="0" distB="0" distL="114300" distR="114300">
                            <wp:extent cx="283845" cy="434340"/>
                            <wp:effectExtent l="0" t="0" r="1905" b="381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44"/>
                                    <a:stretch>
                                      <a:fillRect/>
                                    </a:stretch>
                                  </pic:blipFill>
                                  <pic:spPr>
                                    <a:xfrm>
                                      <a:off x="0" y="0"/>
                                      <a:ext cx="283845" cy="434340"/>
                                    </a:xfrm>
                                    <a:prstGeom prst="rect">
                                      <a:avLst/>
                                    </a:prstGeom>
                                    <a:noFill/>
                                    <a:ln>
                                      <a:noFill/>
                                    </a:ln>
                                  </pic:spPr>
                                </pic:pic>
                              </a:graphicData>
                            </a:graphic>
                          </wp:inline>
                        </w:drawing>
                      </w:r>
                    </w:p>
                  </w:txbxContent>
                </v:textbox>
              </v:shape>
            </w:pict>
          </mc:Fallback>
        </mc:AlternateContent>
      </w:r>
      <w:r>
        <w:rPr>
          <w:sz w:val="24"/>
          <w:highlight w:val="none"/>
        </w:rPr>
        <mc:AlternateContent>
          <mc:Choice Requires="wps">
            <w:drawing>
              <wp:anchor distT="0" distB="0" distL="114300" distR="114300" simplePos="0" relativeHeight="251675648" behindDoc="0" locked="0" layoutInCell="1" allowOverlap="1">
                <wp:simplePos x="0" y="0"/>
                <wp:positionH relativeFrom="column">
                  <wp:posOffset>-2540</wp:posOffset>
                </wp:positionH>
                <wp:positionV relativeFrom="paragraph">
                  <wp:posOffset>111125</wp:posOffset>
                </wp:positionV>
                <wp:extent cx="819150" cy="1314450"/>
                <wp:effectExtent l="0" t="0" r="0" b="0"/>
                <wp:wrapNone/>
                <wp:docPr id="24" name="文本框 24"/>
                <wp:cNvGraphicFramePr/>
                <a:graphic xmlns:a="http://schemas.openxmlformats.org/drawingml/2006/main">
                  <a:graphicData uri="http://schemas.microsoft.com/office/word/2010/wordprocessingShape">
                    <wps:wsp>
                      <wps:cNvSpPr txBox="1"/>
                      <wps:spPr>
                        <a:xfrm>
                          <a:off x="1178560" y="1015365"/>
                          <a:ext cx="819150" cy="13144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6D3F16C">
                            <w:r>
                              <w:rPr>
                                <w:rFonts w:hint="eastAsia" w:eastAsia="Times New Roman"/>
                                <w:color w:val="FFFFFF" w:themeColor="background1"/>
                                <w14:textFill>
                                  <w14:solidFill>
                                    <w14:schemeClr w14:val="bg1"/>
                                  </w14:solidFill>
                                </w14:textFill>
                              </w:rPr>
                              <w:drawing>
                                <wp:inline distT="0" distB="0" distL="0" distR="0">
                                  <wp:extent cx="580390" cy="826135"/>
                                  <wp:effectExtent l="0" t="0" r="10160" b="12065"/>
                                  <wp:docPr id="25" name="图片 25"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E:\环评资料\标准要求\风玫瑰图\福清风玫瑰图.png福清风玫瑰图"/>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80390" cy="8261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pt;margin-top:8.75pt;height:103.5pt;width:64.5pt;z-index:251675648;mso-width-relative:page;mso-height-relative:page;" fillcolor="#FFFFFF [3201]" filled="t" stroked="f" coordsize="21600,21600" o:gfxdata="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mxtvdQAAAAI&#10;AQAADwAAAAAAAAABACAAAAAiAAAAZHJzL2Rvd25yZXYueG1sUEsBAhQAFAAAAAgAh07iQE9xDAxZ&#10;AgAAnQQAAA4AAAAAAAAAAQAgAAAAIwEAAGRycy9lMm9Eb2MueG1sUEsFBgAAAAAGAAYAWQEAAO4F&#10;AAAAAA==&#10;">
                <v:fill on="t" focussize="0,0"/>
                <v:stroke on="f" weight="0.5pt"/>
                <v:imagedata o:title=""/>
                <o:lock v:ext="edit" aspectratio="f"/>
                <v:textbox>
                  <w:txbxContent>
                    <w:p w14:paraId="76D3F16C">
                      <w:r>
                        <w:rPr>
                          <w:rFonts w:hint="eastAsia" w:eastAsia="Times New Roman"/>
                          <w:color w:val="FFFFFF" w:themeColor="background1"/>
                          <w14:textFill>
                            <w14:solidFill>
                              <w14:schemeClr w14:val="bg1"/>
                            </w14:solidFill>
                          </w14:textFill>
                        </w:rPr>
                        <w:drawing>
                          <wp:inline distT="0" distB="0" distL="0" distR="0">
                            <wp:extent cx="580390" cy="826135"/>
                            <wp:effectExtent l="0" t="0" r="10160" b="12065"/>
                            <wp:docPr id="25" name="图片 25" descr="E:\环评资料\标准要求\风玫瑰图\福清风玫瑰图.png福清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E:\环评资料\标准要求\风玫瑰图\福清风玫瑰图.png福清风玫瑰图"/>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80390" cy="826135"/>
                                    </a:xfrm>
                                    <a:prstGeom prst="rect">
                                      <a:avLst/>
                                    </a:prstGeom>
                                    <a:noFill/>
                                    <a:ln>
                                      <a:noFill/>
                                    </a:ln>
                                  </pic:spPr>
                                </pic:pic>
                              </a:graphicData>
                            </a:graphic>
                          </wp:inline>
                        </w:drawing>
                      </w:r>
                    </w:p>
                  </w:txbxContent>
                </v:textbox>
              </v:shape>
            </w:pict>
          </mc:Fallback>
        </mc:AlternateContent>
      </w:r>
    </w:p>
    <w:p w14:paraId="30AF941B">
      <w:pPr>
        <w:pStyle w:val="2"/>
        <w:numPr>
          <w:ilvl w:val="0"/>
          <w:numId w:val="0"/>
        </w:numPr>
        <w:adjustRightInd/>
        <w:snapToGrid/>
        <w:spacing w:line="240" w:lineRule="auto"/>
        <w:rPr>
          <w:color w:val="auto"/>
          <w:sz w:val="24"/>
          <w:szCs w:val="24"/>
          <w:highlight w:val="none"/>
        </w:rPr>
      </w:pPr>
      <w:r>
        <w:rPr>
          <w:color w:val="auto"/>
          <w:sz w:val="24"/>
          <w:szCs w:val="24"/>
          <w:highlight w:val="none"/>
        </w:rPr>
        <w:t>附图</w:t>
      </w:r>
      <w:r>
        <w:rPr>
          <w:rFonts w:hint="eastAsia"/>
          <w:color w:val="auto"/>
          <w:sz w:val="24"/>
          <w:szCs w:val="24"/>
          <w:highlight w:val="none"/>
          <w:lang w:val="en-US" w:eastAsia="zh-CN"/>
        </w:rPr>
        <w:t xml:space="preserve">5-2 </w:t>
      </w:r>
      <w:r>
        <w:rPr>
          <w:color w:val="auto"/>
          <w:sz w:val="24"/>
          <w:szCs w:val="24"/>
          <w:highlight w:val="none"/>
        </w:rPr>
        <w:t>平面布置图</w:t>
      </w:r>
      <w:r>
        <w:rPr>
          <w:rFonts w:hint="eastAsia"/>
          <w:color w:val="auto"/>
          <w:sz w:val="24"/>
          <w:szCs w:val="24"/>
          <w:highlight w:val="none"/>
          <w:lang w:eastAsia="zh-CN"/>
        </w:rPr>
        <w:t>（</w:t>
      </w:r>
      <w:r>
        <w:rPr>
          <w:rFonts w:hint="eastAsia"/>
          <w:color w:val="auto"/>
          <w:sz w:val="24"/>
          <w:szCs w:val="24"/>
          <w:highlight w:val="none"/>
          <w:lang w:val="en-US" w:eastAsia="zh-CN"/>
        </w:rPr>
        <w:t>二层）</w:t>
      </w:r>
    </w:p>
    <w:p w14:paraId="6B62D151">
      <w:pPr>
        <w:pStyle w:val="20"/>
        <w:rPr>
          <w:color w:val="auto"/>
          <w:sz w:val="24"/>
          <w:szCs w:val="24"/>
          <w:highlight w:val="none"/>
        </w:rPr>
      </w:pPr>
    </w:p>
    <w:p w14:paraId="37228BCB">
      <w:pPr>
        <w:pStyle w:val="12"/>
        <w:jc w:val="center"/>
        <w:rPr>
          <w:rFonts w:hint="eastAsia" w:eastAsia="宋体"/>
          <w:color w:val="auto"/>
          <w:highlight w:val="none"/>
          <w:lang w:eastAsia="zh-CN"/>
        </w:rPr>
      </w:pPr>
      <w:r>
        <w:rPr>
          <w:sz w:val="24"/>
          <w:highlight w:val="none"/>
        </w:rPr>
        <mc:AlternateContent>
          <mc:Choice Requires="wps">
            <w:drawing>
              <wp:anchor distT="0" distB="0" distL="114300" distR="114300" simplePos="0" relativeHeight="251672576" behindDoc="0" locked="0" layoutInCell="1" allowOverlap="1">
                <wp:simplePos x="0" y="0"/>
                <wp:positionH relativeFrom="column">
                  <wp:posOffset>4197350</wp:posOffset>
                </wp:positionH>
                <wp:positionV relativeFrom="paragraph">
                  <wp:posOffset>2719705</wp:posOffset>
                </wp:positionV>
                <wp:extent cx="4178935" cy="2534920"/>
                <wp:effectExtent l="0" t="0" r="0" b="0"/>
                <wp:wrapNone/>
                <wp:docPr id="20" name="文本框 20"/>
                <wp:cNvGraphicFramePr/>
                <a:graphic xmlns:a="http://schemas.openxmlformats.org/drawingml/2006/main">
                  <a:graphicData uri="http://schemas.microsoft.com/office/word/2010/wordprocessingShape">
                    <wps:wsp>
                      <wps:cNvSpPr txBox="1"/>
                      <wps:spPr>
                        <a:xfrm>
                          <a:off x="8011795" y="3369310"/>
                          <a:ext cx="4178935" cy="25349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87E352">
                            <w:r>
                              <w:drawing>
                                <wp:inline distT="0" distB="0" distL="114300" distR="114300">
                                  <wp:extent cx="3375025" cy="2113915"/>
                                  <wp:effectExtent l="0" t="0" r="15875" b="635"/>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pic:cNvPicPr>
                                        </pic:nvPicPr>
                                        <pic:blipFill>
                                          <a:blip r:embed="rId45"/>
                                          <a:stretch>
                                            <a:fillRect/>
                                          </a:stretch>
                                        </pic:blipFill>
                                        <pic:spPr>
                                          <a:xfrm>
                                            <a:off x="0" y="0"/>
                                            <a:ext cx="3375025" cy="21139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0.5pt;margin-top:214.15pt;height:199.6pt;width:329.05pt;z-index:251672576;mso-width-relative:page;mso-height-relative:page;" filled="f" stroked="f" coordsize="21600,21600" o:gfxdata="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P1z1tvdAAAADAEAAA8A&#10;AAAAAAAAAQAgAAAAIgAAAGRycy9kb3ducmV2LnhtbFBLAQIUABQAAAAIAIdO4kDQKMbRSwIAAHUE&#10;AAAOAAAAAAAAAAEAIAAAACwBAABkcnMvZTJvRG9jLnhtbFBLBQYAAAAABgAGAFkBAADpBQAAAAA=&#10;">
                <v:fill on="f" focussize="0,0"/>
                <v:stroke on="f" weight="0.5pt"/>
                <v:imagedata o:title=""/>
                <o:lock v:ext="edit" aspectratio="f"/>
                <v:textbox>
                  <w:txbxContent>
                    <w:p w14:paraId="6987E352">
                      <w:r>
                        <w:drawing>
                          <wp:inline distT="0" distB="0" distL="114300" distR="114300">
                            <wp:extent cx="3375025" cy="2113915"/>
                            <wp:effectExtent l="0" t="0" r="15875" b="635"/>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pic:cNvPicPr>
                                  </pic:nvPicPr>
                                  <pic:blipFill>
                                    <a:blip r:embed="rId45"/>
                                    <a:stretch>
                                      <a:fillRect/>
                                    </a:stretch>
                                  </pic:blipFill>
                                  <pic:spPr>
                                    <a:xfrm>
                                      <a:off x="0" y="0"/>
                                      <a:ext cx="3375025" cy="2113915"/>
                                    </a:xfrm>
                                    <a:prstGeom prst="rect">
                                      <a:avLst/>
                                    </a:prstGeom>
                                    <a:noFill/>
                                    <a:ln>
                                      <a:noFill/>
                                    </a:ln>
                                  </pic:spPr>
                                </pic:pic>
                              </a:graphicData>
                            </a:graphic>
                          </wp:inline>
                        </w:drawing>
                      </w:r>
                    </w:p>
                  </w:txbxContent>
                </v:textbox>
              </v:shape>
            </w:pict>
          </mc:Fallback>
        </mc:AlternateContent>
      </w:r>
      <w:r>
        <w:rPr>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3555365</wp:posOffset>
                </wp:positionH>
                <wp:positionV relativeFrom="paragraph">
                  <wp:posOffset>2233930</wp:posOffset>
                </wp:positionV>
                <wp:extent cx="76200" cy="76200"/>
                <wp:effectExtent l="19050" t="21590" r="19050" b="35560"/>
                <wp:wrapNone/>
                <wp:docPr id="37" name="五角星 37"/>
                <wp:cNvGraphicFramePr/>
                <a:graphic xmlns:a="http://schemas.openxmlformats.org/drawingml/2006/main">
                  <a:graphicData uri="http://schemas.microsoft.com/office/word/2010/wordprocessingShape">
                    <wps:wsp>
                      <wps:cNvSpPr/>
                      <wps:spPr>
                        <a:xfrm>
                          <a:off x="4817110" y="5428615"/>
                          <a:ext cx="76200" cy="76200"/>
                        </a:xfrm>
                        <a:prstGeom prst="star5">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79.95pt;margin-top:175.9pt;height:6pt;width:6pt;z-index:251669504;v-text-anchor:middle;mso-width-relative:page;mso-height-relative:page;" fillcolor="#000000 [3213]" filled="t" stroked="t" coordsize="76200,76200" o:gfxdata="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xSUti1QAAAAsBAAAPAAAAAAAAAAEAIAAAACIAAABkcnMv&#10;ZG93bnJldi54bWxQSwECFAAUAAAACACHTuJAueeVY3gCAAADBQAADgAAAAAAAAABACAAAAAkAQAA&#10;ZHJzL2Uyb0RvYy54bWxQSwUGAAAAAAYABgBZAQAADgYAAAAA&#10;" path="m0,29105l29105,29105,38100,0,47094,29105,76199,29105,52652,47093,61647,76199,38100,58211,14552,76199,23547,47093xe">
                <v:path o:connectlocs="38100,0;0,29105;14552,76199;61647,76199;76199,29105" o:connectangles="247,164,82,82,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668480" behindDoc="0" locked="0" layoutInCell="1" allowOverlap="1">
                <wp:simplePos x="0" y="0"/>
                <wp:positionH relativeFrom="column">
                  <wp:posOffset>4196080</wp:posOffset>
                </wp:positionH>
                <wp:positionV relativeFrom="paragraph">
                  <wp:posOffset>1412240</wp:posOffset>
                </wp:positionV>
                <wp:extent cx="1042035" cy="489585"/>
                <wp:effectExtent l="612775" t="6350" r="21590" b="399415"/>
                <wp:wrapNone/>
                <wp:docPr id="36" name="矩形标注 36"/>
                <wp:cNvGraphicFramePr/>
                <a:graphic xmlns:a="http://schemas.openxmlformats.org/drawingml/2006/main">
                  <a:graphicData uri="http://schemas.microsoft.com/office/word/2010/wordprocessingShape">
                    <wps:wsp>
                      <wps:cNvSpPr/>
                      <wps:spPr>
                        <a:xfrm>
                          <a:off x="5224145" y="4965700"/>
                          <a:ext cx="1042035" cy="489585"/>
                        </a:xfrm>
                        <a:prstGeom prst="wedgeRectCallout">
                          <a:avLst>
                            <a:gd name="adj1" fmla="val -104222"/>
                            <a:gd name="adj2" fmla="val 125694"/>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163A452C">
                            <w:pPr>
                              <w:jc w:val="center"/>
                              <w:rPr>
                                <w:rFonts w:hint="eastAsia" w:ascii="宋体" w:hAnsi="宋体" w:eastAsia="宋体" w:cs="宋体"/>
                                <w:b/>
                                <w:bCs/>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宋体" w:hAnsi="宋体" w:eastAsia="宋体" w:cs="宋体"/>
                                <w:b/>
                                <w:bCs/>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0.4pt;margin-top:111.2pt;height:38.55pt;width:82.05pt;z-index:251668480;v-text-anchor:middle;mso-width-relative:page;mso-height-relative:page;" fillcolor="#FFFFFF [3212]" filled="t" stroked="t" coordsize="21600,21600" o:gfxdata="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CC&#10;+kgU2QAAAAsBAAAPAAAAAAAAAAEAIAAAACIAAABkcnMvZG93bnJldi54bWxQSwECFAAUAAAACACH&#10;TuJA5EGxEM4CAACVBQAADgAAAAAAAAABACAAAAAoAQAAZHJzL2Uyb0RvYy54bWxQSwUGAAAAAAYA&#10;BgBZAQAAaAYAAAAA&#10;" adj="-11712,37950">
                <v:fill on="t" focussize="0,0"/>
                <v:stroke weight="1pt" color="#2F5597 [2404]" miterlimit="8" joinstyle="miter"/>
                <v:imagedata o:title=""/>
                <o:lock v:ext="edit" aspectratio="f"/>
                <v:textbox>
                  <w:txbxContent>
                    <w:p w14:paraId="163A452C">
                      <w:pPr>
                        <w:jc w:val="center"/>
                        <w:rPr>
                          <w:rFonts w:hint="eastAsia" w:ascii="宋体" w:hAnsi="宋体" w:eastAsia="宋体" w:cs="宋体"/>
                          <w:b/>
                          <w:bCs/>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宋体" w:hAnsi="宋体" w:eastAsia="宋体" w:cs="宋体"/>
                          <w:b/>
                          <w:bCs/>
                          <w:color w:val="000000" w:themeColor="text1"/>
                          <w:sz w:val="28"/>
                          <w:szCs w:val="2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v:textbox>
              </v:shape>
            </w:pict>
          </mc:Fallback>
        </mc:AlternateContent>
      </w:r>
      <w:r>
        <w:rPr>
          <w:rFonts w:hint="eastAsia" w:eastAsia="宋体"/>
          <w:color w:val="auto"/>
          <w:highlight w:val="none"/>
          <w:lang w:eastAsia="zh-CN"/>
        </w:rPr>
        <w:drawing>
          <wp:inline distT="0" distB="0" distL="114300" distR="114300">
            <wp:extent cx="7390765" cy="5354955"/>
            <wp:effectExtent l="0" t="0" r="635" b="17145"/>
            <wp:docPr id="34" name="图片 34" descr="下载"/>
            <wp:cNvGraphicFramePr/>
            <a:graphic xmlns:a="http://schemas.openxmlformats.org/drawingml/2006/main">
              <a:graphicData uri="http://schemas.openxmlformats.org/drawingml/2006/picture">
                <pic:pic xmlns:pic="http://schemas.openxmlformats.org/drawingml/2006/picture">
                  <pic:nvPicPr>
                    <pic:cNvPr id="34" name="图片 34" descr="下载"/>
                    <pic:cNvPicPr/>
                  </pic:nvPicPr>
                  <pic:blipFill>
                    <a:blip r:embed="rId46"/>
                    <a:stretch>
                      <a:fillRect/>
                    </a:stretch>
                  </pic:blipFill>
                  <pic:spPr>
                    <a:xfrm>
                      <a:off x="0" y="0"/>
                      <a:ext cx="7390765" cy="5354955"/>
                    </a:xfrm>
                    <a:prstGeom prst="rect">
                      <a:avLst/>
                    </a:prstGeom>
                  </pic:spPr>
                </pic:pic>
              </a:graphicData>
            </a:graphic>
          </wp:inline>
        </w:drawing>
      </w:r>
    </w:p>
    <w:p w14:paraId="3887A550">
      <w:pPr>
        <w:rPr>
          <w:rFonts w:hint="eastAsia" w:eastAsia="宋体"/>
          <w:color w:val="auto"/>
          <w:highlight w:val="none"/>
          <w:lang w:eastAsia="zh-CN"/>
        </w:rPr>
      </w:pPr>
    </w:p>
    <w:p w14:paraId="6B3A10D9">
      <w:pPr>
        <w:pStyle w:val="20"/>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rPr>
        <w:t>附图</w:t>
      </w:r>
      <w:r>
        <w:rPr>
          <w:rFonts w:hint="eastAsia"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val="en-US" w:eastAsia="zh-CN"/>
        </w:rPr>
        <w:t xml:space="preserve"> 福州市声功能环境区划图</w:t>
      </w:r>
    </w:p>
    <w:p w14:paraId="74D3E072">
      <w:pPr>
        <w:pStyle w:val="20"/>
        <w:jc w:val="center"/>
        <w:rPr>
          <w:rFonts w:hint="default"/>
          <w:color w:val="auto"/>
          <w:highlight w:val="none"/>
          <w:lang w:val="en-US" w:eastAsia="zh-CN"/>
        </w:rPr>
        <w:sectPr>
          <w:pgSz w:w="16838" w:h="11906" w:orient="landscape"/>
          <w:pgMar w:top="1134" w:right="1440" w:bottom="1134" w:left="1440" w:header="851" w:footer="992" w:gutter="0"/>
          <w:pgBorders>
            <w:top w:val="none" w:sz="0" w:space="0"/>
            <w:left w:val="none" w:sz="0" w:space="0"/>
            <w:bottom w:val="none" w:sz="0" w:space="0"/>
            <w:right w:val="none" w:sz="0" w:space="0"/>
          </w:pgBorders>
          <w:pgNumType w:fmt="decimal"/>
          <w:cols w:space="720" w:num="1"/>
          <w:docGrid w:type="lines" w:linePitch="332" w:charSpace="0"/>
        </w:sectPr>
      </w:pPr>
    </w:p>
    <w:p w14:paraId="1060F798">
      <w:pPr>
        <w:outlineLvl w:val="0"/>
        <w:rPr>
          <w:b/>
          <w:color w:val="auto"/>
          <w:highlight w:val="none"/>
        </w:rPr>
      </w:pPr>
      <w:r>
        <w:rPr>
          <w:b/>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11435715</wp:posOffset>
                </wp:positionH>
                <wp:positionV relativeFrom="paragraph">
                  <wp:posOffset>7400290</wp:posOffset>
                </wp:positionV>
                <wp:extent cx="881380" cy="250190"/>
                <wp:effectExtent l="9525" t="9525" r="23495" b="26035"/>
                <wp:wrapNone/>
                <wp:docPr id="45" name="矩形 33"/>
                <wp:cNvGraphicFramePr/>
                <a:graphic xmlns:a="http://schemas.openxmlformats.org/drawingml/2006/main">
                  <a:graphicData uri="http://schemas.microsoft.com/office/word/2010/wordprocessingShape">
                    <wps:wsp>
                      <wps:cNvSpPr>
                        <a:spLocks noChangeArrowheads="1"/>
                      </wps:cNvSpPr>
                      <wps:spPr bwMode="auto">
                        <a:xfrm>
                          <a:off x="0" y="0"/>
                          <a:ext cx="881380" cy="250190"/>
                        </a:xfrm>
                        <a:prstGeom prst="rect">
                          <a:avLst/>
                        </a:prstGeom>
                        <a:noFill/>
                        <a:ln w="19050">
                          <a:solidFill>
                            <a:srgbClr val="FF0000"/>
                          </a:solidFill>
                          <a:miter lim="800000"/>
                        </a:ln>
                        <a:effectLst/>
                      </wps:spPr>
                      <wps:bodyPr rot="0" vert="horz" wrap="square" lIns="91440" tIns="45720" rIns="91440" bIns="45720" anchor="t" anchorCtr="0" upright="1">
                        <a:noAutofit/>
                      </wps:bodyPr>
                    </wps:wsp>
                  </a:graphicData>
                </a:graphic>
              </wp:anchor>
            </w:drawing>
          </mc:Choice>
          <mc:Fallback>
            <w:pict>
              <v:rect id="矩形 33" o:spid="_x0000_s1026" o:spt="1" style="position:absolute;left:0pt;margin-left:900.45pt;margin-top:582.7pt;height:19.7pt;width:69.4pt;z-index:251665408;mso-width-relative:page;mso-height-relative:page;" filled="f" stroked="t" coordsize="21600,21600" o:gfxdata="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pb9Sa3AAAAA8BAAAPAAAAAAAAAAEAIAAAACIAAABkcnMv&#10;ZG93bnJldi54bWxQSwECFAAUAAAACACHTuJA6IT6pTgCAABWBAAADgAAAAAAAAABACAAAAArAQAA&#10;ZHJzL2Uyb0RvYy54bWxQSwUGAAAAAAYABgBZAQAA1QUAAAAA&#10;">
                <v:fill on="f" focussize="0,0"/>
                <v:stroke weight="1.5pt" color="#FF0000" miterlimit="8" joinstyle="miter"/>
                <v:imagedata o:title=""/>
                <o:lock v:ext="edit" aspectratio="f"/>
              </v:rect>
            </w:pict>
          </mc:Fallback>
        </mc:AlternateContent>
      </w:r>
      <w:bookmarkStart w:id="227" w:name="_Toc8797"/>
      <w:bookmarkStart w:id="228" w:name="_Toc26785"/>
      <w:bookmarkStart w:id="229" w:name="_Toc133251573"/>
      <w:bookmarkStart w:id="230" w:name="_Toc362"/>
      <w:r>
        <w:rPr>
          <w:b/>
          <w:color w:val="auto"/>
          <w:highlight w:val="none"/>
        </w:rPr>
        <w:t>附件1 环评委托书</w:t>
      </w:r>
      <w:bookmarkEnd w:id="227"/>
      <w:bookmarkEnd w:id="228"/>
      <w:bookmarkEnd w:id="229"/>
      <w:bookmarkEnd w:id="230"/>
    </w:p>
    <w:p w14:paraId="11420A53">
      <w:pPr>
        <w:jc w:val="center"/>
        <w:rPr>
          <w:rFonts w:hint="eastAsia"/>
          <w:b/>
          <w:bCs/>
          <w:color w:val="auto"/>
          <w:sz w:val="36"/>
          <w:szCs w:val="36"/>
          <w:highlight w:val="none"/>
          <w:lang w:val="en-US" w:eastAsia="zh-CN"/>
        </w:rPr>
      </w:pPr>
    </w:p>
    <w:p w14:paraId="75D349D1">
      <w:pPr>
        <w:jc w:val="center"/>
        <w:rPr>
          <w:rFonts w:hint="eastAsia"/>
          <w:b/>
          <w:bCs/>
          <w:color w:val="auto"/>
          <w:sz w:val="36"/>
          <w:szCs w:val="36"/>
          <w:highlight w:val="none"/>
          <w:lang w:val="en-US" w:eastAsia="zh-CN"/>
        </w:rPr>
      </w:pPr>
    </w:p>
    <w:p w14:paraId="4279B361">
      <w:pPr>
        <w:jc w:val="center"/>
        <w:rPr>
          <w:rFonts w:hint="eastAsia"/>
          <w:b/>
          <w:bCs/>
          <w:color w:val="auto"/>
          <w:sz w:val="36"/>
          <w:szCs w:val="36"/>
          <w:highlight w:val="none"/>
          <w:lang w:val="en-US" w:eastAsia="zh-CN"/>
        </w:rPr>
      </w:pPr>
      <w:r>
        <w:rPr>
          <w:rFonts w:hint="eastAsia"/>
          <w:b/>
          <w:bCs/>
          <w:color w:val="auto"/>
          <w:sz w:val="36"/>
          <w:szCs w:val="36"/>
          <w:highlight w:val="none"/>
          <w:lang w:val="en-US" w:eastAsia="zh-CN"/>
        </w:rPr>
        <w:t>委托书</w:t>
      </w:r>
    </w:p>
    <w:p w14:paraId="21C1ABEC">
      <w:pPr>
        <w:pStyle w:val="60"/>
        <w:keepNext w:val="0"/>
        <w:keepLines w:val="0"/>
        <w:pageBreakBefore w:val="0"/>
        <w:widowControl w:val="0"/>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eastAsia="宋体" w:cs="Times New Roman"/>
          <w:color w:val="auto"/>
          <w:highlight w:val="none"/>
          <w:u w:val="none"/>
          <w:lang w:val="en-US" w:eastAsia="zh-CN"/>
        </w:rPr>
      </w:pPr>
      <w:r>
        <w:rPr>
          <w:rFonts w:hint="eastAsia" w:ascii="Times New Roman" w:hAnsi="Times New Roman" w:eastAsia="宋体" w:cs="Times New Roman"/>
          <w:color w:val="auto"/>
          <w:highlight w:val="none"/>
          <w:u w:val="none"/>
          <w:vertAlign w:val="baseline"/>
          <w:lang w:val="en-US" w:eastAsia="zh-CN"/>
        </w:rPr>
        <w:t>上海威正环境技术发展有限公司</w:t>
      </w:r>
      <w:r>
        <w:rPr>
          <w:rFonts w:hint="default" w:ascii="Times New Roman" w:hAnsi="Times New Roman" w:eastAsia="宋体" w:cs="Times New Roman"/>
          <w:color w:val="auto"/>
          <w:highlight w:val="none"/>
          <w:u w:val="none"/>
          <w:lang w:val="en-US" w:eastAsia="zh-CN"/>
        </w:rPr>
        <w:t>：</w:t>
      </w:r>
    </w:p>
    <w:p w14:paraId="74A83A86">
      <w:pPr>
        <w:pStyle w:val="60"/>
        <w:keepNext w:val="0"/>
        <w:keepLines w:val="0"/>
        <w:pageBreakBefore w:val="0"/>
        <w:widowControl w:val="0"/>
        <w:kinsoku/>
        <w:wordWrap/>
        <w:overflowPunct/>
        <w:topLinePunct w:val="0"/>
        <w:autoSpaceDE/>
        <w:autoSpaceDN/>
        <w:bidi w:val="0"/>
        <w:adjustRightInd/>
        <w:snapToGrid/>
        <w:spacing w:line="480" w:lineRule="auto"/>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根据《中华人民共和国环境影响评价法》和《建设项目环境保护管理条例》、《建设项目环境影响评价分类目录（2021年版</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》等有关规定，我单位</w:t>
      </w:r>
      <w:r>
        <w:rPr>
          <w:rFonts w:hint="eastAsia" w:ascii="Times New Roman" w:hAnsi="Times New Roman" w:eastAsia="宋体" w:cs="Times New Roman"/>
          <w:color w:val="auto"/>
          <w:highlight w:val="none"/>
          <w:u w:val="single"/>
          <w:lang w:val="en-US" w:eastAsia="zh-CN"/>
        </w:rPr>
        <w:t xml:space="preserve">  福州市晋安区青鸟动物医院项目  </w:t>
      </w:r>
      <w:r>
        <w:rPr>
          <w:rFonts w:hint="default" w:ascii="Times New Roman" w:hAnsi="Times New Roman" w:eastAsia="宋体" w:cs="Times New Roman"/>
          <w:color w:val="auto"/>
          <w:highlight w:val="none"/>
          <w:lang w:val="en-US" w:eastAsia="zh-CN"/>
        </w:rPr>
        <w:t>，需编制环境影响评价</w:t>
      </w:r>
      <w:r>
        <w:rPr>
          <w:rFonts w:hint="default" w:ascii="Times New Roman" w:hAnsi="Times New Roman" w:eastAsia="宋体" w:cs="Times New Roman"/>
          <w:color w:val="auto"/>
          <w:highlight w:val="none"/>
          <w:u w:val="single"/>
          <w:lang w:val="en-US" w:eastAsia="zh-CN"/>
        </w:rPr>
        <w:t>报告表</w:t>
      </w:r>
      <w:r>
        <w:rPr>
          <w:rFonts w:hint="default" w:ascii="Times New Roman" w:hAnsi="Times New Roman" w:eastAsia="宋体" w:cs="Times New Roman"/>
          <w:color w:val="auto"/>
          <w:highlight w:val="none"/>
          <w:lang w:val="en-US" w:eastAsia="zh-CN"/>
        </w:rPr>
        <w:t>，现委托贵单位进行</w:t>
      </w:r>
      <w:r>
        <w:rPr>
          <w:rFonts w:hint="eastAsia"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lang w:val="en-US" w:eastAsia="zh-CN"/>
        </w:rPr>
        <w:t>环境影响评价工作。</w:t>
      </w:r>
    </w:p>
    <w:tbl>
      <w:tblPr>
        <w:tblStyle w:val="51"/>
        <w:tblW w:w="8253" w:type="dxa"/>
        <w:tblInd w:w="14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53"/>
      </w:tblGrid>
      <w:tr w14:paraId="5487A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3" w:type="dxa"/>
          </w:tcPr>
          <w:p w14:paraId="36432453">
            <w:pPr>
              <w:pStyle w:val="60"/>
              <w:keepNext w:val="0"/>
              <w:keepLines w:val="0"/>
              <w:pageBreakBefore w:val="0"/>
              <w:widowControl w:val="0"/>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委托项目：福州市晋安区青鸟动物医院项目</w:t>
            </w:r>
          </w:p>
        </w:tc>
      </w:tr>
      <w:tr w14:paraId="7904F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3" w:type="dxa"/>
          </w:tcPr>
          <w:p w14:paraId="0DF9CCCF">
            <w:pPr>
              <w:pStyle w:val="60"/>
              <w:keepNext w:val="0"/>
              <w:keepLines w:val="0"/>
              <w:pageBreakBefore w:val="0"/>
              <w:widowControl w:val="0"/>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委托单位：</w:t>
            </w:r>
            <w:r>
              <w:rPr>
                <w:rFonts w:hint="eastAsia" w:ascii="Times New Roman" w:hAnsi="Times New Roman" w:eastAsia="宋体" w:cs="Times New Roman"/>
                <w:color w:val="auto"/>
                <w:highlight w:val="none"/>
                <w:lang w:val="en-US" w:eastAsia="zh-CN"/>
              </w:rPr>
              <w:t>福州市晋安区青鸟动物医院</w:t>
            </w:r>
          </w:p>
        </w:tc>
      </w:tr>
      <w:tr w14:paraId="42599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53" w:type="dxa"/>
          </w:tcPr>
          <w:p w14:paraId="0F31E145">
            <w:pPr>
              <w:pStyle w:val="60"/>
              <w:keepNext w:val="0"/>
              <w:keepLines w:val="0"/>
              <w:pageBreakBefore w:val="0"/>
              <w:widowControl w:val="0"/>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地址：福建省福州市晋安区玉井路99号蓝光公馆8#楼1层20商业（餐饮）</w:t>
            </w:r>
          </w:p>
        </w:tc>
      </w:tr>
    </w:tbl>
    <w:p w14:paraId="222684BC">
      <w:pPr>
        <w:pStyle w:val="60"/>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highlight w:val="none"/>
          <w:lang w:val="en-US" w:eastAsia="zh-CN"/>
        </w:rPr>
      </w:pPr>
    </w:p>
    <w:p w14:paraId="13AC7E5A">
      <w:pPr>
        <w:jc w:val="center"/>
        <w:rPr>
          <w:color w:val="auto"/>
          <w:sz w:val="52"/>
          <w:szCs w:val="52"/>
          <w:highlight w:val="none"/>
        </w:rPr>
      </w:pPr>
    </w:p>
    <w:p w14:paraId="2DDE72A3">
      <w:pPr>
        <w:pStyle w:val="193"/>
        <w:ind w:firstLine="0" w:firstLineChars="0"/>
        <w:jc w:val="right"/>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福州市晋安区青鸟动物医院</w:t>
      </w:r>
    </w:p>
    <w:p w14:paraId="645F0CE7">
      <w:pPr>
        <w:pStyle w:val="193"/>
        <w:ind w:firstLine="0" w:firstLineChars="0"/>
        <w:jc w:val="right"/>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2024年 7 月 21日</w:t>
      </w:r>
    </w:p>
    <w:p w14:paraId="6381C928">
      <w:pPr>
        <w:pStyle w:val="193"/>
        <w:ind w:right="480" w:firstLine="0" w:firstLineChars="0"/>
        <w:jc w:val="left"/>
        <w:rPr>
          <w:rFonts w:ascii="Times New Roman" w:hAnsi="Times New Roman" w:eastAsia="宋体" w:cs="Times New Roman"/>
          <w:color w:val="auto"/>
          <w:highlight w:val="none"/>
        </w:rPr>
      </w:pPr>
    </w:p>
    <w:p w14:paraId="5515C264">
      <w:pPr>
        <w:pStyle w:val="193"/>
        <w:ind w:firstLine="643"/>
        <w:rPr>
          <w:rFonts w:ascii="Times New Roman" w:hAnsi="Times New Roman" w:eastAsia="宋体" w:cs="Times New Roman"/>
          <w:b/>
          <w:bCs/>
          <w:color w:val="auto"/>
          <w:sz w:val="32"/>
          <w:szCs w:val="32"/>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CBFE5A3">
      <w:pPr>
        <w:pStyle w:val="2"/>
        <w:numPr>
          <w:ilvl w:val="0"/>
          <w:numId w:val="0"/>
        </w:numPr>
        <w:adjustRightInd/>
        <w:snapToGrid/>
        <w:spacing w:line="240" w:lineRule="auto"/>
        <w:jc w:val="left"/>
        <w:rPr>
          <w:color w:val="auto"/>
          <w:sz w:val="24"/>
          <w:szCs w:val="24"/>
          <w:highlight w:val="none"/>
        </w:rPr>
      </w:pPr>
      <w:bookmarkStart w:id="231" w:name="_Toc20103"/>
      <w:bookmarkStart w:id="232" w:name="_Toc133251574"/>
      <w:bookmarkStart w:id="233" w:name="_Toc9111"/>
      <w:bookmarkStart w:id="234" w:name="_Toc22810"/>
      <w:r>
        <w:rPr>
          <w:color w:val="auto"/>
          <w:sz w:val="24"/>
          <w:szCs w:val="24"/>
          <w:highlight w:val="none"/>
        </w:rPr>
        <w:t>附件2 营业执照及法人身份证</w:t>
      </w:r>
      <w:bookmarkEnd w:id="231"/>
      <w:bookmarkEnd w:id="232"/>
      <w:bookmarkEnd w:id="233"/>
      <w:bookmarkEnd w:id="234"/>
    </w:p>
    <w:p w14:paraId="04E0C9B4">
      <w:pPr>
        <w:rPr>
          <w:highlight w:val="none"/>
        </w:rPr>
      </w:pPr>
    </w:p>
    <w:p w14:paraId="2384EE2C">
      <w:p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7432040" cy="5290185"/>
            <wp:effectExtent l="0" t="0" r="16510" b="5715"/>
            <wp:docPr id="121" name="图片 121"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营业执照"/>
                    <pic:cNvPicPr>
                      <a:picLocks noChangeAspect="1"/>
                    </pic:cNvPicPr>
                  </pic:nvPicPr>
                  <pic:blipFill>
                    <a:blip r:embed="rId47"/>
                    <a:stretch>
                      <a:fillRect/>
                    </a:stretch>
                  </pic:blipFill>
                  <pic:spPr>
                    <a:xfrm>
                      <a:off x="0" y="0"/>
                      <a:ext cx="7432040" cy="5290185"/>
                    </a:xfrm>
                    <a:prstGeom prst="rect">
                      <a:avLst/>
                    </a:prstGeom>
                  </pic:spPr>
                </pic:pic>
              </a:graphicData>
            </a:graphic>
          </wp:inline>
        </w:drawing>
      </w:r>
    </w:p>
    <w:p w14:paraId="44BBE467">
      <w:pPr>
        <w:rPr>
          <w:color w:val="auto"/>
          <w:highlight w:val="none"/>
        </w:rPr>
        <w:sectPr>
          <w:pgSz w:w="16838" w:h="11906" w:orient="landscape"/>
          <w:pgMar w:top="1417" w:right="1440" w:bottom="141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6B77EAB">
      <w:pPr>
        <w:pStyle w:val="49"/>
        <w:ind w:firstLine="0" w:firstLineChars="0"/>
        <w:jc w:val="center"/>
        <w:rPr>
          <w:color w:val="auto"/>
          <w:highlight w:val="none"/>
        </w:rPr>
      </w:pPr>
    </w:p>
    <w:p w14:paraId="2AC4796D">
      <w:p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191125" cy="6298565"/>
            <wp:effectExtent l="0" t="0" r="0" b="0"/>
            <wp:docPr id="68" name="图片 68" descr="C:/Users/Administrator/Desktop/青鸟动物医院/图片/法人身份证.jpg法人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Administrator/Desktop/青鸟动物医院/图片/法人身份证.jpg法人身份证"/>
                    <pic:cNvPicPr>
                      <a:picLocks noChangeAspect="1"/>
                    </pic:cNvPicPr>
                  </pic:nvPicPr>
                  <pic:blipFill>
                    <a:blip r:embed="rId48"/>
                    <a:srcRect l="10299" t="11536" r="2979" b="14064"/>
                    <a:stretch>
                      <a:fillRect/>
                    </a:stretch>
                  </pic:blipFill>
                  <pic:spPr>
                    <a:xfrm>
                      <a:off x="0" y="0"/>
                      <a:ext cx="5191125" cy="6298565"/>
                    </a:xfrm>
                    <a:prstGeom prst="rect">
                      <a:avLst/>
                    </a:prstGeom>
                  </pic:spPr>
                </pic:pic>
              </a:graphicData>
            </a:graphic>
          </wp:inline>
        </w:drawing>
      </w:r>
    </w:p>
    <w:p w14:paraId="489E6C11">
      <w:pPr>
        <w:pStyle w:val="2"/>
        <w:rPr>
          <w:color w:val="auto"/>
          <w:highlight w:val="none"/>
        </w:rPr>
        <w:sectPr>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B3A4F70">
      <w:pPr>
        <w:pStyle w:val="2"/>
        <w:numPr>
          <w:ilvl w:val="0"/>
          <w:numId w:val="0"/>
        </w:numPr>
        <w:adjustRightInd/>
        <w:snapToGrid/>
        <w:spacing w:line="240" w:lineRule="auto"/>
        <w:jc w:val="left"/>
        <w:rPr>
          <w:color w:val="auto"/>
          <w:sz w:val="24"/>
          <w:szCs w:val="24"/>
          <w:highlight w:val="none"/>
        </w:rPr>
      </w:pPr>
      <w:bookmarkStart w:id="235" w:name="_Toc10351"/>
      <w:bookmarkStart w:id="236" w:name="_Toc31760"/>
      <w:bookmarkStart w:id="237" w:name="_Toc133251575"/>
      <w:bookmarkStart w:id="238" w:name="_Toc9795"/>
      <w:r>
        <w:rPr>
          <w:color w:val="auto"/>
          <w:sz w:val="24"/>
          <w:szCs w:val="24"/>
          <w:highlight w:val="none"/>
        </w:rPr>
        <w:t xml:space="preserve">附件3 </w:t>
      </w:r>
      <w:bookmarkEnd w:id="235"/>
      <w:bookmarkEnd w:id="236"/>
      <w:r>
        <w:rPr>
          <w:color w:val="auto"/>
          <w:sz w:val="24"/>
          <w:szCs w:val="24"/>
          <w:highlight w:val="none"/>
        </w:rPr>
        <w:t>租赁合同</w:t>
      </w:r>
      <w:bookmarkEnd w:id="237"/>
      <w:bookmarkEnd w:id="238"/>
    </w:p>
    <w:p w14:paraId="485111FD">
      <w:pPr>
        <w:tabs>
          <w:tab w:val="left" w:pos="420"/>
        </w:tabs>
        <w:ind w:leftChars="0"/>
        <w:jc w:val="both"/>
        <w:rPr>
          <w:rFonts w:hint="eastAsia" w:eastAsia="宋体"/>
          <w:color w:val="auto"/>
          <w:highlight w:val="none"/>
          <w:lang w:eastAsia="zh-CN"/>
        </w:rPr>
        <w:sectPr>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highlight w:val="none"/>
        </w:rPr>
        <w:drawing>
          <wp:inline distT="0" distB="0" distL="114300" distR="114300">
            <wp:extent cx="5986780" cy="8250555"/>
            <wp:effectExtent l="0" t="0" r="13970" b="17145"/>
            <wp:docPr id="102" name="图片 102" descr="C:/Users/Administrator/Desktop/青鸟动物医院/图片/租赁合同1.jpg租赁合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C:/Users/Administrator/Desktop/青鸟动物医院/图片/租赁合同1.jpg租赁合同1"/>
                    <pic:cNvPicPr>
                      <a:picLocks noChangeAspect="1"/>
                    </pic:cNvPicPr>
                  </pic:nvPicPr>
                  <pic:blipFill>
                    <a:blip r:embed="rId49"/>
                    <a:srcRect t="677" b="677"/>
                    <a:stretch>
                      <a:fillRect/>
                    </a:stretch>
                  </pic:blipFill>
                  <pic:spPr>
                    <a:xfrm>
                      <a:off x="0" y="0"/>
                      <a:ext cx="5986780" cy="8250555"/>
                    </a:xfrm>
                    <a:prstGeom prst="rect">
                      <a:avLst/>
                    </a:prstGeom>
                  </pic:spPr>
                </pic:pic>
              </a:graphicData>
            </a:graphic>
          </wp:inline>
        </w:drawing>
      </w:r>
      <w:r>
        <w:rPr>
          <w:highlight w:val="none"/>
        </w:rPr>
        <w:drawing>
          <wp:inline distT="0" distB="0" distL="114300" distR="114300">
            <wp:extent cx="6172200" cy="8591550"/>
            <wp:effectExtent l="0" t="0" r="0" b="0"/>
            <wp:docPr id="103" name="图片 103" descr="C:/Users/Administrator/Desktop/青鸟动物医院/图片/租赁合同2.jpg租赁合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C:/Users/Administrator/Desktop/青鸟动物医院/图片/租赁合同2.jpg租赁合同2"/>
                    <pic:cNvPicPr>
                      <a:picLocks noChangeAspect="1"/>
                    </pic:cNvPicPr>
                  </pic:nvPicPr>
                  <pic:blipFill>
                    <a:blip r:embed="rId50"/>
                    <a:srcRect t="177" b="177"/>
                    <a:stretch>
                      <a:fillRect/>
                    </a:stretch>
                  </pic:blipFill>
                  <pic:spPr>
                    <a:xfrm>
                      <a:off x="0" y="0"/>
                      <a:ext cx="6172200" cy="8591550"/>
                    </a:xfrm>
                    <a:prstGeom prst="rect">
                      <a:avLst/>
                    </a:prstGeom>
                  </pic:spPr>
                </pic:pic>
              </a:graphicData>
            </a:graphic>
          </wp:inline>
        </w:drawing>
      </w:r>
    </w:p>
    <w:p w14:paraId="6A2F006E">
      <w:pPr>
        <w:outlineLvl w:val="0"/>
        <w:rPr>
          <w:b/>
          <w:color w:val="auto"/>
          <w:highlight w:val="none"/>
        </w:rPr>
      </w:pPr>
      <w:r>
        <w:rPr>
          <w:rFonts w:hint="eastAsia"/>
          <w:b/>
          <w:color w:val="auto"/>
          <w:highlight w:val="none"/>
        </w:rPr>
        <w:t>附件4房权证</w:t>
      </w:r>
    </w:p>
    <w:p w14:paraId="2A4272D7">
      <w:pPr>
        <w:pStyle w:val="134"/>
        <w:ind w:firstLine="0" w:firstLineChars="0"/>
        <w:jc w:val="center"/>
        <w:rPr>
          <w:rFonts w:hint="eastAsia" w:ascii="Times New Roman" w:hAnsi="Times New Roman" w:cs="Times New Roman" w:eastAsiaTheme="minorEastAsia"/>
          <w:color w:val="auto"/>
          <w:highlight w:val="none"/>
          <w:lang w:eastAsia="zh-CN"/>
        </w:rPr>
      </w:pPr>
      <w:r>
        <w:rPr>
          <w:rFonts w:hint="eastAsia" w:ascii="Times New Roman" w:hAnsi="Times New Roman" w:cs="Times New Roman" w:eastAsiaTheme="minorEastAsia"/>
          <w:color w:val="auto"/>
          <w:highlight w:val="none"/>
          <w:lang w:eastAsia="zh-CN"/>
        </w:rPr>
        <w:drawing>
          <wp:inline distT="0" distB="0" distL="114300" distR="114300">
            <wp:extent cx="4738370" cy="5965190"/>
            <wp:effectExtent l="0" t="0" r="5080" b="16510"/>
            <wp:docPr id="100" name="图片 100" descr="1a64db78e91ea054fa848514277f4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1a64db78e91ea054fa848514277f4f6"/>
                    <pic:cNvPicPr>
                      <a:picLocks noChangeAspect="1"/>
                    </pic:cNvPicPr>
                  </pic:nvPicPr>
                  <pic:blipFill>
                    <a:blip r:embed="rId51"/>
                    <a:srcRect t="10973"/>
                    <a:stretch>
                      <a:fillRect/>
                    </a:stretch>
                  </pic:blipFill>
                  <pic:spPr>
                    <a:xfrm>
                      <a:off x="0" y="0"/>
                      <a:ext cx="4738370" cy="5965190"/>
                    </a:xfrm>
                    <a:prstGeom prst="rect">
                      <a:avLst/>
                    </a:prstGeom>
                  </pic:spPr>
                </pic:pic>
              </a:graphicData>
            </a:graphic>
          </wp:inline>
        </w:drawing>
      </w:r>
    </w:p>
    <w:p w14:paraId="22368E66">
      <w:pPr>
        <w:pStyle w:val="2"/>
        <w:numPr>
          <w:ilvl w:val="0"/>
          <w:numId w:val="0"/>
        </w:numPr>
        <w:adjustRightInd/>
        <w:snapToGrid/>
        <w:spacing w:line="240" w:lineRule="auto"/>
        <w:jc w:val="left"/>
        <w:rPr>
          <w:rFonts w:hint="eastAsia"/>
          <w:color w:val="auto"/>
          <w:sz w:val="24"/>
          <w:szCs w:val="24"/>
          <w:highlight w:val="none"/>
          <w:lang w:val="en-US" w:eastAsia="zh-CN"/>
        </w:rPr>
      </w:pPr>
      <w:r>
        <w:rPr>
          <w:color w:val="auto"/>
          <w:sz w:val="24"/>
          <w:szCs w:val="24"/>
          <w:highlight w:val="none"/>
        </w:rPr>
        <w:t>附件</w:t>
      </w:r>
      <w:r>
        <w:rPr>
          <w:rFonts w:hint="eastAsia"/>
          <w:color w:val="auto"/>
          <w:sz w:val="24"/>
          <w:szCs w:val="24"/>
          <w:highlight w:val="none"/>
        </w:rPr>
        <w:t>5</w:t>
      </w:r>
      <w:r>
        <w:rPr>
          <w:color w:val="auto"/>
          <w:sz w:val="24"/>
          <w:szCs w:val="24"/>
          <w:highlight w:val="none"/>
        </w:rPr>
        <w:t xml:space="preserve"> </w:t>
      </w:r>
      <w:r>
        <w:rPr>
          <w:rFonts w:hint="eastAsia"/>
          <w:color w:val="auto"/>
          <w:sz w:val="24"/>
          <w:szCs w:val="24"/>
          <w:highlight w:val="none"/>
          <w:lang w:val="en-US" w:eastAsia="zh-CN"/>
        </w:rPr>
        <w:t>动物诊疗许可证</w:t>
      </w:r>
    </w:p>
    <w:p w14:paraId="121B1C0D">
      <w:pPr>
        <w:pStyle w:val="134"/>
        <w:ind w:firstLine="0" w:firstLineChars="0"/>
        <w:jc w:val="center"/>
        <w:rPr>
          <w:rFonts w:hint="eastAsia" w:ascii="Times New Roman" w:hAnsi="Times New Roman" w:cs="Times New Roman" w:eastAsiaTheme="minorEastAsia"/>
          <w:color w:val="auto"/>
          <w:highlight w:val="none"/>
          <w:lang w:eastAsia="zh-CN"/>
        </w:rPr>
      </w:pPr>
      <w:r>
        <w:rPr>
          <w:highlight w:val="none"/>
        </w:rPr>
        <w:drawing>
          <wp:inline distT="0" distB="0" distL="114300" distR="114300">
            <wp:extent cx="6061075" cy="4258945"/>
            <wp:effectExtent l="0" t="0" r="15875" b="8255"/>
            <wp:docPr id="96" name="图片 5" descr="C:/Users/Administrator/Desktop/青鸟动物医院/动物诊疗许可证.png动物诊疗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descr="C:/Users/Administrator/Desktop/青鸟动物医院/动物诊疗许可证.png动物诊疗许可证"/>
                    <pic:cNvPicPr>
                      <a:picLocks noChangeAspect="1"/>
                    </pic:cNvPicPr>
                  </pic:nvPicPr>
                  <pic:blipFill>
                    <a:blip r:embed="rId52"/>
                    <a:srcRect t="1850" b="1850"/>
                    <a:stretch>
                      <a:fillRect/>
                    </a:stretch>
                  </pic:blipFill>
                  <pic:spPr>
                    <a:xfrm>
                      <a:off x="0" y="0"/>
                      <a:ext cx="6061075" cy="4258945"/>
                    </a:xfrm>
                    <a:prstGeom prst="rect">
                      <a:avLst/>
                    </a:prstGeom>
                    <a:noFill/>
                    <a:ln>
                      <a:noFill/>
                    </a:ln>
                  </pic:spPr>
                </pic:pic>
              </a:graphicData>
            </a:graphic>
          </wp:inline>
        </w:drawing>
      </w:r>
    </w:p>
    <w:p w14:paraId="1912C14F">
      <w:pPr>
        <w:pStyle w:val="134"/>
        <w:ind w:firstLine="0" w:firstLineChars="0"/>
        <w:jc w:val="center"/>
        <w:rPr>
          <w:rFonts w:hint="eastAsia" w:ascii="Times New Roman" w:hAnsi="Times New Roman" w:cs="Times New Roman" w:eastAsiaTheme="minorEastAsia"/>
          <w:color w:val="auto"/>
          <w:highlight w:val="none"/>
          <w:lang w:eastAsia="zh-CN"/>
        </w:rPr>
        <w:sectPr>
          <w:pgSz w:w="11906" w:h="16838"/>
          <w:pgMar w:top="1440" w:right="1417" w:bottom="1440" w:left="1417" w:header="851" w:footer="992" w:gutter="0"/>
          <w:pgBorders>
            <w:top w:val="none" w:sz="0" w:space="0"/>
            <w:left w:val="none" w:sz="0" w:space="0"/>
            <w:bottom w:val="none" w:sz="0" w:space="0"/>
            <w:right w:val="none" w:sz="0" w:space="0"/>
          </w:pgBorders>
          <w:pgNumType w:fmt="decimal"/>
          <w:cols w:space="720" w:num="1"/>
          <w:docGrid w:type="lines" w:linePitch="326" w:charSpace="0"/>
        </w:sectPr>
      </w:pPr>
    </w:p>
    <w:p w14:paraId="21D1413B">
      <w:pPr>
        <w:pStyle w:val="2"/>
        <w:numPr>
          <w:ilvl w:val="0"/>
          <w:numId w:val="0"/>
        </w:numPr>
        <w:adjustRightInd/>
        <w:snapToGrid/>
        <w:spacing w:line="240" w:lineRule="auto"/>
        <w:jc w:val="left"/>
        <w:rPr>
          <w:rFonts w:hint="default" w:eastAsia="宋体"/>
          <w:color w:val="auto"/>
          <w:sz w:val="24"/>
          <w:szCs w:val="24"/>
          <w:highlight w:val="none"/>
          <w:lang w:val="en-US" w:eastAsia="zh-CN"/>
        </w:rPr>
      </w:pPr>
      <w:bookmarkStart w:id="239" w:name="_Toc133251576"/>
      <w:bookmarkStart w:id="240" w:name="_Toc26167"/>
      <w:bookmarkStart w:id="241" w:name="_Toc8070"/>
      <w:bookmarkStart w:id="242" w:name="_Toc12072"/>
      <w:r>
        <w:rPr>
          <w:color w:val="auto"/>
          <w:sz w:val="24"/>
          <w:szCs w:val="24"/>
          <w:highlight w:val="none"/>
        </w:rPr>
        <w:t>附件</w:t>
      </w:r>
      <w:bookmarkEnd w:id="239"/>
      <w:bookmarkEnd w:id="240"/>
      <w:bookmarkEnd w:id="241"/>
      <w:bookmarkEnd w:id="242"/>
      <w:r>
        <w:rPr>
          <w:rFonts w:hint="eastAsia"/>
          <w:color w:val="auto"/>
          <w:sz w:val="24"/>
          <w:szCs w:val="24"/>
          <w:highlight w:val="none"/>
          <w:lang w:val="en-US" w:eastAsia="zh-CN"/>
        </w:rPr>
        <w:t>6 检测报告</w:t>
      </w:r>
    </w:p>
    <w:p w14:paraId="14A58CEA">
      <w:pPr>
        <w:rPr>
          <w:rFonts w:hint="eastAsia" w:eastAsia="宋体"/>
          <w:lang w:eastAsia="zh-CN"/>
        </w:rPr>
      </w:pPr>
      <w:r>
        <w:rPr>
          <w:rFonts w:hint="eastAsia" w:eastAsia="宋体"/>
          <w:lang w:eastAsia="zh-CN"/>
        </w:rPr>
        <w:drawing>
          <wp:inline distT="0" distB="0" distL="114300" distR="114300">
            <wp:extent cx="8214360" cy="5807710"/>
            <wp:effectExtent l="0" t="0" r="2540" b="15240"/>
            <wp:docPr id="18" name="图片 18" descr="第07189号--晋安区青鸟动物医院--噪声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第07189号--晋安区青鸟动物医院--噪声_页面_1"/>
                    <pic:cNvPicPr>
                      <a:picLocks noChangeAspect="1"/>
                    </pic:cNvPicPr>
                  </pic:nvPicPr>
                  <pic:blipFill>
                    <a:blip r:embed="rId53"/>
                    <a:stretch>
                      <a:fillRect/>
                    </a:stretch>
                  </pic:blipFill>
                  <pic:spPr>
                    <a:xfrm rot="16200000">
                      <a:off x="0" y="0"/>
                      <a:ext cx="8214360" cy="5807710"/>
                    </a:xfrm>
                    <a:prstGeom prst="rect">
                      <a:avLst/>
                    </a:prstGeom>
                  </pic:spPr>
                </pic:pic>
              </a:graphicData>
            </a:graphic>
          </wp:inline>
        </w:drawing>
      </w:r>
      <w:r>
        <w:rPr>
          <w:rFonts w:hint="eastAsia" w:eastAsia="宋体"/>
          <w:lang w:eastAsia="zh-CN"/>
        </w:rPr>
        <w:drawing>
          <wp:inline distT="0" distB="0" distL="114300" distR="114300">
            <wp:extent cx="8147050" cy="5760085"/>
            <wp:effectExtent l="0" t="0" r="12065" b="6350"/>
            <wp:docPr id="15" name="图片 15" descr="第07189号--晋安区青鸟动物医院--噪声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第07189号--晋安区青鸟动物医院--噪声_页面_2"/>
                    <pic:cNvPicPr>
                      <a:picLocks noChangeAspect="1"/>
                    </pic:cNvPicPr>
                  </pic:nvPicPr>
                  <pic:blipFill>
                    <a:blip r:embed="rId54"/>
                    <a:stretch>
                      <a:fillRect/>
                    </a:stretch>
                  </pic:blipFill>
                  <pic:spPr>
                    <a:xfrm rot="16200000">
                      <a:off x="0" y="0"/>
                      <a:ext cx="8147050" cy="5760085"/>
                    </a:xfrm>
                    <a:prstGeom prst="rect">
                      <a:avLst/>
                    </a:prstGeom>
                  </pic:spPr>
                </pic:pic>
              </a:graphicData>
            </a:graphic>
          </wp:inline>
        </w:drawing>
      </w:r>
      <w:r>
        <w:rPr>
          <w:rFonts w:hint="eastAsia" w:eastAsia="宋体"/>
          <w:lang w:eastAsia="zh-CN"/>
        </w:rPr>
        <w:drawing>
          <wp:inline distT="0" distB="0" distL="114300" distR="114300">
            <wp:extent cx="7775575" cy="5497830"/>
            <wp:effectExtent l="0" t="0" r="7620" b="15875"/>
            <wp:docPr id="14" name="图片 14" descr="第07189号--晋安区青鸟动物医院--噪声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第07189号--晋安区青鸟动物医院--噪声_页面_3"/>
                    <pic:cNvPicPr>
                      <a:picLocks noChangeAspect="1"/>
                    </pic:cNvPicPr>
                  </pic:nvPicPr>
                  <pic:blipFill>
                    <a:blip r:embed="rId55"/>
                    <a:stretch>
                      <a:fillRect/>
                    </a:stretch>
                  </pic:blipFill>
                  <pic:spPr>
                    <a:xfrm rot="16200000">
                      <a:off x="0" y="0"/>
                      <a:ext cx="7775575" cy="5497830"/>
                    </a:xfrm>
                    <a:prstGeom prst="rect">
                      <a:avLst/>
                    </a:prstGeom>
                  </pic:spPr>
                </pic:pic>
              </a:graphicData>
            </a:graphic>
          </wp:inline>
        </w:drawing>
      </w:r>
      <w:r>
        <w:rPr>
          <w:rFonts w:hint="eastAsia" w:eastAsia="宋体"/>
          <w:lang w:eastAsia="zh-CN"/>
        </w:rPr>
        <w:drawing>
          <wp:inline distT="0" distB="0" distL="114300" distR="114300">
            <wp:extent cx="8309610" cy="5875020"/>
            <wp:effectExtent l="0" t="0" r="11430" b="15240"/>
            <wp:docPr id="13" name="图片 13" descr="第07189号--晋安区青鸟动物医院--噪声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第07189号--晋安区青鸟动物医院--噪声_页面_4"/>
                    <pic:cNvPicPr>
                      <a:picLocks noChangeAspect="1"/>
                    </pic:cNvPicPr>
                  </pic:nvPicPr>
                  <pic:blipFill>
                    <a:blip r:embed="rId56"/>
                    <a:stretch>
                      <a:fillRect/>
                    </a:stretch>
                  </pic:blipFill>
                  <pic:spPr>
                    <a:xfrm rot="16200000">
                      <a:off x="0" y="0"/>
                      <a:ext cx="8309610" cy="5875020"/>
                    </a:xfrm>
                    <a:prstGeom prst="rect">
                      <a:avLst/>
                    </a:prstGeom>
                  </pic:spPr>
                </pic:pic>
              </a:graphicData>
            </a:graphic>
          </wp:inline>
        </w:drawing>
      </w:r>
      <w:r>
        <w:rPr>
          <w:rFonts w:hint="eastAsia" w:eastAsia="宋体"/>
          <w:lang w:eastAsia="zh-CN"/>
        </w:rPr>
        <w:drawing>
          <wp:inline distT="0" distB="0" distL="114300" distR="114300">
            <wp:extent cx="8547100" cy="6043295"/>
            <wp:effectExtent l="0" t="0" r="14605" b="6350"/>
            <wp:docPr id="11" name="图片 11" descr="第07189号--晋安区青鸟动物医院--噪声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第07189号--晋安区青鸟动物医院--噪声_页面_5"/>
                    <pic:cNvPicPr>
                      <a:picLocks noChangeAspect="1"/>
                    </pic:cNvPicPr>
                  </pic:nvPicPr>
                  <pic:blipFill>
                    <a:blip r:embed="rId57"/>
                    <a:stretch>
                      <a:fillRect/>
                    </a:stretch>
                  </pic:blipFill>
                  <pic:spPr>
                    <a:xfrm rot="16200000">
                      <a:off x="0" y="0"/>
                      <a:ext cx="8547100" cy="6043295"/>
                    </a:xfrm>
                    <a:prstGeom prst="rect">
                      <a:avLst/>
                    </a:prstGeom>
                  </pic:spPr>
                </pic:pic>
              </a:graphicData>
            </a:graphic>
          </wp:inline>
        </w:drawing>
      </w:r>
      <w:r>
        <w:rPr>
          <w:rFonts w:hint="eastAsia" w:eastAsia="宋体"/>
          <w:lang w:eastAsia="zh-CN"/>
        </w:rPr>
        <w:drawing>
          <wp:inline distT="0" distB="0" distL="114300" distR="114300">
            <wp:extent cx="8270875" cy="5847715"/>
            <wp:effectExtent l="0" t="0" r="635" b="15875"/>
            <wp:docPr id="7" name="图片 7" descr="第07189号--晋安区青鸟动物医院--噪声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第07189号--晋安区青鸟动物医院--噪声_页面_6"/>
                    <pic:cNvPicPr>
                      <a:picLocks noChangeAspect="1"/>
                    </pic:cNvPicPr>
                  </pic:nvPicPr>
                  <pic:blipFill>
                    <a:blip r:embed="rId58"/>
                    <a:stretch>
                      <a:fillRect/>
                    </a:stretch>
                  </pic:blipFill>
                  <pic:spPr>
                    <a:xfrm rot="16200000">
                      <a:off x="0" y="0"/>
                      <a:ext cx="8270875" cy="5847715"/>
                    </a:xfrm>
                    <a:prstGeom prst="rect">
                      <a:avLst/>
                    </a:prstGeom>
                  </pic:spPr>
                </pic:pic>
              </a:graphicData>
            </a:graphic>
          </wp:inline>
        </w:drawing>
      </w:r>
      <w:r>
        <w:rPr>
          <w:rFonts w:hint="eastAsia" w:eastAsia="宋体"/>
          <w:lang w:eastAsia="zh-CN"/>
        </w:rPr>
        <w:drawing>
          <wp:inline distT="0" distB="0" distL="114300" distR="114300">
            <wp:extent cx="7919085" cy="5598795"/>
            <wp:effectExtent l="0" t="0" r="1905" b="5715"/>
            <wp:docPr id="6" name="图片 6" descr="第07189号--晋安区青鸟动物医院--噪声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第07189号--晋安区青鸟动物医院--噪声_页面_7"/>
                    <pic:cNvPicPr>
                      <a:picLocks noChangeAspect="1"/>
                    </pic:cNvPicPr>
                  </pic:nvPicPr>
                  <pic:blipFill>
                    <a:blip r:embed="rId59"/>
                    <a:stretch>
                      <a:fillRect/>
                    </a:stretch>
                  </pic:blipFill>
                  <pic:spPr>
                    <a:xfrm rot="16200000">
                      <a:off x="0" y="0"/>
                      <a:ext cx="7919085" cy="5598795"/>
                    </a:xfrm>
                    <a:prstGeom prst="rect">
                      <a:avLst/>
                    </a:prstGeom>
                  </pic:spPr>
                </pic:pic>
              </a:graphicData>
            </a:graphic>
          </wp:inline>
        </w:drawing>
      </w:r>
    </w:p>
    <w:p w14:paraId="2A642A33">
      <w:pPr>
        <w:rPr>
          <w:highlight w:val="none"/>
        </w:rPr>
        <w:sectPr>
          <w:headerReference r:id="rId15" w:type="default"/>
          <w:footerReference r:id="rId16"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21D7CE7">
      <w:pPr>
        <w:pStyle w:val="2"/>
        <w:numPr>
          <w:ilvl w:val="0"/>
          <w:numId w:val="0"/>
        </w:numPr>
        <w:adjustRightInd/>
        <w:snapToGrid/>
        <w:spacing w:line="240" w:lineRule="auto"/>
        <w:jc w:val="left"/>
        <w:rPr>
          <w:rFonts w:hint="eastAsia"/>
          <w:color w:val="auto"/>
          <w:sz w:val="24"/>
          <w:szCs w:val="24"/>
          <w:highlight w:val="none"/>
          <w:lang w:val="en-US" w:eastAsia="zh-CN"/>
        </w:rPr>
      </w:pPr>
      <w:r>
        <w:rPr>
          <w:rFonts w:hint="eastAsia"/>
          <w:color w:val="auto"/>
          <w:sz w:val="24"/>
          <w:szCs w:val="24"/>
          <w:highlight w:val="none"/>
          <w:lang w:val="en-US" w:eastAsia="zh-CN"/>
        </w:rPr>
        <w:t>附件7 三线一单综合查询报告书</w:t>
      </w:r>
    </w:p>
    <w:p w14:paraId="4259ACD3">
      <w:pPr>
        <w:rPr>
          <w:rFonts w:hint="default"/>
          <w:lang w:val="en-US" w:eastAsia="zh-CN"/>
        </w:rPr>
      </w:pPr>
    </w:p>
    <w:tbl>
      <w:tblPr>
        <w:tblStyle w:val="5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1"/>
        <w:gridCol w:w="2045"/>
        <w:gridCol w:w="625"/>
        <w:gridCol w:w="895"/>
        <w:gridCol w:w="785"/>
        <w:gridCol w:w="1831"/>
      </w:tblGrid>
      <w:tr w14:paraId="6E677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7"/>
          </w:tcPr>
          <w:p w14:paraId="36A77FC9">
            <w:pPr>
              <w:jc w:val="center"/>
              <w:rPr>
                <w:rFonts w:hint="eastAsia" w:ascii="宋体" w:hAnsi="宋体" w:eastAsia="宋体" w:cs="宋体"/>
                <w:sz w:val="24"/>
                <w:szCs w:val="24"/>
                <w:vertAlign w:val="baseline"/>
                <w:lang w:val="en-US" w:eastAsia="zh-CN"/>
              </w:rPr>
            </w:pPr>
            <w:r>
              <w:rPr>
                <w:rFonts w:hint="eastAsia" w:ascii="宋体" w:hAnsi="宋体" w:eastAsia="宋体" w:cs="宋体"/>
                <w:sz w:val="32"/>
                <w:szCs w:val="32"/>
                <w:vertAlign w:val="baseline"/>
                <w:lang w:val="en-US" w:eastAsia="zh-CN"/>
              </w:rPr>
              <w:t>基本情况</w:t>
            </w:r>
          </w:p>
        </w:tc>
      </w:tr>
      <w:tr w14:paraId="5C027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67794B8C">
            <w:pP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报告编号</w:t>
            </w:r>
          </w:p>
        </w:tc>
        <w:tc>
          <w:tcPr>
            <w:tcW w:w="2256" w:type="dxa"/>
            <w:gridSpan w:val="2"/>
          </w:tcPr>
          <w:p w14:paraId="13D32E19">
            <w:pPr>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SXYD1721810914065</w:t>
            </w:r>
          </w:p>
        </w:tc>
        <w:tc>
          <w:tcPr>
            <w:tcW w:w="1520" w:type="dxa"/>
            <w:gridSpan w:val="2"/>
          </w:tcPr>
          <w:p w14:paraId="3B5F583D">
            <w:pP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报告名称</w:t>
            </w:r>
          </w:p>
        </w:tc>
        <w:tc>
          <w:tcPr>
            <w:tcW w:w="2616" w:type="dxa"/>
            <w:gridSpan w:val="2"/>
          </w:tcPr>
          <w:p w14:paraId="79467444">
            <w:pPr>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报告24164834</w:t>
            </w:r>
          </w:p>
        </w:tc>
      </w:tr>
      <w:tr w14:paraId="3F131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1083468B">
            <w:pP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报告时间</w:t>
            </w:r>
          </w:p>
        </w:tc>
        <w:tc>
          <w:tcPr>
            <w:tcW w:w="2256" w:type="dxa"/>
            <w:gridSpan w:val="2"/>
          </w:tcPr>
          <w:p w14:paraId="06F59528">
            <w:pPr>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2024-07-24</w:t>
            </w:r>
          </w:p>
        </w:tc>
        <w:tc>
          <w:tcPr>
            <w:tcW w:w="1520" w:type="dxa"/>
            <w:gridSpan w:val="2"/>
          </w:tcPr>
          <w:p w14:paraId="6028BE06">
            <w:pPr>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划定面积(公顷)</w:t>
            </w:r>
          </w:p>
        </w:tc>
        <w:tc>
          <w:tcPr>
            <w:tcW w:w="2616" w:type="dxa"/>
            <w:gridSpan w:val="2"/>
          </w:tcPr>
          <w:p w14:paraId="7F09A8BD">
            <w:pPr>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0.007821084786023337</w:t>
            </w:r>
          </w:p>
        </w:tc>
      </w:tr>
      <w:tr w14:paraId="7F0E4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14:paraId="4951A727">
            <w:pP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缓冲半径（米）</w:t>
            </w:r>
          </w:p>
        </w:tc>
        <w:tc>
          <w:tcPr>
            <w:tcW w:w="2256" w:type="dxa"/>
            <w:gridSpan w:val="2"/>
          </w:tcPr>
          <w:p w14:paraId="6FCE5F9A">
            <w:pPr>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50</w:t>
            </w:r>
          </w:p>
        </w:tc>
        <w:tc>
          <w:tcPr>
            <w:tcW w:w="1520" w:type="dxa"/>
            <w:gridSpan w:val="2"/>
          </w:tcPr>
          <w:p w14:paraId="03C9E974">
            <w:pP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行业类别</w:t>
            </w:r>
          </w:p>
        </w:tc>
        <w:tc>
          <w:tcPr>
            <w:tcW w:w="2616" w:type="dxa"/>
            <w:gridSpan w:val="2"/>
          </w:tcPr>
          <w:p w14:paraId="12EE0987">
            <w:pPr>
              <w:rPr>
                <w:rFonts w:hint="default" w:ascii="宋体" w:hAnsi="宋体" w:eastAsia="宋体" w:cs="宋体"/>
                <w:sz w:val="24"/>
                <w:szCs w:val="24"/>
                <w:vertAlign w:val="baseline"/>
                <w:lang w:val="en-US" w:eastAsia="zh-CN"/>
              </w:rPr>
            </w:pPr>
          </w:p>
        </w:tc>
      </w:tr>
      <w:tr w14:paraId="4438E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7"/>
          </w:tcPr>
          <w:p w14:paraId="4AC195DC">
            <w:pPr>
              <w:jc w:val="center"/>
              <w:rPr>
                <w:rFonts w:hint="eastAsia" w:ascii="宋体" w:hAnsi="宋体" w:eastAsia="宋体" w:cs="宋体"/>
                <w:sz w:val="24"/>
                <w:szCs w:val="24"/>
                <w:vertAlign w:val="baseline"/>
                <w:lang w:val="en-US" w:eastAsia="zh-CN"/>
              </w:rPr>
            </w:pPr>
            <w:r>
              <w:rPr>
                <w:rFonts w:hint="eastAsia" w:ascii="宋体" w:hAnsi="宋体" w:eastAsia="宋体" w:cs="宋体"/>
                <w:sz w:val="32"/>
                <w:szCs w:val="32"/>
                <w:vertAlign w:val="baseline"/>
                <w:lang w:val="en-US" w:eastAsia="zh-CN"/>
              </w:rPr>
              <w:t>总体概述</w:t>
            </w:r>
          </w:p>
        </w:tc>
      </w:tr>
      <w:tr w14:paraId="5F31B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8522" w:type="dxa"/>
            <w:gridSpan w:val="7"/>
          </w:tcPr>
          <w:p w14:paraId="2F72EFC3">
            <w:pPr>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t>项目所选地块涉及1个生态环境管控单元，其中重点管控单元1个</w:t>
            </w:r>
          </w:p>
        </w:tc>
      </w:tr>
      <w:tr w14:paraId="31D94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7" w:hRule="atLeast"/>
        </w:trPr>
        <w:tc>
          <w:tcPr>
            <w:tcW w:w="8522" w:type="dxa"/>
            <w:gridSpan w:val="7"/>
          </w:tcPr>
          <w:p w14:paraId="6B9EEED5">
            <w:pPr>
              <w:rPr>
                <w:rFonts w:hint="default"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drawing>
                <wp:inline distT="0" distB="0" distL="0" distR="0">
                  <wp:extent cx="5238750" cy="3333750"/>
                  <wp:effectExtent l="0" t="0" r="0" b="0"/>
                  <wp:docPr id="1" name="Imag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2" descr="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238750" cy="3333750"/>
                          </a:xfrm>
                          <a:prstGeom prst="rect">
                            <a:avLst/>
                          </a:prstGeom>
                          <a:noFill/>
                          <a:ln>
                            <a:noFill/>
                          </a:ln>
                        </pic:spPr>
                      </pic:pic>
                    </a:graphicData>
                  </a:graphic>
                </wp:inline>
              </w:drawing>
            </w:r>
          </w:p>
        </w:tc>
      </w:tr>
      <w:tr w14:paraId="57EAB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7"/>
          </w:tcPr>
          <w:p w14:paraId="21689C51">
            <w:pPr>
              <w:jc w:val="center"/>
              <w:rPr>
                <w:rFonts w:hint="default"/>
                <w:vertAlign w:val="baseline"/>
                <w:lang w:val="en-US" w:eastAsia="zh-CN"/>
              </w:rPr>
            </w:pPr>
            <w:r>
              <w:rPr>
                <w:rFonts w:hint="eastAsia"/>
                <w:b/>
                <w:bCs/>
                <w:sz w:val="28"/>
                <w:szCs w:val="28"/>
                <w:vertAlign w:val="baseline"/>
                <w:lang w:val="en-US" w:eastAsia="zh-CN"/>
              </w:rPr>
              <w:t>晋安区重点管控单元1</w:t>
            </w:r>
          </w:p>
        </w:tc>
      </w:tr>
      <w:tr w14:paraId="3FB27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1" w:type="dxa"/>
            <w:gridSpan w:val="2"/>
          </w:tcPr>
          <w:p w14:paraId="56A7DE1E">
            <w:pPr>
              <w:rPr>
                <w:rFonts w:hint="default"/>
                <w:vertAlign w:val="baseline"/>
                <w:lang w:val="en-US" w:eastAsia="zh-CN"/>
              </w:rPr>
            </w:pPr>
            <w:r>
              <w:rPr>
                <w:rFonts w:hint="eastAsia"/>
                <w:b/>
                <w:bCs/>
                <w:vertAlign w:val="baseline"/>
                <w:lang w:val="en-US" w:eastAsia="zh-CN"/>
              </w:rPr>
              <w:t>陆域生态环境管控单元</w:t>
            </w:r>
          </w:p>
        </w:tc>
        <w:tc>
          <w:tcPr>
            <w:tcW w:w="6181" w:type="dxa"/>
            <w:gridSpan w:val="5"/>
          </w:tcPr>
          <w:p w14:paraId="4CE8CD74">
            <w:pPr>
              <w:rPr>
                <w:rFonts w:hint="default"/>
                <w:vertAlign w:val="baseline"/>
                <w:lang w:val="en-US" w:eastAsia="zh-CN"/>
              </w:rPr>
            </w:pPr>
            <w:r>
              <w:rPr>
                <w:rFonts w:hint="eastAsia"/>
                <w:vertAlign w:val="baseline"/>
                <w:lang w:val="en-US" w:eastAsia="zh-CN"/>
              </w:rPr>
              <w:t>ZH35011120002</w:t>
            </w:r>
          </w:p>
        </w:tc>
      </w:tr>
      <w:tr w14:paraId="76284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1" w:type="dxa"/>
            <w:gridSpan w:val="2"/>
          </w:tcPr>
          <w:p w14:paraId="748DB2C1">
            <w:pPr>
              <w:rPr>
                <w:rFonts w:hint="default"/>
                <w:vertAlign w:val="baseline"/>
                <w:lang w:val="en-US" w:eastAsia="zh-CN"/>
              </w:rPr>
            </w:pPr>
            <w:r>
              <w:rPr>
                <w:rFonts w:hint="eastAsia"/>
                <w:b/>
                <w:bCs/>
                <w:vertAlign w:val="baseline"/>
                <w:lang w:val="en-US" w:eastAsia="zh-CN"/>
              </w:rPr>
              <w:t>市级行政单元</w:t>
            </w:r>
          </w:p>
        </w:tc>
        <w:tc>
          <w:tcPr>
            <w:tcW w:w="2670" w:type="dxa"/>
            <w:gridSpan w:val="2"/>
          </w:tcPr>
          <w:p w14:paraId="605A37AA">
            <w:pPr>
              <w:rPr>
                <w:rFonts w:hint="default"/>
                <w:vertAlign w:val="baseline"/>
                <w:lang w:val="en-US" w:eastAsia="zh-CN"/>
              </w:rPr>
            </w:pPr>
            <w:r>
              <w:rPr>
                <w:rFonts w:hint="eastAsia"/>
                <w:vertAlign w:val="baseline"/>
                <w:lang w:val="en-US" w:eastAsia="zh-CN"/>
              </w:rPr>
              <w:t>福州市</w:t>
            </w:r>
          </w:p>
        </w:tc>
        <w:tc>
          <w:tcPr>
            <w:tcW w:w="1680" w:type="dxa"/>
            <w:gridSpan w:val="2"/>
          </w:tcPr>
          <w:p w14:paraId="631F8AC2">
            <w:pPr>
              <w:rPr>
                <w:rFonts w:hint="default"/>
                <w:vertAlign w:val="baseline"/>
                <w:lang w:val="en-US" w:eastAsia="zh-CN"/>
              </w:rPr>
            </w:pPr>
            <w:r>
              <w:rPr>
                <w:rFonts w:hint="eastAsia"/>
                <w:b/>
                <w:bCs/>
                <w:vertAlign w:val="baseline"/>
                <w:lang w:val="en-US" w:eastAsia="zh-CN"/>
              </w:rPr>
              <w:t>县级行政单元</w:t>
            </w:r>
          </w:p>
        </w:tc>
        <w:tc>
          <w:tcPr>
            <w:tcW w:w="1831" w:type="dxa"/>
          </w:tcPr>
          <w:p w14:paraId="589D7EB1">
            <w:pPr>
              <w:rPr>
                <w:rFonts w:hint="default"/>
                <w:vertAlign w:val="baseline"/>
                <w:lang w:val="en-US" w:eastAsia="zh-CN"/>
              </w:rPr>
            </w:pPr>
            <w:r>
              <w:rPr>
                <w:rFonts w:hint="eastAsia"/>
                <w:vertAlign w:val="baseline"/>
                <w:lang w:val="en-US" w:eastAsia="zh-CN"/>
              </w:rPr>
              <w:t>晋安区</w:t>
            </w:r>
          </w:p>
        </w:tc>
      </w:tr>
      <w:tr w14:paraId="26038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1" w:type="dxa"/>
            <w:gridSpan w:val="2"/>
          </w:tcPr>
          <w:p w14:paraId="5910A515">
            <w:pPr>
              <w:rPr>
                <w:rFonts w:hint="default"/>
                <w:vertAlign w:val="baseline"/>
                <w:lang w:val="en-US" w:eastAsia="zh-CN"/>
              </w:rPr>
            </w:pPr>
            <w:r>
              <w:rPr>
                <w:rFonts w:hint="eastAsia"/>
                <w:b/>
                <w:bCs/>
                <w:vertAlign w:val="baseline"/>
                <w:lang w:val="en-US" w:eastAsia="zh-CN"/>
              </w:rPr>
              <w:t>管控单元分类</w:t>
            </w:r>
          </w:p>
        </w:tc>
        <w:tc>
          <w:tcPr>
            <w:tcW w:w="6181" w:type="dxa"/>
            <w:gridSpan w:val="5"/>
          </w:tcPr>
          <w:p w14:paraId="6707D1BE">
            <w:pPr>
              <w:rPr>
                <w:rFonts w:hint="default"/>
                <w:vertAlign w:val="baseline"/>
                <w:lang w:val="en-US" w:eastAsia="zh-CN"/>
              </w:rPr>
            </w:pPr>
            <w:r>
              <w:rPr>
                <w:rFonts w:hint="eastAsia"/>
                <w:vertAlign w:val="baseline"/>
                <w:lang w:val="en-US" w:eastAsia="zh-CN"/>
              </w:rPr>
              <w:t>重点管控单元</w:t>
            </w:r>
          </w:p>
        </w:tc>
      </w:tr>
      <w:tr w14:paraId="43AF4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41" w:type="dxa"/>
            <w:gridSpan w:val="2"/>
          </w:tcPr>
          <w:p w14:paraId="4BAD3E0A">
            <w:pPr>
              <w:rPr>
                <w:rFonts w:hint="default"/>
                <w:vertAlign w:val="baseline"/>
                <w:lang w:val="en-US" w:eastAsia="zh-CN"/>
              </w:rPr>
            </w:pPr>
            <w:r>
              <w:rPr>
                <w:rFonts w:hint="eastAsia"/>
                <w:b/>
                <w:bCs/>
                <w:vertAlign w:val="baseline"/>
                <w:lang w:val="en-US" w:eastAsia="zh-CN"/>
              </w:rPr>
              <w:t>空间布局约束</w:t>
            </w:r>
          </w:p>
        </w:tc>
        <w:tc>
          <w:tcPr>
            <w:tcW w:w="6181" w:type="dxa"/>
            <w:gridSpan w:val="5"/>
          </w:tcPr>
          <w:p w14:paraId="54208E0F">
            <w:pPr>
              <w:rPr>
                <w:rFonts w:hint="default"/>
                <w:vertAlign w:val="baseline"/>
                <w:lang w:val="en-US" w:eastAsia="zh-CN"/>
              </w:rPr>
            </w:pPr>
            <w:r>
              <w:rPr>
                <w:rFonts w:hint="eastAsia"/>
                <w:vertAlign w:val="baseline"/>
                <w:lang w:val="en-US" w:eastAsia="zh-CN"/>
              </w:rPr>
              <w:t>1.严禁在城镇人口密集区新建危险化学品生产企业；现有不符合安全和卫生防护距离要求的危险化学品生产企业2025年底前完成就地改造达标、搬迁进入规范化工园区或关闭退出。城市建成区内现有原料药制造、化工等污染较重的企业应有序搬迁改造或依法关闭。2.严格控制包装印刷、工业涂装、制鞋等高VOCs排放的项目建设，相关新建项目必须进入工业园区。3.禁止开发利用未经评估和无害化处理的列入建设用地污染地块名录及开发利用负面清单的土地。</w:t>
            </w:r>
          </w:p>
        </w:tc>
      </w:tr>
    </w:tbl>
    <w:p w14:paraId="0F13F9F7">
      <w:pPr>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2C5BF3B">
      <w:pPr>
        <w:pStyle w:val="2"/>
        <w:numPr>
          <w:ilvl w:val="0"/>
          <w:numId w:val="0"/>
        </w:numPr>
        <w:adjustRightInd/>
        <w:snapToGrid/>
        <w:spacing w:line="240" w:lineRule="auto"/>
        <w:jc w:val="left"/>
        <w:rPr>
          <w:rFonts w:hint="eastAsia"/>
          <w:color w:val="auto"/>
          <w:sz w:val="24"/>
          <w:szCs w:val="24"/>
          <w:highlight w:val="none"/>
        </w:rPr>
      </w:pPr>
      <w:bookmarkStart w:id="243" w:name="_Toc133251577"/>
      <w:r>
        <w:rPr>
          <w:rFonts w:hint="eastAsia"/>
          <w:color w:val="auto"/>
          <w:sz w:val="24"/>
          <w:szCs w:val="24"/>
          <w:highlight w:val="none"/>
        </w:rPr>
        <w:t>附件</w:t>
      </w:r>
      <w:r>
        <w:rPr>
          <w:rFonts w:hint="eastAsia"/>
          <w:color w:val="auto"/>
          <w:sz w:val="24"/>
          <w:szCs w:val="24"/>
          <w:highlight w:val="none"/>
          <w:lang w:val="en-US" w:eastAsia="zh-CN"/>
        </w:rPr>
        <w:t>8</w:t>
      </w:r>
      <w:r>
        <w:rPr>
          <w:rFonts w:hint="eastAsia"/>
          <w:color w:val="auto"/>
          <w:sz w:val="24"/>
          <w:szCs w:val="24"/>
          <w:highlight w:val="none"/>
        </w:rPr>
        <w:t xml:space="preserve"> </w:t>
      </w:r>
      <w:r>
        <w:rPr>
          <w:rFonts w:hint="eastAsia"/>
          <w:color w:val="auto"/>
          <w:sz w:val="24"/>
          <w:szCs w:val="24"/>
          <w:highlight w:val="none"/>
          <w:lang w:eastAsia="zh-CN"/>
        </w:rPr>
        <w:t>项目</w:t>
      </w:r>
      <w:r>
        <w:rPr>
          <w:rFonts w:hint="eastAsia"/>
          <w:color w:val="auto"/>
          <w:sz w:val="24"/>
          <w:szCs w:val="24"/>
          <w:highlight w:val="none"/>
        </w:rPr>
        <w:t>未涉及国家秘密、商业秘密等内容的说明</w:t>
      </w:r>
      <w:bookmarkEnd w:id="243"/>
    </w:p>
    <w:p w14:paraId="53F32601">
      <w:pPr>
        <w:rPr>
          <w:rFonts w:hint="eastAsia"/>
          <w:color w:val="auto"/>
          <w:sz w:val="24"/>
          <w:szCs w:val="24"/>
          <w:highlight w:val="none"/>
        </w:rPr>
      </w:pPr>
    </w:p>
    <w:p w14:paraId="3118E61C">
      <w:pPr>
        <w:pStyle w:val="60"/>
        <w:rPr>
          <w:color w:val="auto"/>
          <w:highlight w:val="none"/>
        </w:rPr>
      </w:pPr>
    </w:p>
    <w:p w14:paraId="5B67307C">
      <w:pPr>
        <w:pStyle w:val="193"/>
        <w:ind w:firstLine="0" w:firstLineChars="0"/>
        <w:jc w:val="center"/>
        <w:rPr>
          <w:rFonts w:hint="default" w:ascii="Times New Roman" w:hAnsi="Times New Roman" w:eastAsia="宋体" w:cs="Times New Roman"/>
          <w:b/>
          <w:bCs/>
          <w:color w:val="auto"/>
          <w:sz w:val="28"/>
          <w:szCs w:val="28"/>
          <w:highlight w:val="none"/>
        </w:rPr>
      </w:pPr>
      <w:r>
        <w:rPr>
          <w:rFonts w:hint="eastAsia" w:ascii="Times New Roman" w:hAnsi="Times New Roman" w:eastAsia="宋体" w:cs="Times New Roman"/>
          <w:b/>
          <w:bCs/>
          <w:color w:val="auto"/>
          <w:sz w:val="28"/>
          <w:szCs w:val="28"/>
          <w:highlight w:val="none"/>
          <w:lang w:eastAsia="zh-CN"/>
        </w:rPr>
        <w:t>项目</w:t>
      </w:r>
      <w:r>
        <w:rPr>
          <w:rFonts w:hint="default" w:ascii="Times New Roman" w:hAnsi="Times New Roman" w:eastAsia="宋体" w:cs="Times New Roman"/>
          <w:b/>
          <w:bCs/>
          <w:color w:val="auto"/>
          <w:sz w:val="28"/>
          <w:szCs w:val="28"/>
          <w:highlight w:val="none"/>
        </w:rPr>
        <w:t>未涉及国家秘密、商业秘密等内容的说明</w:t>
      </w:r>
    </w:p>
    <w:p w14:paraId="00551663">
      <w:pPr>
        <w:pStyle w:val="193"/>
        <w:ind w:firstLine="0" w:firstLineChars="0"/>
        <w:jc w:val="center"/>
        <w:rPr>
          <w:rFonts w:hint="default" w:ascii="Times New Roman" w:hAnsi="Times New Roman" w:eastAsia="宋体" w:cs="Times New Roman"/>
          <w:color w:val="auto"/>
          <w:highlight w:val="none"/>
        </w:rPr>
      </w:pPr>
    </w:p>
    <w:p w14:paraId="46D9D4BA">
      <w:pPr>
        <w:pStyle w:val="193"/>
        <w:keepNext w:val="0"/>
        <w:keepLines w:val="0"/>
        <w:pageBreakBefore w:val="0"/>
        <w:widowControl w:val="0"/>
        <w:kinsoku/>
        <w:wordWrap/>
        <w:overflowPunct/>
        <w:topLinePunct w:val="0"/>
        <w:autoSpaceDE/>
        <w:autoSpaceDN/>
        <w:bidi w:val="0"/>
        <w:adjustRightInd/>
        <w:snapToGrid/>
        <w:spacing w:line="480" w:lineRule="auto"/>
        <w:ind w:firstLine="0" w:firstLineChars="0"/>
        <w:jc w:val="both"/>
        <w:textAlignment w:val="auto"/>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福州市</w:t>
      </w:r>
      <w:r>
        <w:rPr>
          <w:rFonts w:hint="eastAsia" w:ascii="Times New Roman" w:hAnsi="Times New Roman" w:eastAsia="宋体" w:cs="Times New Roman"/>
          <w:color w:val="auto"/>
          <w:highlight w:val="none"/>
          <w:lang w:val="en-US" w:eastAsia="zh-CN"/>
        </w:rPr>
        <w:t>晋安</w:t>
      </w:r>
      <w:r>
        <w:rPr>
          <w:rFonts w:hint="default" w:ascii="Times New Roman" w:hAnsi="Times New Roman" w:eastAsia="宋体" w:cs="Times New Roman"/>
          <w:color w:val="auto"/>
          <w:highlight w:val="none"/>
        </w:rPr>
        <w:t>生态环境局</w:t>
      </w:r>
      <w:r>
        <w:rPr>
          <w:rFonts w:hint="eastAsia" w:ascii="Times New Roman" w:hAnsi="Times New Roman" w:eastAsia="宋体" w:cs="Times New Roman"/>
          <w:color w:val="auto"/>
          <w:highlight w:val="none"/>
          <w:lang w:eastAsia="zh-CN"/>
        </w:rPr>
        <w:t>：</w:t>
      </w:r>
    </w:p>
    <w:p w14:paraId="5A0AFE7B">
      <w:pPr>
        <w:pStyle w:val="193"/>
        <w:keepNext w:val="0"/>
        <w:keepLines w:val="0"/>
        <w:pageBreakBefore w:val="0"/>
        <w:widowControl w:val="0"/>
        <w:kinsoku/>
        <w:wordWrap/>
        <w:overflowPunct/>
        <w:topLinePunct w:val="0"/>
        <w:autoSpaceDE/>
        <w:autoSpaceDN/>
        <w:bidi w:val="0"/>
        <w:adjustRightInd/>
        <w:snapToGrid/>
        <w:spacing w:line="480" w:lineRule="auto"/>
        <w:ind w:firstLine="480" w:firstLineChars="200"/>
        <w:jc w:val="both"/>
        <w:textAlignment w:val="auto"/>
        <w:rPr>
          <w:rFonts w:hint="default" w:ascii="Times New Roman" w:hAnsi="Times New Roman" w:eastAsia="宋体" w:cs="Times New Roman"/>
          <w:color w:val="auto"/>
          <w:highlight w:val="none"/>
          <w:u w:val="single"/>
        </w:rPr>
      </w:pPr>
      <w:r>
        <w:rPr>
          <w:rFonts w:hint="default" w:ascii="Times New Roman" w:hAnsi="Times New Roman" w:eastAsia="宋体" w:cs="Times New Roman"/>
          <w:color w:val="auto"/>
          <w:highlight w:val="none"/>
        </w:rPr>
        <w:t>我单位</w:t>
      </w:r>
      <w:r>
        <w:rPr>
          <w:rFonts w:hint="default" w:ascii="Times New Roman" w:hAnsi="Times New Roman" w:eastAsia="宋体" w:cs="Times New Roman"/>
          <w:color w:val="auto"/>
          <w:highlight w:val="none"/>
          <w:lang w:eastAsia="zh-CN"/>
        </w:rPr>
        <w:t>申请</w:t>
      </w:r>
      <w:r>
        <w:rPr>
          <w:rFonts w:hint="eastAsia" w:ascii="Times New Roman" w:hAnsi="Times New Roman" w:eastAsia="宋体" w:cs="Times New Roman"/>
          <w:color w:val="auto"/>
          <w:highlight w:val="none"/>
          <w:u w:val="single"/>
          <w:lang w:eastAsia="zh-CN"/>
        </w:rPr>
        <w:t>福州市晋安区青鸟动物医院项目</w:t>
      </w:r>
      <w:r>
        <w:rPr>
          <w:rFonts w:hint="default" w:ascii="Times New Roman" w:hAnsi="Times New Roman" w:eastAsia="宋体" w:cs="Times New Roman"/>
          <w:color w:val="auto"/>
          <w:highlight w:val="none"/>
        </w:rPr>
        <w:t>环评审批，项目选址</w:t>
      </w:r>
      <w:r>
        <w:rPr>
          <w:rFonts w:hint="default" w:ascii="Times New Roman" w:hAnsi="Times New Roman" w:eastAsia="宋体" w:cs="Times New Roman"/>
          <w:color w:val="auto"/>
          <w:highlight w:val="none"/>
          <w:lang w:eastAsia="zh-CN"/>
        </w:rPr>
        <w:t>于</w:t>
      </w:r>
      <w:r>
        <w:rPr>
          <w:rFonts w:hint="eastAsia" w:ascii="Times New Roman" w:hAnsi="Times New Roman" w:eastAsia="宋体" w:cs="Times New Roman"/>
          <w:color w:val="auto"/>
          <w:highlight w:val="none"/>
          <w:u w:val="single"/>
          <w:lang w:eastAsia="zh-CN"/>
        </w:rPr>
        <w:t>福建省福州市晋安区玉井路99号蓝光公馆8#楼1层20商业（餐饮）</w:t>
      </w:r>
      <w:r>
        <w:rPr>
          <w:rFonts w:hint="default" w:ascii="Times New Roman" w:hAnsi="Times New Roman" w:eastAsia="宋体" w:cs="Times New Roman"/>
          <w:color w:val="auto"/>
          <w:highlight w:val="none"/>
          <w:u w:val="single"/>
        </w:rPr>
        <w:t>，</w:t>
      </w:r>
      <w:r>
        <w:rPr>
          <w:rFonts w:hint="default" w:ascii="Times New Roman" w:hAnsi="Times New Roman" w:eastAsia="宋体" w:cs="Times New Roman"/>
          <w:color w:val="auto"/>
          <w:highlight w:val="none"/>
        </w:rPr>
        <w:t>该项目的建设规模为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u w:val="single"/>
        </w:rPr>
        <w:t>平均宠物接待流量为</w:t>
      </w:r>
      <w:r>
        <w:rPr>
          <w:rFonts w:hint="eastAsia" w:ascii="Times New Roman" w:hAnsi="Times New Roman" w:eastAsia="宋体" w:cs="Times New Roman"/>
          <w:color w:val="auto"/>
          <w:highlight w:val="none"/>
          <w:u w:val="single"/>
          <w:lang w:val="en-US" w:eastAsia="zh-CN"/>
        </w:rPr>
        <w:t>25</w:t>
      </w:r>
      <w:r>
        <w:rPr>
          <w:rFonts w:hint="default" w:ascii="Times New Roman" w:hAnsi="Times New Roman" w:eastAsia="宋体" w:cs="Times New Roman"/>
          <w:color w:val="auto"/>
          <w:highlight w:val="none"/>
          <w:u w:val="single"/>
        </w:rPr>
        <w:t>只/天。</w:t>
      </w:r>
    </w:p>
    <w:p w14:paraId="011D14A8">
      <w:pPr>
        <w:pStyle w:val="193"/>
        <w:keepNext w:val="0"/>
        <w:keepLines w:val="0"/>
        <w:pageBreakBefore w:val="0"/>
        <w:widowControl w:val="0"/>
        <w:kinsoku/>
        <w:wordWrap/>
        <w:overflowPunct/>
        <w:topLinePunct w:val="0"/>
        <w:autoSpaceDE/>
        <w:autoSpaceDN/>
        <w:bidi w:val="0"/>
        <w:adjustRightInd/>
        <w:snapToGrid/>
        <w:spacing w:line="480" w:lineRule="auto"/>
        <w:ind w:firstLine="480" w:firstLineChars="20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根据《中华人</w:t>
      </w:r>
      <w:r>
        <w:rPr>
          <w:rFonts w:hint="default" w:ascii="Times New Roman" w:hAnsi="Times New Roman" w:eastAsia="宋体" w:cs="Times New Roman"/>
          <w:color w:val="auto"/>
          <w:highlight w:val="none"/>
          <w:lang w:val="en-US" w:eastAsia="zh-CN"/>
        </w:rPr>
        <w:t>民</w:t>
      </w:r>
      <w:r>
        <w:rPr>
          <w:rFonts w:hint="default" w:ascii="Times New Roman" w:hAnsi="Times New Roman" w:eastAsia="宋体" w:cs="Times New Roman"/>
          <w:color w:val="auto"/>
          <w:highlight w:val="none"/>
        </w:rPr>
        <w:t>共和国环</w:t>
      </w:r>
      <w:r>
        <w:rPr>
          <w:rFonts w:hint="default" w:ascii="Times New Roman" w:hAnsi="Times New Roman" w:eastAsia="宋体" w:cs="Times New Roman"/>
          <w:color w:val="auto"/>
          <w:highlight w:val="none"/>
          <w:lang w:val="en-US" w:eastAsia="zh-CN"/>
        </w:rPr>
        <w:t>境</w:t>
      </w:r>
      <w:r>
        <w:rPr>
          <w:rFonts w:hint="default" w:ascii="Times New Roman" w:hAnsi="Times New Roman" w:eastAsia="宋体" w:cs="Times New Roman"/>
          <w:color w:val="auto"/>
          <w:highlight w:val="none"/>
        </w:rPr>
        <w:t>保护法》、《中华人民共和国环境影响评价法》和《建设项目环境保护管理条例》的规定，我单位已委托</w:t>
      </w:r>
      <w:r>
        <w:rPr>
          <w:rFonts w:hint="eastAsia" w:ascii="Times New Roman" w:hAnsi="Times New Roman" w:eastAsia="宋体" w:cs="Times New Roman"/>
          <w:color w:val="auto"/>
          <w:highlight w:val="none"/>
          <w:u w:val="single"/>
          <w:vertAlign w:val="baseline"/>
          <w:lang w:val="en-US" w:eastAsia="zh-CN"/>
        </w:rPr>
        <w:t>上海威正环境技术发展有限公司</w:t>
      </w:r>
      <w:r>
        <w:rPr>
          <w:rFonts w:hint="default" w:ascii="Times New Roman" w:hAnsi="Times New Roman" w:eastAsia="宋体" w:cs="Times New Roman"/>
          <w:color w:val="auto"/>
          <w:highlight w:val="none"/>
        </w:rPr>
        <w:t>开展该项目环境影响评价工作。</w:t>
      </w:r>
      <w:r>
        <w:rPr>
          <w:rFonts w:hint="default" w:ascii="Times New Roman" w:hAnsi="Times New Roman" w:eastAsia="宋体" w:cs="Times New Roman"/>
          <w:color w:val="auto"/>
          <w:highlight w:val="none"/>
          <w:lang w:val="en-US" w:eastAsia="zh-CN"/>
        </w:rPr>
        <w:t>现</w:t>
      </w:r>
      <w:r>
        <w:rPr>
          <w:rFonts w:hint="default" w:ascii="Times New Roman" w:hAnsi="Times New Roman" w:eastAsia="宋体" w:cs="Times New Roman"/>
          <w:color w:val="auto"/>
          <w:highlight w:val="none"/>
        </w:rPr>
        <w:t>将该项目环境影响报告</w:t>
      </w:r>
      <w:r>
        <w:rPr>
          <w:rFonts w:hint="default" w:ascii="Times New Roman" w:hAnsi="Times New Roman" w:eastAsia="宋体" w:cs="Times New Roman"/>
          <w:color w:val="auto"/>
          <w:highlight w:val="none"/>
          <w:lang w:val="en-US" w:eastAsia="zh-CN"/>
        </w:rPr>
        <w:t>表</w:t>
      </w:r>
      <w:r>
        <w:rPr>
          <w:rFonts w:hint="default" w:ascii="Times New Roman" w:hAnsi="Times New Roman" w:eastAsia="宋体" w:cs="Times New Roman"/>
          <w:color w:val="auto"/>
          <w:highlight w:val="none"/>
        </w:rPr>
        <w:t>呈报</w:t>
      </w:r>
      <w:r>
        <w:rPr>
          <w:rFonts w:hint="default" w:ascii="Times New Roman" w:hAnsi="Times New Roman" w:eastAsia="宋体" w:cs="Times New Roman"/>
          <w:color w:val="auto"/>
          <w:highlight w:val="none"/>
          <w:lang w:val="en-US" w:eastAsia="zh-CN"/>
        </w:rPr>
        <w:t>贵</w:t>
      </w:r>
      <w:r>
        <w:rPr>
          <w:rFonts w:hint="default" w:ascii="Times New Roman" w:hAnsi="Times New Roman" w:eastAsia="宋体" w:cs="Times New Roman"/>
          <w:color w:val="auto"/>
          <w:highlight w:val="none"/>
        </w:rPr>
        <w:t>局，</w:t>
      </w:r>
      <w:r>
        <w:rPr>
          <w:rFonts w:hint="default" w:ascii="Times New Roman" w:hAnsi="Times New Roman" w:eastAsia="宋体" w:cs="Times New Roman"/>
          <w:color w:val="auto"/>
          <w:highlight w:val="none"/>
          <w:lang w:val="en-US" w:eastAsia="zh-CN"/>
        </w:rPr>
        <w:t>请予</w:t>
      </w:r>
      <w:r>
        <w:rPr>
          <w:rFonts w:hint="default" w:ascii="Times New Roman" w:hAnsi="Times New Roman" w:eastAsia="宋体" w:cs="Times New Roman"/>
          <w:color w:val="auto"/>
          <w:highlight w:val="none"/>
        </w:rPr>
        <w:t>审批。</w:t>
      </w:r>
    </w:p>
    <w:p w14:paraId="5F730646">
      <w:pPr>
        <w:pStyle w:val="193"/>
        <w:ind w:firstLine="0" w:firstLineChars="0"/>
        <w:jc w:val="both"/>
        <w:rPr>
          <w:rFonts w:hint="default" w:ascii="Times New Roman" w:hAnsi="Times New Roman" w:eastAsia="宋体" w:cs="Times New Roman"/>
          <w:color w:val="auto"/>
          <w:highlight w:val="none"/>
        </w:rPr>
      </w:pPr>
    </w:p>
    <w:p w14:paraId="7F8E12DE">
      <w:pPr>
        <w:pStyle w:val="193"/>
        <w:ind w:firstLine="0" w:firstLineChars="0"/>
        <w:jc w:val="both"/>
        <w:rPr>
          <w:rFonts w:hint="default" w:ascii="Times New Roman" w:hAnsi="Times New Roman" w:eastAsia="宋体" w:cs="Times New Roman"/>
          <w:color w:val="auto"/>
          <w:highlight w:val="none"/>
        </w:rPr>
      </w:pPr>
    </w:p>
    <w:p w14:paraId="62A8001C">
      <w:pPr>
        <w:pStyle w:val="193"/>
        <w:keepNext w:val="0"/>
        <w:keepLines w:val="0"/>
        <w:pageBreakBefore w:val="0"/>
        <w:widowControl w:val="0"/>
        <w:kinsoku/>
        <w:wordWrap/>
        <w:overflowPunct/>
        <w:topLinePunct w:val="0"/>
        <w:autoSpaceDE/>
        <w:autoSpaceDN/>
        <w:bidi w:val="0"/>
        <w:adjustRightInd/>
        <w:snapToGrid/>
        <w:ind w:firstLine="0" w:firstLineChars="0"/>
        <w:jc w:val="right"/>
        <w:textAlignment w:val="auto"/>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福州市晋安区青鸟动物医院</w:t>
      </w:r>
    </w:p>
    <w:p w14:paraId="154D94F8">
      <w:pPr>
        <w:pStyle w:val="193"/>
        <w:keepNext w:val="0"/>
        <w:keepLines w:val="0"/>
        <w:pageBreakBefore w:val="0"/>
        <w:widowControl w:val="0"/>
        <w:kinsoku/>
        <w:wordWrap/>
        <w:overflowPunct/>
        <w:topLinePunct w:val="0"/>
        <w:autoSpaceDE/>
        <w:autoSpaceDN/>
        <w:bidi w:val="0"/>
        <w:adjustRightInd/>
        <w:snapToGrid/>
        <w:ind w:firstLine="0" w:firstLineChars="0"/>
        <w:jc w:val="right"/>
        <w:textAlignment w:val="auto"/>
        <w:rPr>
          <w:rFonts w:hint="default" w:ascii="Times New Roman" w:hAnsi="Times New Roman" w:eastAsia="宋体" w:cs="Times New Roman"/>
          <w:color w:val="auto"/>
          <w:highlight w:val="none"/>
          <w:lang w:val="en-US"/>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0" w:num="1"/>
          <w:rtlGutter w:val="0"/>
          <w:docGrid w:linePitch="312" w:charSpace="0"/>
        </w:sectPr>
      </w:pPr>
      <w:r>
        <w:rPr>
          <w:rFonts w:hint="eastAsia" w:ascii="Times New Roman" w:hAnsi="Times New Roman" w:eastAsia="宋体" w:cs="Times New Roman"/>
          <w:color w:val="auto"/>
          <w:highlight w:val="none"/>
          <w:lang w:val="en-US" w:eastAsia="zh-CN"/>
        </w:rPr>
        <w:t>2024年 8 月 15 日</w:t>
      </w:r>
    </w:p>
    <w:p w14:paraId="06131E33">
      <w:pPr>
        <w:pStyle w:val="2"/>
        <w:numPr>
          <w:ilvl w:val="0"/>
          <w:numId w:val="0"/>
        </w:numPr>
        <w:adjustRightInd/>
        <w:snapToGrid/>
        <w:spacing w:line="240" w:lineRule="auto"/>
        <w:jc w:val="left"/>
        <w:rPr>
          <w:color w:val="auto"/>
          <w:sz w:val="24"/>
          <w:szCs w:val="24"/>
          <w:highlight w:val="none"/>
        </w:rPr>
      </w:pPr>
      <w:bookmarkStart w:id="244" w:name="_Toc133251578"/>
      <w:r>
        <w:rPr>
          <w:rFonts w:hint="eastAsia"/>
          <w:color w:val="auto"/>
          <w:sz w:val="24"/>
          <w:szCs w:val="24"/>
          <w:highlight w:val="none"/>
        </w:rPr>
        <w:t>附件</w:t>
      </w:r>
      <w:r>
        <w:rPr>
          <w:rFonts w:hint="eastAsia"/>
          <w:color w:val="auto"/>
          <w:sz w:val="24"/>
          <w:szCs w:val="24"/>
          <w:highlight w:val="none"/>
          <w:lang w:val="en-US" w:eastAsia="zh-CN"/>
        </w:rPr>
        <w:t>9</w:t>
      </w:r>
      <w:r>
        <w:rPr>
          <w:rFonts w:hint="eastAsia"/>
          <w:color w:val="auto"/>
          <w:sz w:val="24"/>
          <w:szCs w:val="24"/>
          <w:highlight w:val="none"/>
        </w:rPr>
        <w:t xml:space="preserve"> 申请环评批复报告</w:t>
      </w:r>
      <w:bookmarkEnd w:id="244"/>
    </w:p>
    <w:p w14:paraId="5D991279">
      <w:pPr>
        <w:pStyle w:val="193"/>
        <w:ind w:firstLine="0" w:firstLineChars="0"/>
        <w:jc w:val="center"/>
        <w:rPr>
          <w:rFonts w:hint="eastAsia" w:ascii="宋体" w:hAnsi="宋体" w:eastAsia="宋体" w:cs="宋体"/>
          <w:color w:val="auto"/>
          <w:sz w:val="28"/>
          <w:szCs w:val="28"/>
          <w:highlight w:val="none"/>
          <w:lang w:val="en-US" w:eastAsia="zh-CN"/>
        </w:rPr>
      </w:pPr>
      <w:r>
        <w:rPr>
          <w:rFonts w:hint="eastAsia" w:ascii="宋体" w:hAnsi="宋体" w:eastAsia="宋体" w:cs="宋体"/>
          <w:color w:val="auto"/>
          <w:sz w:val="28"/>
          <w:szCs w:val="28"/>
          <w:highlight w:val="none"/>
          <w:lang w:val="en-US" w:eastAsia="zh-CN"/>
        </w:rPr>
        <w:t>申请环评批复报告</w:t>
      </w:r>
    </w:p>
    <w:p w14:paraId="3FB2C495">
      <w:pPr>
        <w:pStyle w:val="193"/>
        <w:ind w:firstLine="0" w:firstLineChars="0"/>
        <w:jc w:val="center"/>
        <w:rPr>
          <w:rFonts w:hint="eastAsia" w:ascii="Times New Roman" w:hAnsi="Times New Roman" w:cs="Times New Roman"/>
          <w:color w:val="auto"/>
          <w:highlight w:val="none"/>
          <w:lang w:val="en-US" w:eastAsia="zh-CN"/>
        </w:rPr>
      </w:pPr>
    </w:p>
    <w:p w14:paraId="411142CA">
      <w:pPr>
        <w:pStyle w:val="193"/>
        <w:keepNext w:val="0"/>
        <w:keepLines w:val="0"/>
        <w:pageBreakBefore w:val="0"/>
        <w:widowControl w:val="0"/>
        <w:kinsoku/>
        <w:wordWrap/>
        <w:overflowPunct/>
        <w:topLinePunct w:val="0"/>
        <w:autoSpaceDE/>
        <w:autoSpaceDN/>
        <w:bidi w:val="0"/>
        <w:adjustRightInd/>
        <w:snapToGrid/>
        <w:spacing w:line="480" w:lineRule="auto"/>
        <w:ind w:firstLine="0" w:firstLineChars="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福州市</w:t>
      </w:r>
      <w:r>
        <w:rPr>
          <w:rFonts w:hint="eastAsia" w:ascii="Times New Roman" w:hAnsi="Times New Roman" w:eastAsia="宋体" w:cs="Times New Roman"/>
          <w:color w:val="auto"/>
          <w:highlight w:val="none"/>
          <w:lang w:val="en-US" w:eastAsia="zh-CN"/>
        </w:rPr>
        <w:t>晋安</w:t>
      </w:r>
      <w:r>
        <w:rPr>
          <w:rFonts w:hint="default" w:ascii="Times New Roman" w:hAnsi="Times New Roman" w:eastAsia="宋体" w:cs="Times New Roman"/>
          <w:color w:val="auto"/>
          <w:highlight w:val="none"/>
          <w:lang w:val="en-US" w:eastAsia="zh-CN"/>
        </w:rPr>
        <w:t>生态环境局：</w:t>
      </w:r>
    </w:p>
    <w:p w14:paraId="06A88031">
      <w:pPr>
        <w:pStyle w:val="193"/>
        <w:keepNext w:val="0"/>
        <w:keepLines w:val="0"/>
        <w:pageBreakBefore w:val="0"/>
        <w:widowControl w:val="0"/>
        <w:kinsoku/>
        <w:wordWrap/>
        <w:overflowPunct/>
        <w:topLinePunct w:val="0"/>
        <w:autoSpaceDE/>
        <w:autoSpaceDN/>
        <w:bidi w:val="0"/>
        <w:adjustRightInd/>
        <w:snapToGrid/>
        <w:spacing w:line="480" w:lineRule="auto"/>
        <w:ind w:firstLine="480" w:firstLineChars="200"/>
        <w:jc w:val="both"/>
        <w:textAlignment w:val="auto"/>
        <w:rPr>
          <w:rFonts w:hint="default" w:ascii="Times New Roman" w:hAnsi="Times New Roman" w:eastAsia="宋体" w:cs="Times New Roman"/>
          <w:color w:val="auto"/>
          <w:highlight w:val="none"/>
          <w:u w:val="single"/>
          <w:vertAlign w:val="baseline"/>
          <w:lang w:val="en-US" w:eastAsia="zh-CN"/>
        </w:rPr>
      </w:pPr>
      <w:r>
        <w:rPr>
          <w:rFonts w:hint="default" w:ascii="Times New Roman" w:hAnsi="Times New Roman" w:eastAsia="宋体" w:cs="Times New Roman"/>
          <w:color w:val="auto"/>
          <w:highlight w:val="none"/>
          <w:lang w:val="en-US" w:eastAsia="zh-CN"/>
        </w:rPr>
        <w:t>我单位申请</w:t>
      </w:r>
      <w:r>
        <w:rPr>
          <w:rFonts w:hint="eastAsia" w:ascii="Times New Roman" w:hAnsi="Times New Roman" w:eastAsia="宋体" w:cs="Times New Roman"/>
          <w:color w:val="auto"/>
          <w:highlight w:val="none"/>
          <w:u w:val="single"/>
          <w:lang w:val="en-US" w:eastAsia="zh-CN"/>
        </w:rPr>
        <w:t>福州市晋安区青鸟动物医院项目</w:t>
      </w:r>
      <w:r>
        <w:rPr>
          <w:rFonts w:hint="default" w:ascii="Times New Roman" w:hAnsi="Times New Roman" w:eastAsia="宋体" w:cs="Times New Roman"/>
          <w:color w:val="auto"/>
          <w:highlight w:val="none"/>
          <w:lang w:val="en-US" w:eastAsia="zh-CN"/>
        </w:rPr>
        <w:t>环评文件审批，</w:t>
      </w:r>
      <w:r>
        <w:rPr>
          <w:rFonts w:hint="eastAsia"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lang w:val="en-US" w:eastAsia="zh-CN"/>
        </w:rPr>
        <w:t>选址在</w:t>
      </w:r>
      <w:r>
        <w:rPr>
          <w:rFonts w:hint="eastAsia" w:ascii="Times New Roman" w:hAnsi="Times New Roman" w:eastAsia="宋体" w:cs="Times New Roman"/>
          <w:color w:val="auto"/>
          <w:highlight w:val="none"/>
          <w:u w:val="single"/>
          <w:lang w:val="en-US" w:eastAsia="zh-CN"/>
        </w:rPr>
        <w:t>福建省福州市晋安区玉井路99号蓝光公馆8#楼1层20商业（餐饮）</w:t>
      </w:r>
      <w:r>
        <w:rPr>
          <w:rFonts w:hint="default" w:ascii="Times New Roman" w:hAnsi="Times New Roman" w:eastAsia="宋体" w:cs="Times New Roman"/>
          <w:color w:val="auto"/>
          <w:highlight w:val="none"/>
          <w:u w:val="single"/>
          <w:lang w:val="en-US" w:eastAsia="zh-CN"/>
        </w:rPr>
        <w:t>。</w:t>
      </w:r>
      <w:r>
        <w:rPr>
          <w:rFonts w:hint="default" w:ascii="Times New Roman" w:hAnsi="Times New Roman" w:eastAsia="宋体" w:cs="Times New Roman"/>
          <w:color w:val="auto"/>
          <w:highlight w:val="none"/>
          <w:lang w:val="en-US" w:eastAsia="zh-CN"/>
        </w:rPr>
        <w:t>建设规模为：</w:t>
      </w:r>
      <w:r>
        <w:rPr>
          <w:rFonts w:hint="default" w:ascii="Times New Roman" w:hAnsi="Times New Roman" w:eastAsia="宋体" w:cs="Times New Roman"/>
          <w:color w:val="auto"/>
          <w:highlight w:val="none"/>
          <w:u w:val="single"/>
          <w:lang w:val="en-US" w:eastAsia="zh-CN"/>
        </w:rPr>
        <w:t>总建筑面积</w:t>
      </w:r>
      <w:r>
        <w:rPr>
          <w:rFonts w:hint="eastAsia" w:ascii="Times New Roman" w:hAnsi="Times New Roman" w:eastAsia="宋体" w:cs="Times New Roman"/>
          <w:color w:val="auto"/>
          <w:highlight w:val="none"/>
          <w:u w:val="single"/>
          <w:lang w:val="en-US" w:eastAsia="zh-CN"/>
        </w:rPr>
        <w:t>147</w:t>
      </w:r>
      <w:r>
        <w:rPr>
          <w:rFonts w:hint="default" w:ascii="Times New Roman" w:hAnsi="Times New Roman" w:eastAsia="宋体" w:cs="Times New Roman"/>
          <w:color w:val="auto"/>
          <w:highlight w:val="none"/>
          <w:u w:val="single"/>
          <w:lang w:val="en-US" w:eastAsia="zh-CN"/>
        </w:rPr>
        <w:t>m</w:t>
      </w:r>
      <w:r>
        <w:rPr>
          <w:rFonts w:hint="default" w:ascii="Times New Roman" w:hAnsi="Times New Roman" w:eastAsia="宋体" w:cs="Times New Roman"/>
          <w:color w:val="auto"/>
          <w:highlight w:val="none"/>
          <w:u w:val="single"/>
          <w:vertAlign w:val="superscript"/>
          <w:lang w:val="en-US" w:eastAsia="zh-CN"/>
        </w:rPr>
        <w:t>2</w:t>
      </w:r>
      <w:r>
        <w:rPr>
          <w:rFonts w:hint="default" w:ascii="Times New Roman" w:hAnsi="Times New Roman" w:eastAsia="宋体" w:cs="Times New Roman"/>
          <w:color w:val="auto"/>
          <w:highlight w:val="none"/>
          <w:u w:val="single"/>
          <w:vertAlign w:val="baseline"/>
          <w:lang w:val="en-US" w:eastAsia="zh-CN"/>
        </w:rPr>
        <w:t>。建成后平均宠物接待流量为</w:t>
      </w:r>
      <w:r>
        <w:rPr>
          <w:rFonts w:hint="eastAsia" w:ascii="Times New Roman" w:hAnsi="Times New Roman" w:eastAsia="宋体" w:cs="Times New Roman"/>
          <w:color w:val="auto"/>
          <w:highlight w:val="none"/>
          <w:u w:val="single"/>
          <w:vertAlign w:val="baseline"/>
          <w:lang w:val="en-US" w:eastAsia="zh-CN"/>
        </w:rPr>
        <w:t>25</w:t>
      </w:r>
      <w:r>
        <w:rPr>
          <w:rFonts w:hint="default" w:ascii="Times New Roman" w:hAnsi="Times New Roman" w:eastAsia="宋体" w:cs="Times New Roman"/>
          <w:color w:val="auto"/>
          <w:highlight w:val="none"/>
          <w:u w:val="single"/>
          <w:vertAlign w:val="baseline"/>
          <w:lang w:val="en-US" w:eastAsia="zh-CN"/>
        </w:rPr>
        <w:t>只/天。</w:t>
      </w:r>
    </w:p>
    <w:p w14:paraId="5765443F">
      <w:pPr>
        <w:pStyle w:val="193"/>
        <w:keepNext w:val="0"/>
        <w:keepLines w:val="0"/>
        <w:pageBreakBefore w:val="0"/>
        <w:widowControl w:val="0"/>
        <w:kinsoku/>
        <w:wordWrap/>
        <w:overflowPunct/>
        <w:topLinePunct w:val="0"/>
        <w:autoSpaceDE/>
        <w:autoSpaceDN/>
        <w:bidi w:val="0"/>
        <w:adjustRightInd/>
        <w:snapToGrid/>
        <w:spacing w:line="480" w:lineRule="auto"/>
        <w:ind w:firstLine="480" w:firstLineChars="200"/>
        <w:jc w:val="both"/>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根据《建设项目环境保护管理条例》等有关法律、法规的规定，我单位</w:t>
      </w:r>
      <w:r>
        <w:rPr>
          <w:rFonts w:hint="default" w:ascii="Times New Roman" w:hAnsi="Times New Roman" w:eastAsia="宋体" w:cs="Times New Roman"/>
          <w:color w:val="auto"/>
          <w:highlight w:val="none"/>
          <w:u w:val="none"/>
          <w:vertAlign w:val="baseline"/>
          <w:lang w:val="en-US" w:eastAsia="zh-CN"/>
        </w:rPr>
        <w:t>委托</w:t>
      </w:r>
      <w:r>
        <w:rPr>
          <w:rFonts w:hint="eastAsia" w:ascii="Times New Roman" w:hAnsi="Times New Roman" w:eastAsia="宋体" w:cs="Times New Roman"/>
          <w:color w:val="auto"/>
          <w:highlight w:val="none"/>
          <w:u w:val="single"/>
          <w:vertAlign w:val="baseline"/>
          <w:lang w:val="en-US" w:eastAsia="zh-CN"/>
        </w:rPr>
        <w:t>上海威正环境技术发展有限公司</w:t>
      </w:r>
      <w:r>
        <w:rPr>
          <w:rFonts w:hint="default" w:ascii="Times New Roman" w:hAnsi="Times New Roman" w:eastAsia="宋体" w:cs="Times New Roman"/>
          <w:color w:val="auto"/>
          <w:highlight w:val="none"/>
          <w:vertAlign w:val="baseline"/>
          <w:lang w:val="en-US" w:eastAsia="zh-CN"/>
        </w:rPr>
        <w:t>编制了环境影响报告表工作。现已完成并呈报贵局，请及时给予批复。</w:t>
      </w:r>
    </w:p>
    <w:p w14:paraId="6557F774">
      <w:pPr>
        <w:pStyle w:val="193"/>
        <w:keepNext w:val="0"/>
        <w:keepLines w:val="0"/>
        <w:pageBreakBefore w:val="0"/>
        <w:widowControl w:val="0"/>
        <w:kinsoku/>
        <w:wordWrap/>
        <w:overflowPunct/>
        <w:topLinePunct w:val="0"/>
        <w:autoSpaceDE/>
        <w:autoSpaceDN/>
        <w:bidi w:val="0"/>
        <w:adjustRightInd/>
        <w:snapToGrid/>
        <w:spacing w:line="480" w:lineRule="auto"/>
        <w:ind w:firstLine="4080" w:firstLineChars="1700"/>
        <w:jc w:val="both"/>
        <w:textAlignment w:val="auto"/>
        <w:rPr>
          <w:rFonts w:hint="default" w:ascii="Times New Roman" w:hAnsi="Times New Roman" w:eastAsia="宋体" w:cs="Times New Roman"/>
          <w:color w:val="auto"/>
          <w:highlight w:val="none"/>
          <w:vertAlign w:val="baseline"/>
          <w:lang w:val="en-US" w:eastAsia="zh-CN"/>
        </w:rPr>
      </w:pPr>
    </w:p>
    <w:p w14:paraId="5D4BFD26">
      <w:pPr>
        <w:pStyle w:val="193"/>
        <w:keepNext w:val="0"/>
        <w:keepLines w:val="0"/>
        <w:pageBreakBefore w:val="0"/>
        <w:widowControl w:val="0"/>
        <w:kinsoku/>
        <w:wordWrap/>
        <w:overflowPunct/>
        <w:topLinePunct w:val="0"/>
        <w:autoSpaceDE/>
        <w:autoSpaceDN/>
        <w:bidi w:val="0"/>
        <w:adjustRightInd/>
        <w:snapToGrid/>
        <w:spacing w:line="480" w:lineRule="auto"/>
        <w:ind w:firstLine="4080" w:firstLineChars="1700"/>
        <w:jc w:val="both"/>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申请单位（盖章）：</w:t>
      </w:r>
    </w:p>
    <w:p w14:paraId="4739D005">
      <w:pPr>
        <w:pStyle w:val="193"/>
        <w:keepNext w:val="0"/>
        <w:keepLines w:val="0"/>
        <w:pageBreakBefore w:val="0"/>
        <w:widowControl w:val="0"/>
        <w:kinsoku/>
        <w:wordWrap/>
        <w:overflowPunct/>
        <w:topLinePunct w:val="0"/>
        <w:autoSpaceDE/>
        <w:autoSpaceDN/>
        <w:bidi w:val="0"/>
        <w:adjustRightInd/>
        <w:snapToGrid/>
        <w:spacing w:line="480" w:lineRule="auto"/>
        <w:ind w:firstLine="4080" w:firstLineChars="1700"/>
        <w:jc w:val="both"/>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法定代表人（盖章或签字）：</w:t>
      </w:r>
    </w:p>
    <w:p w14:paraId="298E1464">
      <w:pPr>
        <w:pStyle w:val="193"/>
        <w:keepNext w:val="0"/>
        <w:keepLines w:val="0"/>
        <w:pageBreakBefore w:val="0"/>
        <w:widowControl w:val="0"/>
        <w:kinsoku/>
        <w:wordWrap/>
        <w:overflowPunct/>
        <w:topLinePunct w:val="0"/>
        <w:autoSpaceDE/>
        <w:autoSpaceDN/>
        <w:bidi w:val="0"/>
        <w:adjustRightInd/>
        <w:snapToGrid/>
        <w:spacing w:line="480" w:lineRule="auto"/>
        <w:ind w:firstLine="4080" w:firstLineChars="1700"/>
        <w:jc w:val="both"/>
        <w:textAlignment w:val="auto"/>
        <w:rPr>
          <w:rFonts w:hint="default" w:ascii="Times New Roman" w:hAnsi="Times New Roman" w:eastAsia="宋体" w:cs="Times New Roman"/>
          <w:color w:val="auto"/>
          <w:highlight w:val="none"/>
          <w:vertAlign w:val="baseline"/>
          <w:lang w:val="en-US" w:eastAsia="zh-CN"/>
        </w:rPr>
      </w:pPr>
    </w:p>
    <w:p w14:paraId="5178F941">
      <w:pPr>
        <w:pStyle w:val="193"/>
        <w:keepNext w:val="0"/>
        <w:keepLines w:val="0"/>
        <w:pageBreakBefore w:val="0"/>
        <w:widowControl w:val="0"/>
        <w:kinsoku/>
        <w:wordWrap/>
        <w:overflowPunct/>
        <w:topLinePunct w:val="0"/>
        <w:autoSpaceDE/>
        <w:autoSpaceDN/>
        <w:bidi w:val="0"/>
        <w:adjustRightInd/>
        <w:snapToGrid/>
        <w:spacing w:line="480" w:lineRule="auto"/>
        <w:ind w:firstLine="0" w:firstLineChars="0"/>
        <w:jc w:val="right"/>
        <w:textAlignment w:val="auto"/>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highlight w:val="none"/>
          <w:u w:val="none"/>
          <w:lang w:val="en-US" w:eastAsia="zh-CN"/>
        </w:rPr>
        <w:t xml:space="preserve">      202</w:t>
      </w:r>
      <w:r>
        <w:rPr>
          <w:rFonts w:hint="eastAsia" w:ascii="Times New Roman" w:hAnsi="Times New Roman" w:eastAsia="宋体" w:cs="Times New Roman"/>
          <w:color w:val="auto"/>
          <w:highlight w:val="none"/>
          <w:u w:val="none"/>
          <w:lang w:val="en-US" w:eastAsia="zh-CN"/>
        </w:rPr>
        <w:t>4</w:t>
      </w:r>
      <w:r>
        <w:rPr>
          <w:rFonts w:hint="default" w:ascii="Times New Roman" w:hAnsi="Times New Roman" w:eastAsia="宋体" w:cs="Times New Roman"/>
          <w:color w:val="auto"/>
          <w:highlight w:val="none"/>
          <w:u w:val="none"/>
          <w:lang w:val="en-US" w:eastAsia="zh-CN"/>
        </w:rPr>
        <w:t>年</w:t>
      </w:r>
      <w:r>
        <w:rPr>
          <w:rFonts w:hint="eastAsia" w:ascii="Times New Roman" w:hAnsi="Times New Roman" w:eastAsia="宋体" w:cs="Times New Roman"/>
          <w:color w:val="auto"/>
          <w:highlight w:val="none"/>
          <w:u w:val="none"/>
          <w:lang w:val="en-US" w:eastAsia="zh-CN"/>
        </w:rPr>
        <w:t xml:space="preserve"> 8 </w:t>
      </w:r>
      <w:r>
        <w:rPr>
          <w:rFonts w:hint="default" w:ascii="Times New Roman" w:hAnsi="Times New Roman" w:eastAsia="宋体" w:cs="Times New Roman"/>
          <w:color w:val="auto"/>
          <w:highlight w:val="none"/>
          <w:u w:val="none"/>
          <w:lang w:val="en-US" w:eastAsia="zh-CN"/>
        </w:rPr>
        <w:t>月</w:t>
      </w:r>
      <w:r>
        <w:rPr>
          <w:rFonts w:hint="eastAsia" w:ascii="Times New Roman" w:hAnsi="Times New Roman" w:eastAsia="宋体" w:cs="Times New Roman"/>
          <w:color w:val="auto"/>
          <w:highlight w:val="none"/>
          <w:u w:val="none"/>
          <w:lang w:val="en-US" w:eastAsia="zh-CN"/>
        </w:rPr>
        <w:t xml:space="preserve"> 27 </w:t>
      </w:r>
      <w:r>
        <w:rPr>
          <w:rFonts w:hint="default" w:ascii="Times New Roman" w:hAnsi="Times New Roman" w:eastAsia="宋体" w:cs="Times New Roman"/>
          <w:color w:val="auto"/>
          <w:highlight w:val="none"/>
          <w:u w:val="none"/>
          <w:lang w:val="en-US" w:eastAsia="zh-CN"/>
        </w:rPr>
        <w:t>日</w:t>
      </w: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F"/>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panose1 w:val="02010609030101010101"/>
    <w:charset w:val="86"/>
    <w:family w:val="auto"/>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仿宋_GB2312">
    <w:panose1 w:val="02010609030101010101"/>
    <w:charset w:val="86"/>
    <w:family w:val="auto"/>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Arial Black">
    <w:panose1 w:val="020B0A04020102020204"/>
    <w:charset w:val="00"/>
    <w:family w:val="swiss"/>
    <w:pitch w:val="default"/>
    <w:sig w:usb0="A00002AF" w:usb1="400078FB" w:usb2="00000000" w:usb3="00000000" w:csb0="6000009F" w:csb1="DFD70000"/>
  </w:font>
  <w:font w:name="Arial Unicode MS">
    <w:altName w:val="宋体"/>
    <w:panose1 w:val="020B0604020202020204"/>
    <w:charset w:val="86"/>
    <w:family w:val="swiss"/>
    <w:pitch w:val="default"/>
    <w:sig w:usb0="00000000" w:usb1="00000000" w:usb2="0000003F" w:usb3="00000000" w:csb0="603F01FF" w:csb1="FFFF0000"/>
  </w:font>
  <w:font w:name="ISOCT">
    <w:panose1 w:val="00000400000000000000"/>
    <w:charset w:val="00"/>
    <w:family w:val="auto"/>
    <w:pitch w:val="default"/>
    <w:sig w:usb0="00000007" w:usb1="00000000" w:usb2="00000000" w:usb3="00000000" w:csb0="000001FF" w:csb1="00000000"/>
  </w:font>
  <w:font w:name="Plotter">
    <w:altName w:val="Lucida Console"/>
    <w:panose1 w:val="00000000000000000000"/>
    <w:charset w:val="00"/>
    <w:family w:val="modern"/>
    <w:pitch w:val="default"/>
    <w:sig w:usb0="00000000" w:usb1="00000000" w:usb2="00000000" w:usb3="00000000" w:csb0="00000001" w:csb1="00000000"/>
  </w:font>
  <w:font w:name="PMingLiU">
    <w:altName w:val="PMingLiU-ExtB"/>
    <w:panose1 w:val="02020500000000000000"/>
    <w:charset w:val="88"/>
    <w:family w:val="auto"/>
    <w:pitch w:val="default"/>
    <w:sig w:usb0="00000000" w:usb1="00000000" w:usb2="00000016" w:usb3="00000000" w:csb0="00100001" w:csb1="00000000"/>
  </w:font>
  <w:font w:name="Times">
    <w:altName w:val="Times New Roman"/>
    <w:panose1 w:val="02020603050405020304"/>
    <w:charset w:val="00"/>
    <w:family w:val="roman"/>
    <w:pitch w:val="default"/>
    <w:sig w:usb0="00000000" w:usb1="00000000" w:usb2="00000009" w:usb3="00000000" w:csb0="000001FF" w:csb1="00000000"/>
  </w:font>
  <w:font w:name="MingLiU">
    <w:altName w:val="PMingLiU-ExtB"/>
    <w:panose1 w:val="02020509000000000000"/>
    <w:charset w:val="88"/>
    <w:family w:val="modern"/>
    <w:pitch w:val="default"/>
    <w:sig w:usb0="00000000" w:usb1="00000000" w:usb2="00000016" w:usb3="00000000" w:csb0="0010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Cambria Math">
    <w:panose1 w:val="02040503050406030204"/>
    <w:charset w:val="00"/>
    <w:family w:val="auto"/>
    <w:pitch w:val="default"/>
    <w:sig w:usb0="E00006FF" w:usb1="420024FF" w:usb2="02000000" w:usb3="00000000" w:csb0="2000019F" w:csb1="00000000"/>
  </w:font>
  <w:font w:name="Lucida Console">
    <w:panose1 w:val="020B0609040504020204"/>
    <w:charset w:val="00"/>
    <w:family w:val="auto"/>
    <w:pitch w:val="default"/>
    <w:sig w:usb0="8000028F" w:usb1="00001800" w:usb2="00000000" w:usb3="00000000" w:csb0="0000001F" w:csb1="D7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DF0842">
    <w:pPr>
      <w:pStyle w:val="34"/>
      <w:spacing w:line="20" w:lineRule="exac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AD5138">
    <w:pPr>
      <w:pStyle w:val="34"/>
      <w:spacing w:line="20" w:lineRule="exac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E9D636">
    <w:pPr>
      <w:pStyle w:val="34"/>
      <w:spacing w:line="20" w:lineRule="exac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893BD5">
    <w:pPr>
      <w:jc w:val="left"/>
      <w:rPr>
        <w:rFonts w:ascii="黑体" w:hAnsi="黑体" w:eastAsia="黑体"/>
        <w:color w:val="365F91"/>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31C920">
    <w:pPr>
      <w:pStyle w:val="34"/>
      <w:spacing w:line="20" w:lineRule="exact"/>
    </w:pPr>
    <w: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2" name="文本框 82"/>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14:paraId="7C39C67A">
                          <w:pPr>
                            <w:pStyle w:val="34"/>
                          </w:pPr>
                          <w:r>
                            <w:fldChar w:fldCharType="begin"/>
                          </w:r>
                          <w:r>
                            <w:instrText xml:space="preserve"> PAGE  \* MERGEFORMAT </w:instrText>
                          </w:r>
                          <w:r>
                            <w:fldChar w:fldCharType="separate"/>
                          </w:r>
                          <w:r>
                            <w:t>7</w:t>
                          </w:r>
                          <w: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58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qXm5zwAAAAUBAAAPAAAAAAAAAAEAIAAAACIAAABkcnMvZG93&#10;bnJldi54bWxQSwECFAAUAAAACACHTuJAxUZUmQkCAAAUBAAADgAAAAAAAAABACAAAAAeAQAAZHJz&#10;L2Uyb0RvYy54bWxQSwUGAAAAAAYABgBZAQAAmQUAAAAA&#10;">
              <v:fill on="f" focussize="0,0"/>
              <v:stroke on="f"/>
              <v:imagedata o:title=""/>
              <o:lock v:ext="edit" aspectratio="f"/>
              <v:textbox inset="0mm,0mm,0mm,0mm" style="mso-fit-shape-to-text:t;">
                <w:txbxContent>
                  <w:p w14:paraId="7C39C67A">
                    <w:pPr>
                      <w:pStyle w:val="34"/>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BF73AC">
    <w:pPr>
      <w:pStyle w:val="34"/>
      <w:spacing w:line="20" w:lineRule="exact"/>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70" name="文本框 170"/>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14:paraId="2C1C246D">
                          <w:pPr>
                            <w:pStyle w:val="34"/>
                          </w:pPr>
                          <w:r>
                            <w:fldChar w:fldCharType="begin"/>
                          </w:r>
                          <w:r>
                            <w:instrText xml:space="preserve"> PAGE  \* MERGEFORMAT </w:instrText>
                          </w:r>
                          <w:r>
                            <w:fldChar w:fldCharType="separate"/>
                          </w:r>
                          <w:r>
                            <w:t>10</w:t>
                          </w:r>
                          <w: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qXm5zwAAAAUBAAAPAAAAAAAAAAEAIAAAACIAAABkcnMvZG93&#10;bnJldi54bWxQSwECFAAUAAAACACHTuJAVeZHhgkCAAAWBAAADgAAAAAAAAABACAAAAAeAQAAZHJz&#10;L2Uyb0RvYy54bWxQSwUGAAAAAAYABgBZAQAAmQUAAAAA&#10;">
              <v:fill on="f" focussize="0,0"/>
              <v:stroke on="f"/>
              <v:imagedata o:title=""/>
              <o:lock v:ext="edit" aspectratio="f"/>
              <v:textbox inset="0mm,0mm,0mm,0mm" style="mso-fit-shape-to-text:t;">
                <w:txbxContent>
                  <w:p w14:paraId="2C1C246D">
                    <w:pPr>
                      <w:pStyle w:val="34"/>
                    </w:pPr>
                    <w:r>
                      <w:fldChar w:fldCharType="begin"/>
                    </w:r>
                    <w:r>
                      <w:instrText xml:space="preserve"> PAGE  \* MERGEFORMAT </w:instrText>
                    </w:r>
                    <w:r>
                      <w:fldChar w:fldCharType="separate"/>
                    </w:r>
                    <w:r>
                      <w:t>10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6F1F76">
    <w:pPr>
      <w:pStyle w:val="34"/>
      <w:spacing w:line="20" w:lineRule="exact"/>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9" name="文本框 169"/>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14:paraId="5FD8C271">
                          <w:pPr>
                            <w:pStyle w:val="34"/>
                          </w:pPr>
                          <w:r>
                            <w:fldChar w:fldCharType="begin"/>
                          </w:r>
                          <w:r>
                            <w:instrText xml:space="preserve"> PAGE  \* MERGEFORMAT </w:instrText>
                          </w:r>
                          <w:r>
                            <w:fldChar w:fldCharType="separate"/>
                          </w:r>
                          <w:r>
                            <w:t>16</w:t>
                          </w:r>
                          <w: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ql5uc8AAAAFAQAADwAAAAAAAAABACAAAAAiAAAAZHJzL2Rv&#10;d25yZXYueG1sUEsBAhQAFAAAAAgAh07iQMoPndgKAgAAFgQAAA4AAAAAAAAAAQAgAAAAHgEAAGRy&#10;cy9lMm9Eb2MueG1sUEsFBgAAAAAGAAYAWQEAAJoFAAAAAA==&#10;">
              <v:fill on="f" focussize="0,0"/>
              <v:stroke on="f"/>
              <v:imagedata o:title=""/>
              <o:lock v:ext="edit" aspectratio="f"/>
              <v:textbox inset="0mm,0mm,0mm,0mm" style="mso-fit-shape-to-text:t;">
                <w:txbxContent>
                  <w:p w14:paraId="5FD8C271">
                    <w:pPr>
                      <w:pStyle w:val="34"/>
                    </w:pPr>
                    <w:r>
                      <w:fldChar w:fldCharType="begin"/>
                    </w:r>
                    <w:r>
                      <w:instrText xml:space="preserve"> PAGE  \* MERGEFORMAT </w:instrText>
                    </w:r>
                    <w:r>
                      <w:fldChar w:fldCharType="separate"/>
                    </w:r>
                    <w:r>
                      <w:t>16</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2F4F3D">
    <w:pPr>
      <w:pStyle w:val="34"/>
      <w:spacing w:line="20" w:lineRule="exact"/>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8" name="文本框 168"/>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14:paraId="4A13444B">
                          <w:pPr>
                            <w:pStyle w:val="34"/>
                          </w:pPr>
                          <w:r>
                            <w:fldChar w:fldCharType="begin"/>
                          </w:r>
                          <w:r>
                            <w:instrText xml:space="preserve"> PAGE  \* MERGEFORMAT </w:instrText>
                          </w:r>
                          <w:r>
                            <w:fldChar w:fldCharType="separate"/>
                          </w:r>
                          <w:r>
                            <w:t>23</w:t>
                          </w:r>
                          <w: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ql5uc8AAAAFAQAADwAAAAAAAAABACAAAAAiAAAAZHJzL2Rv&#10;d25yZXYueG1sUEsBAhQAFAAAAAgAh07iQEcvvHQKAgAAFgQAAA4AAAAAAAAAAQAgAAAAHgEAAGRy&#10;cy9lMm9Eb2MueG1sUEsFBgAAAAAGAAYAWQEAAJoFAAAAAA==&#10;">
              <v:fill on="f" focussize="0,0"/>
              <v:stroke on="f"/>
              <v:imagedata o:title=""/>
              <o:lock v:ext="edit" aspectratio="f"/>
              <v:textbox inset="0mm,0mm,0mm,0mm" style="mso-fit-shape-to-text:t;">
                <w:txbxContent>
                  <w:p w14:paraId="4A13444B">
                    <w:pPr>
                      <w:pStyle w:val="34"/>
                    </w:pPr>
                    <w:r>
                      <w:fldChar w:fldCharType="begin"/>
                    </w:r>
                    <w:r>
                      <w:instrText xml:space="preserve"> PAGE  \* MERGEFORMAT </w:instrText>
                    </w:r>
                    <w:r>
                      <w:fldChar w:fldCharType="separate"/>
                    </w:r>
                    <w:r>
                      <w:t>23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B21021">
    <w:pPr>
      <w:pStyle w:val="34"/>
      <w:spacing w:line="20" w:lineRule="exact"/>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7" name="文本框 167"/>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ffectLst/>
                    </wps:spPr>
                    <wps:txbx>
                      <w:txbxContent>
                        <w:p w14:paraId="7D788744">
                          <w:pPr>
                            <w:pStyle w:val="34"/>
                          </w:pPr>
                          <w:r>
                            <w:fldChar w:fldCharType="begin"/>
                          </w:r>
                          <w:r>
                            <w:instrText xml:space="preserve"> PAGE  \* MERGEFORMAT </w:instrText>
                          </w:r>
                          <w:r>
                            <w:fldChar w:fldCharType="separate"/>
                          </w:r>
                          <w:r>
                            <w:t>49</w:t>
                          </w:r>
                          <w: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ql5uc8AAAAFAQAADwAAAAAAAAABACAAAAAiAAAAZHJzL2Rv&#10;d25yZXYueG1sUEsBAhQAFAAAAAgAh07iQMnX5+cKAgAAFgQAAA4AAAAAAAAAAQAgAAAAHgEAAGRy&#10;cy9lMm9Eb2MueG1sUEsFBgAAAAAGAAYAWQEAAJoFAAAAAA==&#10;">
              <v:fill on="f" focussize="0,0"/>
              <v:stroke on="f"/>
              <v:imagedata o:title=""/>
              <o:lock v:ext="edit" aspectratio="f"/>
              <v:textbox inset="0mm,0mm,0mm,0mm" style="mso-fit-shape-to-text:t;">
                <w:txbxContent>
                  <w:p w14:paraId="7D788744">
                    <w:pPr>
                      <w:pStyle w:val="34"/>
                    </w:pPr>
                    <w:r>
                      <w:fldChar w:fldCharType="begin"/>
                    </w:r>
                    <w:r>
                      <w:instrText xml:space="preserve"> PAGE  \* MERGEFORMAT </w:instrText>
                    </w:r>
                    <w:r>
                      <w:fldChar w:fldCharType="separate"/>
                    </w:r>
                    <w:r>
                      <w:t>49</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1B63B0">
    <w:pPr>
      <w:pStyle w:val="34"/>
      <w:spacing w:line="20" w:lineRule="exact"/>
    </w:pPr>
    <w:r>
      <w:rPr>
        <w:sz w:val="21"/>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5964DE">
                          <w:pPr>
                            <w:pStyle w:val="34"/>
                          </w:pPr>
                          <w:r>
                            <w:fldChar w:fldCharType="begin"/>
                          </w:r>
                          <w:r>
                            <w:instrText xml:space="preserve"> PAGE  \* MERGEFORMAT </w:instrText>
                          </w:r>
                          <w:r>
                            <w:fldChar w:fldCharType="separate"/>
                          </w:r>
                          <w:r>
                            <w:t>53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3cvA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3cvAzAgAAYwQAAA4AAAAAAAAAAQAgAAAAHwEAAGRycy9lMm9Eb2MueG1sUEsF&#10;BgAAAAAGAAYAWQEAAMQFAAAAAA==&#10;">
              <v:fill on="f" focussize="0,0"/>
              <v:stroke on="f" weight="0.5pt"/>
              <v:imagedata o:title=""/>
              <o:lock v:ext="edit" aspectratio="f"/>
              <v:textbox inset="0mm,0mm,0mm,0mm" style="mso-fit-shape-to-text:t;">
                <w:txbxContent>
                  <w:p w14:paraId="325964DE">
                    <w:pPr>
                      <w:pStyle w:val="34"/>
                    </w:pPr>
                    <w:r>
                      <w:fldChar w:fldCharType="begin"/>
                    </w:r>
                    <w:r>
                      <w:instrText xml:space="preserve"> PAGE  \* MERGEFORMAT </w:instrText>
                    </w:r>
                    <w:r>
                      <w:fldChar w:fldCharType="separate"/>
                    </w:r>
                    <w:r>
                      <w:t>53</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DAC731">
    <w:pPr>
      <w:pStyle w:val="34"/>
      <w:spacing w:line="20" w:lineRule="exac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390C0D">
    <w:pPr>
      <w:pStyle w:val="34"/>
      <w:spacing w:line="20" w:lineRule="exact"/>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CE32F7">
    <w:pPr>
      <w:pStyle w:val="35"/>
      <w:pBdr>
        <w:bottom w:val="none" w:color="auto" w:sz="0" w:space="1"/>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43EA38">
    <w:pPr>
      <w:pStyle w:val="35"/>
      <w:pBdr>
        <w:bottom w:val="none" w:color="auto" w:sz="0" w:space="0"/>
      </w:pBdr>
      <w:jc w:val="both"/>
      <w:rPr>
        <w:rFonts w:hint="eastAsia" w:eastAsia="宋体"/>
        <w:lang w:val="en-US"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AF2119F"/>
    <w:multiLevelType w:val="multilevel"/>
    <w:tmpl w:val="AAF2119F"/>
    <w:lvl w:ilvl="0" w:tentative="0">
      <w:start w:val="1"/>
      <w:numFmt w:val="chineseCounting"/>
      <w:pStyle w:val="2"/>
      <w:suff w:val="space"/>
      <w:lvlText w:val="%1、"/>
      <w:lvlJc w:val="left"/>
      <w:pPr>
        <w:tabs>
          <w:tab w:val="left" w:pos="420"/>
        </w:tabs>
        <w:ind w:left="6905" w:hanging="425"/>
      </w:pPr>
      <w:rPr>
        <w:rFonts w:hint="eastAsia" w:ascii="宋体" w:hAnsi="宋体" w:eastAsia="宋体" w:cs="宋体"/>
      </w:rPr>
    </w:lvl>
    <w:lvl w:ilvl="1" w:tentative="0">
      <w:start w:val="1"/>
      <w:numFmt w:val="decimal"/>
      <w:pStyle w:val="3"/>
      <w:isLgl/>
      <w:suff w:val="space"/>
      <w:lvlText w:val="%1.%2"/>
      <w:lvlJc w:val="left"/>
      <w:pPr>
        <w:tabs>
          <w:tab w:val="left" w:pos="0"/>
        </w:tabs>
        <w:ind w:left="0" w:firstLine="0"/>
      </w:pPr>
      <w:rPr>
        <w:rFonts w:hint="eastAsia" w:ascii="Times New Roman" w:hAnsi="Times New Roman" w:eastAsia="宋体" w:cs="宋体"/>
      </w:rPr>
    </w:lvl>
    <w:lvl w:ilvl="2" w:tentative="0">
      <w:start w:val="1"/>
      <w:numFmt w:val="decimal"/>
      <w:pStyle w:val="4"/>
      <w:isLgl/>
      <w:suff w:val="space"/>
      <w:lvlText w:val="%1.%2.%3"/>
      <w:lvlJc w:val="left"/>
      <w:pPr>
        <w:tabs>
          <w:tab w:val="left" w:pos="0"/>
        </w:tabs>
        <w:ind w:left="0" w:firstLine="0"/>
      </w:pPr>
      <w:rPr>
        <w:rFonts w:hint="eastAsia" w:ascii="Times New Roman" w:hAnsi="Times New Roman" w:eastAsia="宋体" w:cs="宋体"/>
      </w:rPr>
    </w:lvl>
    <w:lvl w:ilvl="3" w:tentative="0">
      <w:start w:val="1"/>
      <w:numFmt w:val="decimal"/>
      <w:pStyle w:val="5"/>
      <w:isLgl/>
      <w:lvlText w:val="%1.%2.%3.%4."/>
      <w:lvlJc w:val="left"/>
      <w:pPr>
        <w:tabs>
          <w:tab w:val="left" w:pos="0"/>
        </w:tabs>
        <w:ind w:left="0" w:firstLine="0"/>
      </w:pPr>
      <w:rPr>
        <w:rFonts w:hint="eastAsia"/>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abstractNum w:abstractNumId="1">
    <w:nsid w:val="B6AE9323"/>
    <w:multiLevelType w:val="singleLevel"/>
    <w:tmpl w:val="B6AE9323"/>
    <w:lvl w:ilvl="0" w:tentative="0">
      <w:start w:val="3"/>
      <w:numFmt w:val="decimal"/>
      <w:suff w:val="nothing"/>
      <w:lvlText w:val="（%1）"/>
      <w:lvlJc w:val="left"/>
    </w:lvl>
  </w:abstractNum>
  <w:abstractNum w:abstractNumId="2">
    <w:nsid w:val="C8B764F4"/>
    <w:multiLevelType w:val="multilevel"/>
    <w:tmpl w:val="C8B764F4"/>
    <w:lvl w:ilvl="0" w:tentative="0">
      <w:start w:val="1"/>
      <w:numFmt w:val="chineseCounting"/>
      <w:suff w:val="nothing"/>
      <w:lvlText w:val="%1、"/>
      <w:lvlJc w:val="left"/>
      <w:pPr>
        <w:tabs>
          <w:tab w:val="left" w:pos="0"/>
        </w:tabs>
        <w:ind w:left="0" w:firstLine="0"/>
      </w:pPr>
      <w:rPr>
        <w:rFonts w:hint="eastAsia"/>
      </w:rPr>
    </w:lvl>
    <w:lvl w:ilvl="1" w:tentative="0">
      <w:start w:val="1"/>
      <w:numFmt w:val="decimal"/>
      <w:suff w:val="nothing"/>
      <w:lvlText w:val="%2.1"/>
      <w:lvlJc w:val="left"/>
      <w:pPr>
        <w:tabs>
          <w:tab w:val="left" w:pos="0"/>
        </w:tabs>
        <w:ind w:left="0" w:firstLine="0"/>
      </w:pPr>
      <w:rPr>
        <w:rFonts w:hint="eastAsia" w:ascii="宋体" w:hAnsi="宋体" w:eastAsia="宋体" w:cs="宋体"/>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pStyle w:val="6"/>
      <w:suff w:val="nothing"/>
      <w:lvlText w:val="%5"/>
      <w:lvlJc w:val="left"/>
      <w:pPr>
        <w:ind w:left="0" w:firstLine="402"/>
      </w:pPr>
      <w:rPr>
        <w:rFonts w:hint="eastAsia"/>
      </w:rPr>
    </w:lvl>
    <w:lvl w:ilvl="5" w:tentative="0">
      <w:start w:val="1"/>
      <w:numFmt w:val="decimal"/>
      <w:pStyle w:val="7"/>
      <w:suff w:val="nothing"/>
      <w:lvlText w:val="%6）"/>
      <w:lvlJc w:val="left"/>
      <w:pPr>
        <w:ind w:left="0" w:firstLine="402"/>
      </w:pPr>
      <w:rPr>
        <w:rFonts w:hint="eastAsia"/>
      </w:rPr>
    </w:lvl>
    <w:lvl w:ilvl="6" w:tentative="0">
      <w:start w:val="1"/>
      <w:numFmt w:val="lowerLetter"/>
      <w:pStyle w:val="8"/>
      <w:suff w:val="nothing"/>
      <w:lvlText w:val="%7．"/>
      <w:lvlJc w:val="left"/>
      <w:pPr>
        <w:ind w:left="0" w:firstLine="402"/>
      </w:pPr>
      <w:rPr>
        <w:rFonts w:hint="eastAsia"/>
      </w:rPr>
    </w:lvl>
    <w:lvl w:ilvl="7" w:tentative="0">
      <w:start w:val="1"/>
      <w:numFmt w:val="lowerLetter"/>
      <w:pStyle w:val="9"/>
      <w:suff w:val="nothing"/>
      <w:lvlText w:val="%8）"/>
      <w:lvlJc w:val="left"/>
      <w:pPr>
        <w:ind w:left="0" w:firstLine="402"/>
      </w:pPr>
      <w:rPr>
        <w:rFonts w:hint="eastAsia"/>
      </w:rPr>
    </w:lvl>
    <w:lvl w:ilvl="8" w:tentative="0">
      <w:start w:val="1"/>
      <w:numFmt w:val="lowerRoman"/>
      <w:pStyle w:val="10"/>
      <w:suff w:val="nothing"/>
      <w:lvlText w:val="%9 "/>
      <w:lvlJc w:val="left"/>
      <w:pPr>
        <w:ind w:left="0" w:firstLine="402"/>
      </w:pPr>
      <w:rPr>
        <w:rFonts w:hint="eastAsia"/>
      </w:rPr>
    </w:lvl>
  </w:abstractNum>
  <w:abstractNum w:abstractNumId="3">
    <w:nsid w:val="FFFFFF82"/>
    <w:multiLevelType w:val="singleLevel"/>
    <w:tmpl w:val="FFFFFF82"/>
    <w:lvl w:ilvl="0" w:tentative="0">
      <w:start w:val="1"/>
      <w:numFmt w:val="bullet"/>
      <w:pStyle w:val="19"/>
      <w:lvlText w:val=""/>
      <w:lvlJc w:val="left"/>
      <w:pPr>
        <w:tabs>
          <w:tab w:val="left" w:pos="1200"/>
        </w:tabs>
        <w:ind w:left="1200" w:hanging="360"/>
      </w:pPr>
      <w:rPr>
        <w:rFonts w:hint="default" w:ascii="Wingdings" w:hAnsi="Wingdings"/>
      </w:rPr>
    </w:lvl>
  </w:abstractNum>
  <w:abstractNum w:abstractNumId="4">
    <w:nsid w:val="0A3E1C1F"/>
    <w:multiLevelType w:val="multilevel"/>
    <w:tmpl w:val="0A3E1C1F"/>
    <w:lvl w:ilvl="0" w:tentative="0">
      <w:start w:val="1"/>
      <w:numFmt w:val="decimal"/>
      <w:pStyle w:val="372"/>
      <w:lvlText w:val="%1"/>
      <w:lvlJc w:val="left"/>
      <w:pPr>
        <w:ind w:left="0" w:firstLine="0"/>
      </w:pPr>
      <w:rPr>
        <w:rFonts w:hint="eastAsia"/>
      </w:rPr>
    </w:lvl>
    <w:lvl w:ilvl="1" w:tentative="0">
      <w:start w:val="1"/>
      <w:numFmt w:val="decimal"/>
      <w:suff w:val="space"/>
      <w:lvlText w:val="%1.%2"/>
      <w:lvlJc w:val="left"/>
      <w:pPr>
        <w:ind w:left="426" w:firstLine="0"/>
      </w:pPr>
      <w:rPr>
        <w:rFonts w:hint="eastAsia"/>
      </w:rPr>
    </w:lvl>
    <w:lvl w:ilvl="2" w:tentative="0">
      <w:start w:val="1"/>
      <w:numFmt w:val="decimal"/>
      <w:suff w:val="space"/>
      <w:lvlText w:val="%1.%2.%3"/>
      <w:lvlJc w:val="left"/>
      <w:pPr>
        <w:ind w:left="0" w:firstLine="0"/>
      </w:pPr>
      <w:rPr>
        <w:rFonts w:hint="eastAsia"/>
      </w:rPr>
    </w:lvl>
    <w:lvl w:ilvl="3" w:tentative="0">
      <w:start w:val="1"/>
      <w:numFmt w:val="decimal"/>
      <w:suff w:val="space"/>
      <w:lvlText w:val="%1.%2.%3.%4"/>
      <w:lvlJc w:val="left"/>
      <w:pPr>
        <w:ind w:left="0" w:firstLine="0"/>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
    <w:nsid w:val="2111DDCC"/>
    <w:multiLevelType w:val="singleLevel"/>
    <w:tmpl w:val="2111DDCC"/>
    <w:lvl w:ilvl="0" w:tentative="0">
      <w:start w:val="2"/>
      <w:numFmt w:val="decimal"/>
      <w:suff w:val="nothing"/>
      <w:lvlText w:val="（%1）"/>
      <w:lvlJc w:val="left"/>
    </w:lvl>
  </w:abstractNum>
  <w:abstractNum w:abstractNumId="6">
    <w:nsid w:val="4C50162E"/>
    <w:multiLevelType w:val="singleLevel"/>
    <w:tmpl w:val="4C50162E"/>
    <w:lvl w:ilvl="0" w:tentative="0">
      <w:start w:val="1"/>
      <w:numFmt w:val="decimal"/>
      <w:suff w:val="nothing"/>
      <w:lvlText w:val="（%1）"/>
      <w:lvlJc w:val="left"/>
    </w:lvl>
  </w:abstractNum>
  <w:abstractNum w:abstractNumId="7">
    <w:nsid w:val="5B133E2E"/>
    <w:multiLevelType w:val="multilevel"/>
    <w:tmpl w:val="5B133E2E"/>
    <w:lvl w:ilvl="0" w:tentative="0">
      <w:start w:val="1"/>
      <w:numFmt w:val="decimal"/>
      <w:lvlText w:val="%1"/>
      <w:lvlJc w:val="left"/>
      <w:pPr>
        <w:ind w:left="425" w:hanging="425"/>
      </w:pPr>
      <w:rPr>
        <w:rFonts w:hint="eastAsia"/>
      </w:rPr>
    </w:lvl>
    <w:lvl w:ilvl="1" w:tentative="0">
      <w:start w:val="1"/>
      <w:numFmt w:val="decimal"/>
      <w:pStyle w:val="347"/>
      <w:lvlText w:val="%1.%2"/>
      <w:lvlJc w:val="left"/>
      <w:pPr>
        <w:ind w:left="992" w:hanging="992"/>
      </w:pPr>
      <w:rPr>
        <w:rFonts w:hint="eastAsia"/>
      </w:rPr>
    </w:lvl>
    <w:lvl w:ilvl="2" w:tentative="0">
      <w:start w:val="1"/>
      <w:numFmt w:val="decimal"/>
      <w:lvlText w:val="%1.%2.%3"/>
      <w:lvlJc w:val="left"/>
      <w:pPr>
        <w:ind w:left="567" w:hanging="567"/>
      </w:pPr>
      <w:rPr>
        <w:rFonts w:hint="eastAsia"/>
      </w:rPr>
    </w:lvl>
    <w:lvl w:ilvl="3" w:tentative="0">
      <w:start w:val="1"/>
      <w:numFmt w:val="decimal"/>
      <w:pStyle w:val="353"/>
      <w:isLgl/>
      <w:lvlText w:val="%1.%2.%3.%4"/>
      <w:lvlJc w:val="left"/>
      <w:pPr>
        <w:ind w:left="567" w:hanging="567"/>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8">
    <w:nsid w:val="5B1C16FF"/>
    <w:multiLevelType w:val="multilevel"/>
    <w:tmpl w:val="5B1C16FF"/>
    <w:lvl w:ilvl="0" w:tentative="0">
      <w:start w:val="1"/>
      <w:numFmt w:val="decimal"/>
      <w:lvlText w:val="%1"/>
      <w:lvlJc w:val="left"/>
      <w:pPr>
        <w:ind w:left="425" w:hanging="425"/>
      </w:pPr>
      <w:rPr>
        <w:rFonts w:hint="eastAsia"/>
      </w:rPr>
    </w:lvl>
    <w:lvl w:ilvl="1" w:tentative="0">
      <w:start w:val="1"/>
      <w:numFmt w:val="decimal"/>
      <w:lvlText w:val="%1.%2"/>
      <w:lvlJc w:val="left"/>
      <w:pPr>
        <w:ind w:left="992" w:hanging="992"/>
      </w:pPr>
      <w:rPr>
        <w:rFonts w:hint="eastAsia"/>
      </w:rPr>
    </w:lvl>
    <w:lvl w:ilvl="2" w:tentative="0">
      <w:start w:val="1"/>
      <w:numFmt w:val="decimal"/>
      <w:pStyle w:val="334"/>
      <w:lvlText w:val="%1.%2.%3"/>
      <w:lvlJc w:val="left"/>
      <w:pPr>
        <w:ind w:left="567" w:hanging="567"/>
      </w:pPr>
      <w:rPr>
        <w:rFonts w:hint="eastAsia"/>
      </w:rPr>
    </w:lvl>
    <w:lvl w:ilvl="3" w:tentative="0">
      <w:start w:val="1"/>
      <w:numFmt w:val="decimal"/>
      <w:lvlText w:val="%1.%2.%3.%4"/>
      <w:lvlJc w:val="left"/>
      <w:pPr>
        <w:ind w:left="567" w:hanging="567"/>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0"/>
  </w:num>
  <w:num w:numId="2">
    <w:abstractNumId w:val="2"/>
  </w:num>
  <w:num w:numId="3">
    <w:abstractNumId w:val="3"/>
  </w:num>
  <w:num w:numId="4">
    <w:abstractNumId w:val="8"/>
  </w:num>
  <w:num w:numId="5">
    <w:abstractNumId w:val="7"/>
  </w:num>
  <w:num w:numId="6">
    <w:abstractNumId w:val="4"/>
  </w:num>
  <w:num w:numId="7">
    <w:abstractNumId w:val="1"/>
  </w:num>
  <w:num w:numId="8">
    <w:abstractNumId w:val="5"/>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dmOGE1YWI1Mjc3NTBiODQxYTQwZmY0MThmYWM2MTEifQ=="/>
  </w:docVars>
  <w:rsids>
    <w:rsidRoot w:val="004D6CD0"/>
    <w:rsid w:val="0000054D"/>
    <w:rsid w:val="00013D76"/>
    <w:rsid w:val="000158FC"/>
    <w:rsid w:val="000200D6"/>
    <w:rsid w:val="0002334D"/>
    <w:rsid w:val="000312DE"/>
    <w:rsid w:val="000340DB"/>
    <w:rsid w:val="00045147"/>
    <w:rsid w:val="0006305F"/>
    <w:rsid w:val="00076791"/>
    <w:rsid w:val="000779E2"/>
    <w:rsid w:val="0008787E"/>
    <w:rsid w:val="000A0CF7"/>
    <w:rsid w:val="000A2328"/>
    <w:rsid w:val="000B7301"/>
    <w:rsid w:val="000C775C"/>
    <w:rsid w:val="000D48A5"/>
    <w:rsid w:val="000D54AF"/>
    <w:rsid w:val="000D5B19"/>
    <w:rsid w:val="000E1B01"/>
    <w:rsid w:val="000E7E32"/>
    <w:rsid w:val="000F2901"/>
    <w:rsid w:val="000F3E10"/>
    <w:rsid w:val="00111026"/>
    <w:rsid w:val="00113B8A"/>
    <w:rsid w:val="00114087"/>
    <w:rsid w:val="0011668E"/>
    <w:rsid w:val="00124E0A"/>
    <w:rsid w:val="001263C0"/>
    <w:rsid w:val="001306B5"/>
    <w:rsid w:val="0013773E"/>
    <w:rsid w:val="00143706"/>
    <w:rsid w:val="00144D40"/>
    <w:rsid w:val="00152B68"/>
    <w:rsid w:val="00154565"/>
    <w:rsid w:val="00156120"/>
    <w:rsid w:val="00161DCA"/>
    <w:rsid w:val="00165DA2"/>
    <w:rsid w:val="00171DF2"/>
    <w:rsid w:val="001744D1"/>
    <w:rsid w:val="001747CD"/>
    <w:rsid w:val="0018099E"/>
    <w:rsid w:val="00192C04"/>
    <w:rsid w:val="00197D8B"/>
    <w:rsid w:val="001A591E"/>
    <w:rsid w:val="001B61E3"/>
    <w:rsid w:val="001D00BC"/>
    <w:rsid w:val="001D03E9"/>
    <w:rsid w:val="001D0D34"/>
    <w:rsid w:val="001D1019"/>
    <w:rsid w:val="001E419D"/>
    <w:rsid w:val="001F2B7D"/>
    <w:rsid w:val="0020536F"/>
    <w:rsid w:val="00206B91"/>
    <w:rsid w:val="0021033D"/>
    <w:rsid w:val="00211D28"/>
    <w:rsid w:val="002126FD"/>
    <w:rsid w:val="002235CA"/>
    <w:rsid w:val="00242312"/>
    <w:rsid w:val="002467AA"/>
    <w:rsid w:val="00250678"/>
    <w:rsid w:val="002536A0"/>
    <w:rsid w:val="00263C6E"/>
    <w:rsid w:val="002644F9"/>
    <w:rsid w:val="00291402"/>
    <w:rsid w:val="002A6F5E"/>
    <w:rsid w:val="002B61FB"/>
    <w:rsid w:val="002B7D35"/>
    <w:rsid w:val="002C5118"/>
    <w:rsid w:val="002C5128"/>
    <w:rsid w:val="002D7F07"/>
    <w:rsid w:val="002E1F87"/>
    <w:rsid w:val="002E31D9"/>
    <w:rsid w:val="002E4CD4"/>
    <w:rsid w:val="002E6F0D"/>
    <w:rsid w:val="002F123B"/>
    <w:rsid w:val="002F2554"/>
    <w:rsid w:val="002F558C"/>
    <w:rsid w:val="00302226"/>
    <w:rsid w:val="00302ACC"/>
    <w:rsid w:val="0032469A"/>
    <w:rsid w:val="00325B48"/>
    <w:rsid w:val="003322FE"/>
    <w:rsid w:val="003330D0"/>
    <w:rsid w:val="00335C61"/>
    <w:rsid w:val="0034116C"/>
    <w:rsid w:val="003432EB"/>
    <w:rsid w:val="003448A1"/>
    <w:rsid w:val="00346CEA"/>
    <w:rsid w:val="00347437"/>
    <w:rsid w:val="00350AE0"/>
    <w:rsid w:val="0036647E"/>
    <w:rsid w:val="0037575F"/>
    <w:rsid w:val="00391A86"/>
    <w:rsid w:val="00396C0C"/>
    <w:rsid w:val="003978F3"/>
    <w:rsid w:val="003A5D59"/>
    <w:rsid w:val="003B2086"/>
    <w:rsid w:val="003C468C"/>
    <w:rsid w:val="003D5C19"/>
    <w:rsid w:val="003D5F18"/>
    <w:rsid w:val="003E4120"/>
    <w:rsid w:val="003F3D5A"/>
    <w:rsid w:val="004072BA"/>
    <w:rsid w:val="004238F6"/>
    <w:rsid w:val="004436A0"/>
    <w:rsid w:val="004465D1"/>
    <w:rsid w:val="004558E4"/>
    <w:rsid w:val="00457B13"/>
    <w:rsid w:val="00464550"/>
    <w:rsid w:val="00475514"/>
    <w:rsid w:val="004828B9"/>
    <w:rsid w:val="0048647D"/>
    <w:rsid w:val="004876ED"/>
    <w:rsid w:val="00495AFB"/>
    <w:rsid w:val="004A1FCA"/>
    <w:rsid w:val="004A3659"/>
    <w:rsid w:val="004A5CD6"/>
    <w:rsid w:val="004A7D58"/>
    <w:rsid w:val="004B2ABB"/>
    <w:rsid w:val="004C31A9"/>
    <w:rsid w:val="004C4F2F"/>
    <w:rsid w:val="004C76A6"/>
    <w:rsid w:val="004D6A88"/>
    <w:rsid w:val="004D6CD0"/>
    <w:rsid w:val="004D7774"/>
    <w:rsid w:val="004E7E01"/>
    <w:rsid w:val="004F27B5"/>
    <w:rsid w:val="004F27C0"/>
    <w:rsid w:val="0050509B"/>
    <w:rsid w:val="00507243"/>
    <w:rsid w:val="0050746A"/>
    <w:rsid w:val="00507A3C"/>
    <w:rsid w:val="005154E3"/>
    <w:rsid w:val="00517110"/>
    <w:rsid w:val="00520221"/>
    <w:rsid w:val="00523E99"/>
    <w:rsid w:val="00536273"/>
    <w:rsid w:val="00544079"/>
    <w:rsid w:val="00553144"/>
    <w:rsid w:val="0056115A"/>
    <w:rsid w:val="0056351E"/>
    <w:rsid w:val="00567542"/>
    <w:rsid w:val="005709A5"/>
    <w:rsid w:val="00575F61"/>
    <w:rsid w:val="005771FC"/>
    <w:rsid w:val="0057770E"/>
    <w:rsid w:val="00580CFC"/>
    <w:rsid w:val="0058287F"/>
    <w:rsid w:val="00584C87"/>
    <w:rsid w:val="00592E71"/>
    <w:rsid w:val="005963C2"/>
    <w:rsid w:val="00597ACD"/>
    <w:rsid w:val="005A485D"/>
    <w:rsid w:val="005A5C10"/>
    <w:rsid w:val="005A6518"/>
    <w:rsid w:val="005B0910"/>
    <w:rsid w:val="005B212F"/>
    <w:rsid w:val="005B24F4"/>
    <w:rsid w:val="005B5D19"/>
    <w:rsid w:val="005C11A0"/>
    <w:rsid w:val="005E1097"/>
    <w:rsid w:val="005E471B"/>
    <w:rsid w:val="005E7EC3"/>
    <w:rsid w:val="005F0C1C"/>
    <w:rsid w:val="005F60A2"/>
    <w:rsid w:val="005F7642"/>
    <w:rsid w:val="005F7C8A"/>
    <w:rsid w:val="0060286A"/>
    <w:rsid w:val="0060305C"/>
    <w:rsid w:val="00611769"/>
    <w:rsid w:val="00611779"/>
    <w:rsid w:val="00611F60"/>
    <w:rsid w:val="006140D1"/>
    <w:rsid w:val="00625BAE"/>
    <w:rsid w:val="0063591B"/>
    <w:rsid w:val="00635CEF"/>
    <w:rsid w:val="00636F17"/>
    <w:rsid w:val="00641AF6"/>
    <w:rsid w:val="0064367E"/>
    <w:rsid w:val="0064594F"/>
    <w:rsid w:val="006508DC"/>
    <w:rsid w:val="00650911"/>
    <w:rsid w:val="00650D83"/>
    <w:rsid w:val="00651EF8"/>
    <w:rsid w:val="00660750"/>
    <w:rsid w:val="00676030"/>
    <w:rsid w:val="00682367"/>
    <w:rsid w:val="006A34E4"/>
    <w:rsid w:val="006A36F9"/>
    <w:rsid w:val="006A5534"/>
    <w:rsid w:val="006B3770"/>
    <w:rsid w:val="006B5510"/>
    <w:rsid w:val="006C4A09"/>
    <w:rsid w:val="006D0E8A"/>
    <w:rsid w:val="006D3C5E"/>
    <w:rsid w:val="006D4488"/>
    <w:rsid w:val="006D724E"/>
    <w:rsid w:val="00703F0F"/>
    <w:rsid w:val="007070CA"/>
    <w:rsid w:val="00711294"/>
    <w:rsid w:val="007112B5"/>
    <w:rsid w:val="00711A11"/>
    <w:rsid w:val="00721E3F"/>
    <w:rsid w:val="00726E49"/>
    <w:rsid w:val="007311EB"/>
    <w:rsid w:val="00741F2A"/>
    <w:rsid w:val="007422E8"/>
    <w:rsid w:val="00755DC8"/>
    <w:rsid w:val="0075738C"/>
    <w:rsid w:val="00765B97"/>
    <w:rsid w:val="00773A54"/>
    <w:rsid w:val="007806D9"/>
    <w:rsid w:val="007816FC"/>
    <w:rsid w:val="00783395"/>
    <w:rsid w:val="007A28A6"/>
    <w:rsid w:val="007A39F3"/>
    <w:rsid w:val="007B09DD"/>
    <w:rsid w:val="007C3059"/>
    <w:rsid w:val="007C4BE9"/>
    <w:rsid w:val="007C56E6"/>
    <w:rsid w:val="007C589B"/>
    <w:rsid w:val="007D5759"/>
    <w:rsid w:val="007D57B4"/>
    <w:rsid w:val="007D62E6"/>
    <w:rsid w:val="007E18D5"/>
    <w:rsid w:val="007F5000"/>
    <w:rsid w:val="00806BF4"/>
    <w:rsid w:val="008260E0"/>
    <w:rsid w:val="00830691"/>
    <w:rsid w:val="00840AF9"/>
    <w:rsid w:val="00847DBC"/>
    <w:rsid w:val="00850527"/>
    <w:rsid w:val="00850AB2"/>
    <w:rsid w:val="0085616C"/>
    <w:rsid w:val="00862622"/>
    <w:rsid w:val="00865EE6"/>
    <w:rsid w:val="0086641A"/>
    <w:rsid w:val="00867368"/>
    <w:rsid w:val="008820B7"/>
    <w:rsid w:val="0088533C"/>
    <w:rsid w:val="008876E1"/>
    <w:rsid w:val="0089362C"/>
    <w:rsid w:val="008A09C2"/>
    <w:rsid w:val="008A6D9E"/>
    <w:rsid w:val="008B0D61"/>
    <w:rsid w:val="008B4632"/>
    <w:rsid w:val="008D5EA1"/>
    <w:rsid w:val="008D6AE6"/>
    <w:rsid w:val="008E6933"/>
    <w:rsid w:val="008E75A7"/>
    <w:rsid w:val="008E778D"/>
    <w:rsid w:val="008F034A"/>
    <w:rsid w:val="008F383E"/>
    <w:rsid w:val="008F401C"/>
    <w:rsid w:val="0090096E"/>
    <w:rsid w:val="00902D22"/>
    <w:rsid w:val="00914943"/>
    <w:rsid w:val="00924E6B"/>
    <w:rsid w:val="009272F3"/>
    <w:rsid w:val="00931F2F"/>
    <w:rsid w:val="00934CA5"/>
    <w:rsid w:val="0093545B"/>
    <w:rsid w:val="00937A3B"/>
    <w:rsid w:val="00941EBE"/>
    <w:rsid w:val="009424DA"/>
    <w:rsid w:val="00962721"/>
    <w:rsid w:val="009645BC"/>
    <w:rsid w:val="009655C9"/>
    <w:rsid w:val="00981AE9"/>
    <w:rsid w:val="0098360F"/>
    <w:rsid w:val="009B43B8"/>
    <w:rsid w:val="009D1877"/>
    <w:rsid w:val="009D4FAD"/>
    <w:rsid w:val="009E2E59"/>
    <w:rsid w:val="009F3441"/>
    <w:rsid w:val="00A07113"/>
    <w:rsid w:val="00A11539"/>
    <w:rsid w:val="00A158EB"/>
    <w:rsid w:val="00A2781E"/>
    <w:rsid w:val="00A34A03"/>
    <w:rsid w:val="00A44E5A"/>
    <w:rsid w:val="00A46B31"/>
    <w:rsid w:val="00A5002B"/>
    <w:rsid w:val="00A519A8"/>
    <w:rsid w:val="00A656DA"/>
    <w:rsid w:val="00A6733E"/>
    <w:rsid w:val="00A90BDA"/>
    <w:rsid w:val="00A90D94"/>
    <w:rsid w:val="00A9201D"/>
    <w:rsid w:val="00A92F4A"/>
    <w:rsid w:val="00A97FE3"/>
    <w:rsid w:val="00AA3671"/>
    <w:rsid w:val="00AA6B9B"/>
    <w:rsid w:val="00AB1192"/>
    <w:rsid w:val="00AC0568"/>
    <w:rsid w:val="00AD553C"/>
    <w:rsid w:val="00AE2EF5"/>
    <w:rsid w:val="00AE5FA5"/>
    <w:rsid w:val="00AE637D"/>
    <w:rsid w:val="00AE6A66"/>
    <w:rsid w:val="00AE743B"/>
    <w:rsid w:val="00B00979"/>
    <w:rsid w:val="00B059B6"/>
    <w:rsid w:val="00B06862"/>
    <w:rsid w:val="00B06E28"/>
    <w:rsid w:val="00B07CFF"/>
    <w:rsid w:val="00B07F19"/>
    <w:rsid w:val="00B2283C"/>
    <w:rsid w:val="00B22859"/>
    <w:rsid w:val="00B34CC0"/>
    <w:rsid w:val="00B35A2E"/>
    <w:rsid w:val="00B3605F"/>
    <w:rsid w:val="00B45991"/>
    <w:rsid w:val="00B45FAB"/>
    <w:rsid w:val="00B50044"/>
    <w:rsid w:val="00B556A4"/>
    <w:rsid w:val="00B61A52"/>
    <w:rsid w:val="00B7705C"/>
    <w:rsid w:val="00B81906"/>
    <w:rsid w:val="00B82895"/>
    <w:rsid w:val="00B84322"/>
    <w:rsid w:val="00B9061E"/>
    <w:rsid w:val="00BA3276"/>
    <w:rsid w:val="00BA4420"/>
    <w:rsid w:val="00BB1C73"/>
    <w:rsid w:val="00BB2038"/>
    <w:rsid w:val="00BB3935"/>
    <w:rsid w:val="00BB4295"/>
    <w:rsid w:val="00BB667B"/>
    <w:rsid w:val="00BC1EE6"/>
    <w:rsid w:val="00BC4475"/>
    <w:rsid w:val="00BC4B8D"/>
    <w:rsid w:val="00BD0B2B"/>
    <w:rsid w:val="00BD2CAB"/>
    <w:rsid w:val="00BD3602"/>
    <w:rsid w:val="00BE118B"/>
    <w:rsid w:val="00BE4751"/>
    <w:rsid w:val="00BE507F"/>
    <w:rsid w:val="00BE5CA5"/>
    <w:rsid w:val="00BF1830"/>
    <w:rsid w:val="00BF6E0B"/>
    <w:rsid w:val="00C023A4"/>
    <w:rsid w:val="00C0465C"/>
    <w:rsid w:val="00C05735"/>
    <w:rsid w:val="00C15E73"/>
    <w:rsid w:val="00C176F9"/>
    <w:rsid w:val="00C2326D"/>
    <w:rsid w:val="00C262EE"/>
    <w:rsid w:val="00C304CC"/>
    <w:rsid w:val="00C45CBF"/>
    <w:rsid w:val="00C464F1"/>
    <w:rsid w:val="00C52782"/>
    <w:rsid w:val="00C536E0"/>
    <w:rsid w:val="00C977AD"/>
    <w:rsid w:val="00CA5E7C"/>
    <w:rsid w:val="00CB5D94"/>
    <w:rsid w:val="00CC3AC3"/>
    <w:rsid w:val="00CD2406"/>
    <w:rsid w:val="00CD247A"/>
    <w:rsid w:val="00CD4CB5"/>
    <w:rsid w:val="00CE4DE9"/>
    <w:rsid w:val="00D02D06"/>
    <w:rsid w:val="00D0313E"/>
    <w:rsid w:val="00D1636B"/>
    <w:rsid w:val="00D246B4"/>
    <w:rsid w:val="00D32D94"/>
    <w:rsid w:val="00D3734F"/>
    <w:rsid w:val="00D37690"/>
    <w:rsid w:val="00D47CB3"/>
    <w:rsid w:val="00D51841"/>
    <w:rsid w:val="00D52B5F"/>
    <w:rsid w:val="00D55A79"/>
    <w:rsid w:val="00D64503"/>
    <w:rsid w:val="00D659F5"/>
    <w:rsid w:val="00D70449"/>
    <w:rsid w:val="00D70F86"/>
    <w:rsid w:val="00D80EFB"/>
    <w:rsid w:val="00D86190"/>
    <w:rsid w:val="00D91CC8"/>
    <w:rsid w:val="00D91DA9"/>
    <w:rsid w:val="00D9683B"/>
    <w:rsid w:val="00DA5AC7"/>
    <w:rsid w:val="00DB4070"/>
    <w:rsid w:val="00DB5259"/>
    <w:rsid w:val="00DC62B1"/>
    <w:rsid w:val="00DC6A72"/>
    <w:rsid w:val="00DC73CA"/>
    <w:rsid w:val="00DD36BC"/>
    <w:rsid w:val="00DD6249"/>
    <w:rsid w:val="00DE0530"/>
    <w:rsid w:val="00E05E34"/>
    <w:rsid w:val="00E13F30"/>
    <w:rsid w:val="00E16FB0"/>
    <w:rsid w:val="00E200A2"/>
    <w:rsid w:val="00E2557B"/>
    <w:rsid w:val="00E40802"/>
    <w:rsid w:val="00E47CD6"/>
    <w:rsid w:val="00E615C7"/>
    <w:rsid w:val="00E6302C"/>
    <w:rsid w:val="00E83827"/>
    <w:rsid w:val="00E85224"/>
    <w:rsid w:val="00E86163"/>
    <w:rsid w:val="00E900A0"/>
    <w:rsid w:val="00E93AFB"/>
    <w:rsid w:val="00EA0D3E"/>
    <w:rsid w:val="00EA255B"/>
    <w:rsid w:val="00EA4DB5"/>
    <w:rsid w:val="00EA5450"/>
    <w:rsid w:val="00EB336A"/>
    <w:rsid w:val="00EB5D0A"/>
    <w:rsid w:val="00EB6D44"/>
    <w:rsid w:val="00ED543B"/>
    <w:rsid w:val="00EE53DE"/>
    <w:rsid w:val="00EE585E"/>
    <w:rsid w:val="00F0109E"/>
    <w:rsid w:val="00F1215B"/>
    <w:rsid w:val="00F15665"/>
    <w:rsid w:val="00F168E0"/>
    <w:rsid w:val="00F234BD"/>
    <w:rsid w:val="00F25B0A"/>
    <w:rsid w:val="00F429C1"/>
    <w:rsid w:val="00F42FBF"/>
    <w:rsid w:val="00F46C24"/>
    <w:rsid w:val="00F52B51"/>
    <w:rsid w:val="00F578DF"/>
    <w:rsid w:val="00F65CC7"/>
    <w:rsid w:val="00F80F34"/>
    <w:rsid w:val="00F81062"/>
    <w:rsid w:val="00F828E5"/>
    <w:rsid w:val="00F8672F"/>
    <w:rsid w:val="00F87AC9"/>
    <w:rsid w:val="00F9257D"/>
    <w:rsid w:val="00F9303D"/>
    <w:rsid w:val="00F95137"/>
    <w:rsid w:val="00FB00EC"/>
    <w:rsid w:val="00FB0C30"/>
    <w:rsid w:val="00FB62C7"/>
    <w:rsid w:val="00FB73DC"/>
    <w:rsid w:val="00FC7409"/>
    <w:rsid w:val="00FD65C7"/>
    <w:rsid w:val="00FE0A16"/>
    <w:rsid w:val="00FE7413"/>
    <w:rsid w:val="00FF6661"/>
    <w:rsid w:val="011718D7"/>
    <w:rsid w:val="011C648D"/>
    <w:rsid w:val="01255DC7"/>
    <w:rsid w:val="01423F24"/>
    <w:rsid w:val="01522790"/>
    <w:rsid w:val="016C71F3"/>
    <w:rsid w:val="0194674A"/>
    <w:rsid w:val="01AC3774"/>
    <w:rsid w:val="01D54D98"/>
    <w:rsid w:val="01E67010"/>
    <w:rsid w:val="0204567E"/>
    <w:rsid w:val="02602D72"/>
    <w:rsid w:val="029B345B"/>
    <w:rsid w:val="02E16CA8"/>
    <w:rsid w:val="02F57CEF"/>
    <w:rsid w:val="030634DC"/>
    <w:rsid w:val="031A3C59"/>
    <w:rsid w:val="03214D8F"/>
    <w:rsid w:val="033E071B"/>
    <w:rsid w:val="034443F1"/>
    <w:rsid w:val="03451AAA"/>
    <w:rsid w:val="03647119"/>
    <w:rsid w:val="0375705D"/>
    <w:rsid w:val="038D6C57"/>
    <w:rsid w:val="03CD03B2"/>
    <w:rsid w:val="04143FD8"/>
    <w:rsid w:val="041A162E"/>
    <w:rsid w:val="04387860"/>
    <w:rsid w:val="045D6A08"/>
    <w:rsid w:val="049107B7"/>
    <w:rsid w:val="04A362D9"/>
    <w:rsid w:val="04D70E27"/>
    <w:rsid w:val="04E24DB0"/>
    <w:rsid w:val="052F0C56"/>
    <w:rsid w:val="053C512E"/>
    <w:rsid w:val="0540646E"/>
    <w:rsid w:val="054F4E62"/>
    <w:rsid w:val="05504736"/>
    <w:rsid w:val="056621AB"/>
    <w:rsid w:val="05AB57B5"/>
    <w:rsid w:val="05AB7BBE"/>
    <w:rsid w:val="05D13AC9"/>
    <w:rsid w:val="061B2F96"/>
    <w:rsid w:val="06344057"/>
    <w:rsid w:val="064249C6"/>
    <w:rsid w:val="064A5629"/>
    <w:rsid w:val="064F0F69"/>
    <w:rsid w:val="06805772"/>
    <w:rsid w:val="06847D38"/>
    <w:rsid w:val="0687062B"/>
    <w:rsid w:val="06976AC0"/>
    <w:rsid w:val="069B3F52"/>
    <w:rsid w:val="06B55198"/>
    <w:rsid w:val="06B70F10"/>
    <w:rsid w:val="07041C7C"/>
    <w:rsid w:val="071664ED"/>
    <w:rsid w:val="075229E7"/>
    <w:rsid w:val="0754373C"/>
    <w:rsid w:val="07554285"/>
    <w:rsid w:val="07EF46DA"/>
    <w:rsid w:val="07F916C3"/>
    <w:rsid w:val="07FB7581"/>
    <w:rsid w:val="07FD6CD2"/>
    <w:rsid w:val="080C0DE8"/>
    <w:rsid w:val="081952B3"/>
    <w:rsid w:val="081C4DA3"/>
    <w:rsid w:val="086D16B2"/>
    <w:rsid w:val="087668EF"/>
    <w:rsid w:val="0895281C"/>
    <w:rsid w:val="08BB0B94"/>
    <w:rsid w:val="08DD2784"/>
    <w:rsid w:val="08F301FA"/>
    <w:rsid w:val="090B30C5"/>
    <w:rsid w:val="090D355B"/>
    <w:rsid w:val="09150170"/>
    <w:rsid w:val="09385C0D"/>
    <w:rsid w:val="09AE7AB6"/>
    <w:rsid w:val="0A2F1DA4"/>
    <w:rsid w:val="0A876E4C"/>
    <w:rsid w:val="0A9434B7"/>
    <w:rsid w:val="0AAA0BDE"/>
    <w:rsid w:val="0AB94B2B"/>
    <w:rsid w:val="0AE24082"/>
    <w:rsid w:val="0B0B7BA2"/>
    <w:rsid w:val="0B0C6BC5"/>
    <w:rsid w:val="0B2C17A1"/>
    <w:rsid w:val="0B343F32"/>
    <w:rsid w:val="0B4053DD"/>
    <w:rsid w:val="0B443E34"/>
    <w:rsid w:val="0BC77592"/>
    <w:rsid w:val="0C2F779B"/>
    <w:rsid w:val="0C3C5A14"/>
    <w:rsid w:val="0C6C43F7"/>
    <w:rsid w:val="0C913837"/>
    <w:rsid w:val="0C98716B"/>
    <w:rsid w:val="0CA92045"/>
    <w:rsid w:val="0CBB2DDD"/>
    <w:rsid w:val="0CE54304"/>
    <w:rsid w:val="0CEF7314"/>
    <w:rsid w:val="0CFF79F4"/>
    <w:rsid w:val="0D164829"/>
    <w:rsid w:val="0D3D30EB"/>
    <w:rsid w:val="0D4E4D51"/>
    <w:rsid w:val="0D8D55CF"/>
    <w:rsid w:val="0D9D24E2"/>
    <w:rsid w:val="0DAE5F61"/>
    <w:rsid w:val="0DB81183"/>
    <w:rsid w:val="0DB95BF1"/>
    <w:rsid w:val="0DEE56BA"/>
    <w:rsid w:val="0DF5199B"/>
    <w:rsid w:val="0E185A85"/>
    <w:rsid w:val="0E337741"/>
    <w:rsid w:val="0E4911BF"/>
    <w:rsid w:val="0E526D1E"/>
    <w:rsid w:val="0E530A7B"/>
    <w:rsid w:val="0E8C4A31"/>
    <w:rsid w:val="0EA40CAF"/>
    <w:rsid w:val="0ECC6578"/>
    <w:rsid w:val="0EEF2296"/>
    <w:rsid w:val="0EF85813"/>
    <w:rsid w:val="0F2558B9"/>
    <w:rsid w:val="0F463F2F"/>
    <w:rsid w:val="0F471D20"/>
    <w:rsid w:val="0F5F0397"/>
    <w:rsid w:val="0F9A6AC6"/>
    <w:rsid w:val="0FA9433A"/>
    <w:rsid w:val="0FB12275"/>
    <w:rsid w:val="0FCA6697"/>
    <w:rsid w:val="0FDE5659"/>
    <w:rsid w:val="0FF97F53"/>
    <w:rsid w:val="0FFA1E6E"/>
    <w:rsid w:val="10246EEB"/>
    <w:rsid w:val="105D24B8"/>
    <w:rsid w:val="10800EB1"/>
    <w:rsid w:val="10953945"/>
    <w:rsid w:val="10BE2E9B"/>
    <w:rsid w:val="10BE3645"/>
    <w:rsid w:val="10D31E8A"/>
    <w:rsid w:val="10DD74B7"/>
    <w:rsid w:val="10EA76BB"/>
    <w:rsid w:val="10EE19D3"/>
    <w:rsid w:val="111F3680"/>
    <w:rsid w:val="11292A0B"/>
    <w:rsid w:val="11366ED6"/>
    <w:rsid w:val="113917C7"/>
    <w:rsid w:val="113B43BE"/>
    <w:rsid w:val="116357AF"/>
    <w:rsid w:val="1165435B"/>
    <w:rsid w:val="11673155"/>
    <w:rsid w:val="11712A15"/>
    <w:rsid w:val="11714438"/>
    <w:rsid w:val="11934DBF"/>
    <w:rsid w:val="119C7740"/>
    <w:rsid w:val="11C821E6"/>
    <w:rsid w:val="11D4028A"/>
    <w:rsid w:val="11DC5CCF"/>
    <w:rsid w:val="11DD55A3"/>
    <w:rsid w:val="12176A7C"/>
    <w:rsid w:val="121C60CC"/>
    <w:rsid w:val="122E5870"/>
    <w:rsid w:val="123029BC"/>
    <w:rsid w:val="123E24E6"/>
    <w:rsid w:val="124978B0"/>
    <w:rsid w:val="126B56C5"/>
    <w:rsid w:val="12A5270F"/>
    <w:rsid w:val="12E4700C"/>
    <w:rsid w:val="13455612"/>
    <w:rsid w:val="13A40F9B"/>
    <w:rsid w:val="13D95AFF"/>
    <w:rsid w:val="13FD017F"/>
    <w:rsid w:val="140B4552"/>
    <w:rsid w:val="1450022E"/>
    <w:rsid w:val="14751297"/>
    <w:rsid w:val="14A639E9"/>
    <w:rsid w:val="14C30A80"/>
    <w:rsid w:val="14DD669C"/>
    <w:rsid w:val="14F13AEF"/>
    <w:rsid w:val="14F3416A"/>
    <w:rsid w:val="14FD43FB"/>
    <w:rsid w:val="156264EB"/>
    <w:rsid w:val="15A62ED3"/>
    <w:rsid w:val="15AE117D"/>
    <w:rsid w:val="15DF1FA7"/>
    <w:rsid w:val="15F15AC1"/>
    <w:rsid w:val="15FD4466"/>
    <w:rsid w:val="160D760A"/>
    <w:rsid w:val="166E7112"/>
    <w:rsid w:val="168F6536"/>
    <w:rsid w:val="16B74745"/>
    <w:rsid w:val="16B8213B"/>
    <w:rsid w:val="16C4052B"/>
    <w:rsid w:val="16C44F84"/>
    <w:rsid w:val="16C866EB"/>
    <w:rsid w:val="16D231FD"/>
    <w:rsid w:val="16F93553"/>
    <w:rsid w:val="16FA4B4D"/>
    <w:rsid w:val="16FD2FAC"/>
    <w:rsid w:val="1767428D"/>
    <w:rsid w:val="17747262"/>
    <w:rsid w:val="1793457E"/>
    <w:rsid w:val="17A01F68"/>
    <w:rsid w:val="17A81B8D"/>
    <w:rsid w:val="17B7144C"/>
    <w:rsid w:val="18195443"/>
    <w:rsid w:val="1840063A"/>
    <w:rsid w:val="186D31F9"/>
    <w:rsid w:val="1889752F"/>
    <w:rsid w:val="189967BF"/>
    <w:rsid w:val="18AC5756"/>
    <w:rsid w:val="18C876D8"/>
    <w:rsid w:val="18CF1477"/>
    <w:rsid w:val="18F57676"/>
    <w:rsid w:val="193C20DF"/>
    <w:rsid w:val="19592641"/>
    <w:rsid w:val="19622BC3"/>
    <w:rsid w:val="196B16E7"/>
    <w:rsid w:val="198D6A46"/>
    <w:rsid w:val="19924EC5"/>
    <w:rsid w:val="199E7D0E"/>
    <w:rsid w:val="19A77654"/>
    <w:rsid w:val="19B33992"/>
    <w:rsid w:val="19C47DAF"/>
    <w:rsid w:val="19CA0B03"/>
    <w:rsid w:val="19DD290B"/>
    <w:rsid w:val="1A266BDC"/>
    <w:rsid w:val="1A30440D"/>
    <w:rsid w:val="1A432DD4"/>
    <w:rsid w:val="1A543F54"/>
    <w:rsid w:val="1A765A93"/>
    <w:rsid w:val="1A9D7FC6"/>
    <w:rsid w:val="1AA94BBC"/>
    <w:rsid w:val="1AC27A2C"/>
    <w:rsid w:val="1AEB2ADF"/>
    <w:rsid w:val="1AF776D6"/>
    <w:rsid w:val="1AFC1190"/>
    <w:rsid w:val="1B216501"/>
    <w:rsid w:val="1B4A1CB5"/>
    <w:rsid w:val="1B59213E"/>
    <w:rsid w:val="1B5B5A5C"/>
    <w:rsid w:val="1B766CEA"/>
    <w:rsid w:val="1B8B6070"/>
    <w:rsid w:val="1BE77CE2"/>
    <w:rsid w:val="1BEC2FB3"/>
    <w:rsid w:val="1C090F1F"/>
    <w:rsid w:val="1C1B5646"/>
    <w:rsid w:val="1C6E1D22"/>
    <w:rsid w:val="1CA80D22"/>
    <w:rsid w:val="1CB33AD0"/>
    <w:rsid w:val="1CC17F9B"/>
    <w:rsid w:val="1CC261FE"/>
    <w:rsid w:val="1CC55489"/>
    <w:rsid w:val="1CDA5C81"/>
    <w:rsid w:val="1CF461BA"/>
    <w:rsid w:val="1D320DB9"/>
    <w:rsid w:val="1D567984"/>
    <w:rsid w:val="1DA04055"/>
    <w:rsid w:val="1DD87B86"/>
    <w:rsid w:val="1DED684A"/>
    <w:rsid w:val="1E0349E4"/>
    <w:rsid w:val="1E2E78B2"/>
    <w:rsid w:val="1E707F61"/>
    <w:rsid w:val="1E870D71"/>
    <w:rsid w:val="1E9E5A06"/>
    <w:rsid w:val="1EAA3E92"/>
    <w:rsid w:val="1EB37DB8"/>
    <w:rsid w:val="1EDB4B64"/>
    <w:rsid w:val="1EE241F9"/>
    <w:rsid w:val="1EEB532C"/>
    <w:rsid w:val="1EF146FB"/>
    <w:rsid w:val="1F0B7B54"/>
    <w:rsid w:val="1F1D3483"/>
    <w:rsid w:val="1F29362C"/>
    <w:rsid w:val="1F4711E8"/>
    <w:rsid w:val="1F6400AC"/>
    <w:rsid w:val="1F7A795E"/>
    <w:rsid w:val="1F7B7743"/>
    <w:rsid w:val="1F811C64"/>
    <w:rsid w:val="1F884DA0"/>
    <w:rsid w:val="1FD3016F"/>
    <w:rsid w:val="1FD405CC"/>
    <w:rsid w:val="1FE025A0"/>
    <w:rsid w:val="1FE869F6"/>
    <w:rsid w:val="1FEB3581"/>
    <w:rsid w:val="201A7085"/>
    <w:rsid w:val="2020053C"/>
    <w:rsid w:val="204131A1"/>
    <w:rsid w:val="20504DA7"/>
    <w:rsid w:val="205419D7"/>
    <w:rsid w:val="207773A7"/>
    <w:rsid w:val="20971013"/>
    <w:rsid w:val="20AC3C86"/>
    <w:rsid w:val="20CA5142"/>
    <w:rsid w:val="20D34C23"/>
    <w:rsid w:val="20DB35F6"/>
    <w:rsid w:val="20E72B14"/>
    <w:rsid w:val="20F13631"/>
    <w:rsid w:val="2118189C"/>
    <w:rsid w:val="21303322"/>
    <w:rsid w:val="213C22E6"/>
    <w:rsid w:val="21742B65"/>
    <w:rsid w:val="21A50411"/>
    <w:rsid w:val="21A535D6"/>
    <w:rsid w:val="21C55387"/>
    <w:rsid w:val="21D544E9"/>
    <w:rsid w:val="22031056"/>
    <w:rsid w:val="221F1461"/>
    <w:rsid w:val="22426FD3"/>
    <w:rsid w:val="22452A44"/>
    <w:rsid w:val="22463ED4"/>
    <w:rsid w:val="225278E7"/>
    <w:rsid w:val="22592A24"/>
    <w:rsid w:val="22683BFA"/>
    <w:rsid w:val="22717D6E"/>
    <w:rsid w:val="228B35E1"/>
    <w:rsid w:val="2297354C"/>
    <w:rsid w:val="22995516"/>
    <w:rsid w:val="22F12418"/>
    <w:rsid w:val="22F34C27"/>
    <w:rsid w:val="22F90C34"/>
    <w:rsid w:val="22FD6B41"/>
    <w:rsid w:val="23040ECE"/>
    <w:rsid w:val="23364BC0"/>
    <w:rsid w:val="234C07FD"/>
    <w:rsid w:val="235929D6"/>
    <w:rsid w:val="235A6A54"/>
    <w:rsid w:val="23616034"/>
    <w:rsid w:val="236B5698"/>
    <w:rsid w:val="236E24FF"/>
    <w:rsid w:val="23757D31"/>
    <w:rsid w:val="237C0206"/>
    <w:rsid w:val="237D2B13"/>
    <w:rsid w:val="2392443F"/>
    <w:rsid w:val="23C14D9F"/>
    <w:rsid w:val="23C245F9"/>
    <w:rsid w:val="23E01946"/>
    <w:rsid w:val="23F3403F"/>
    <w:rsid w:val="23F517A7"/>
    <w:rsid w:val="240C0A38"/>
    <w:rsid w:val="24505078"/>
    <w:rsid w:val="2455546D"/>
    <w:rsid w:val="248A0D12"/>
    <w:rsid w:val="248C71DD"/>
    <w:rsid w:val="24A54D6D"/>
    <w:rsid w:val="24B94F4B"/>
    <w:rsid w:val="24BB5C18"/>
    <w:rsid w:val="24DB5972"/>
    <w:rsid w:val="25203CCD"/>
    <w:rsid w:val="25284504"/>
    <w:rsid w:val="257638ED"/>
    <w:rsid w:val="25B328ED"/>
    <w:rsid w:val="25C96113"/>
    <w:rsid w:val="25CD65B8"/>
    <w:rsid w:val="26117B5D"/>
    <w:rsid w:val="26377520"/>
    <w:rsid w:val="263E3022"/>
    <w:rsid w:val="266D4E09"/>
    <w:rsid w:val="26720558"/>
    <w:rsid w:val="26A507B9"/>
    <w:rsid w:val="26B83AD1"/>
    <w:rsid w:val="26C16DEA"/>
    <w:rsid w:val="26E26884"/>
    <w:rsid w:val="26F61BE2"/>
    <w:rsid w:val="27124FEB"/>
    <w:rsid w:val="27353B24"/>
    <w:rsid w:val="273E5401"/>
    <w:rsid w:val="2740697A"/>
    <w:rsid w:val="27547C5E"/>
    <w:rsid w:val="277B343D"/>
    <w:rsid w:val="27900E8F"/>
    <w:rsid w:val="27926F7E"/>
    <w:rsid w:val="27BA3F65"/>
    <w:rsid w:val="27C26BE0"/>
    <w:rsid w:val="27E46A9F"/>
    <w:rsid w:val="27E9484A"/>
    <w:rsid w:val="27F50765"/>
    <w:rsid w:val="28125B4F"/>
    <w:rsid w:val="282E0A21"/>
    <w:rsid w:val="284B1054"/>
    <w:rsid w:val="28786926"/>
    <w:rsid w:val="287E4F0D"/>
    <w:rsid w:val="28AD2AA2"/>
    <w:rsid w:val="28BC1F5F"/>
    <w:rsid w:val="28CA1C7C"/>
    <w:rsid w:val="28DC7F0B"/>
    <w:rsid w:val="28F1619D"/>
    <w:rsid w:val="28F47EF8"/>
    <w:rsid w:val="290370AF"/>
    <w:rsid w:val="295C3E2E"/>
    <w:rsid w:val="2976210D"/>
    <w:rsid w:val="29826D04"/>
    <w:rsid w:val="29A44ECD"/>
    <w:rsid w:val="29C60D55"/>
    <w:rsid w:val="29D56A0C"/>
    <w:rsid w:val="29D72F01"/>
    <w:rsid w:val="29DA54B5"/>
    <w:rsid w:val="29E4170D"/>
    <w:rsid w:val="29E526E8"/>
    <w:rsid w:val="29F179E6"/>
    <w:rsid w:val="29FA0F90"/>
    <w:rsid w:val="2A027E45"/>
    <w:rsid w:val="2A27165A"/>
    <w:rsid w:val="2A9D08C9"/>
    <w:rsid w:val="2AD417E1"/>
    <w:rsid w:val="2B577D1D"/>
    <w:rsid w:val="2BCE04AE"/>
    <w:rsid w:val="2BD14DA5"/>
    <w:rsid w:val="2C293151"/>
    <w:rsid w:val="2C363DD6"/>
    <w:rsid w:val="2C3D33B6"/>
    <w:rsid w:val="2C582281"/>
    <w:rsid w:val="2C931228"/>
    <w:rsid w:val="2C984D6B"/>
    <w:rsid w:val="2CA558B1"/>
    <w:rsid w:val="2CEC751D"/>
    <w:rsid w:val="2CEE475B"/>
    <w:rsid w:val="2CFF066C"/>
    <w:rsid w:val="2D02524D"/>
    <w:rsid w:val="2D1B36F8"/>
    <w:rsid w:val="2D941213"/>
    <w:rsid w:val="2D964B2C"/>
    <w:rsid w:val="2DD57127"/>
    <w:rsid w:val="2DE14043"/>
    <w:rsid w:val="2DEA4E54"/>
    <w:rsid w:val="2DFB6B1F"/>
    <w:rsid w:val="2E0F4CE4"/>
    <w:rsid w:val="2E395380"/>
    <w:rsid w:val="2E3F4DEC"/>
    <w:rsid w:val="2E400F3C"/>
    <w:rsid w:val="2E4E3659"/>
    <w:rsid w:val="2E5E3A03"/>
    <w:rsid w:val="2E8A37F5"/>
    <w:rsid w:val="2E960B5C"/>
    <w:rsid w:val="2E9C30F9"/>
    <w:rsid w:val="2F1321AD"/>
    <w:rsid w:val="2F146650"/>
    <w:rsid w:val="2F154177"/>
    <w:rsid w:val="2F736A5D"/>
    <w:rsid w:val="300762F7"/>
    <w:rsid w:val="30095CB8"/>
    <w:rsid w:val="303E28B2"/>
    <w:rsid w:val="30A5072E"/>
    <w:rsid w:val="30A6762B"/>
    <w:rsid w:val="30B04157"/>
    <w:rsid w:val="30BA4B19"/>
    <w:rsid w:val="30D320BD"/>
    <w:rsid w:val="30DB0484"/>
    <w:rsid w:val="31434FCB"/>
    <w:rsid w:val="31C50FC3"/>
    <w:rsid w:val="31CA2942"/>
    <w:rsid w:val="31CB6D6E"/>
    <w:rsid w:val="31E367AE"/>
    <w:rsid w:val="31E87920"/>
    <w:rsid w:val="32195D2C"/>
    <w:rsid w:val="322F49BA"/>
    <w:rsid w:val="323963CE"/>
    <w:rsid w:val="32862DA2"/>
    <w:rsid w:val="32A84477"/>
    <w:rsid w:val="33052F69"/>
    <w:rsid w:val="3317335F"/>
    <w:rsid w:val="3348156F"/>
    <w:rsid w:val="3360379C"/>
    <w:rsid w:val="33631DE5"/>
    <w:rsid w:val="33AB50A9"/>
    <w:rsid w:val="33D508EE"/>
    <w:rsid w:val="33FA3644"/>
    <w:rsid w:val="33FB393B"/>
    <w:rsid w:val="34007CA1"/>
    <w:rsid w:val="340842AA"/>
    <w:rsid w:val="340E1592"/>
    <w:rsid w:val="340E390D"/>
    <w:rsid w:val="341C44CD"/>
    <w:rsid w:val="3422536C"/>
    <w:rsid w:val="346D03F5"/>
    <w:rsid w:val="346F257B"/>
    <w:rsid w:val="34775E62"/>
    <w:rsid w:val="34836E59"/>
    <w:rsid w:val="34A95C9F"/>
    <w:rsid w:val="34C079AA"/>
    <w:rsid w:val="34C24459"/>
    <w:rsid w:val="34C500E4"/>
    <w:rsid w:val="34CA3411"/>
    <w:rsid w:val="34DD5737"/>
    <w:rsid w:val="34E93982"/>
    <w:rsid w:val="353F3A56"/>
    <w:rsid w:val="355C48AD"/>
    <w:rsid w:val="35700359"/>
    <w:rsid w:val="35724D6F"/>
    <w:rsid w:val="359336F3"/>
    <w:rsid w:val="35F270EF"/>
    <w:rsid w:val="361A14C6"/>
    <w:rsid w:val="364923F2"/>
    <w:rsid w:val="364A5241"/>
    <w:rsid w:val="366302C2"/>
    <w:rsid w:val="368045CB"/>
    <w:rsid w:val="368500BA"/>
    <w:rsid w:val="36914A2B"/>
    <w:rsid w:val="36D83E65"/>
    <w:rsid w:val="36DC3513"/>
    <w:rsid w:val="37495DEC"/>
    <w:rsid w:val="37532B2C"/>
    <w:rsid w:val="376424AF"/>
    <w:rsid w:val="379C71E3"/>
    <w:rsid w:val="37A5140C"/>
    <w:rsid w:val="37BD6142"/>
    <w:rsid w:val="383039B4"/>
    <w:rsid w:val="38325D99"/>
    <w:rsid w:val="38486C0E"/>
    <w:rsid w:val="38697929"/>
    <w:rsid w:val="389D0587"/>
    <w:rsid w:val="38BA6FA4"/>
    <w:rsid w:val="38F90665"/>
    <w:rsid w:val="390C1745"/>
    <w:rsid w:val="39117715"/>
    <w:rsid w:val="391B3698"/>
    <w:rsid w:val="39253208"/>
    <w:rsid w:val="392D7A3E"/>
    <w:rsid w:val="39316051"/>
    <w:rsid w:val="39355B41"/>
    <w:rsid w:val="393F6923"/>
    <w:rsid w:val="39592215"/>
    <w:rsid w:val="39627FB8"/>
    <w:rsid w:val="39654C68"/>
    <w:rsid w:val="39777F08"/>
    <w:rsid w:val="398E5251"/>
    <w:rsid w:val="399A043B"/>
    <w:rsid w:val="39B90520"/>
    <w:rsid w:val="39BF365D"/>
    <w:rsid w:val="39D30EB6"/>
    <w:rsid w:val="39E12403"/>
    <w:rsid w:val="39F72E11"/>
    <w:rsid w:val="3A1C285D"/>
    <w:rsid w:val="3A3951BD"/>
    <w:rsid w:val="3A971ABC"/>
    <w:rsid w:val="3A9E7716"/>
    <w:rsid w:val="3AB27BC1"/>
    <w:rsid w:val="3AC727C9"/>
    <w:rsid w:val="3ACD1DA9"/>
    <w:rsid w:val="3ACD3383"/>
    <w:rsid w:val="3AD82C28"/>
    <w:rsid w:val="3AEA295B"/>
    <w:rsid w:val="3AF61300"/>
    <w:rsid w:val="3B530501"/>
    <w:rsid w:val="3B6B264B"/>
    <w:rsid w:val="3B6E6127"/>
    <w:rsid w:val="3B876F33"/>
    <w:rsid w:val="3B9E5DA2"/>
    <w:rsid w:val="3BF750E1"/>
    <w:rsid w:val="3C072B08"/>
    <w:rsid w:val="3C1C587E"/>
    <w:rsid w:val="3C526CEF"/>
    <w:rsid w:val="3C6145AD"/>
    <w:rsid w:val="3C771FCD"/>
    <w:rsid w:val="3CA7694E"/>
    <w:rsid w:val="3CB76BD4"/>
    <w:rsid w:val="3CBB63AA"/>
    <w:rsid w:val="3CC01BC6"/>
    <w:rsid w:val="3D17054B"/>
    <w:rsid w:val="3D2802B6"/>
    <w:rsid w:val="3D624A2B"/>
    <w:rsid w:val="3D6A0C69"/>
    <w:rsid w:val="3D853F47"/>
    <w:rsid w:val="3D911ECA"/>
    <w:rsid w:val="3DBF1E7D"/>
    <w:rsid w:val="3DDA0A65"/>
    <w:rsid w:val="3DEC1D01"/>
    <w:rsid w:val="3E1F291C"/>
    <w:rsid w:val="3E6C5B08"/>
    <w:rsid w:val="3E72001C"/>
    <w:rsid w:val="3EA05FBA"/>
    <w:rsid w:val="3EA90437"/>
    <w:rsid w:val="3EBD300F"/>
    <w:rsid w:val="3ECB4805"/>
    <w:rsid w:val="3EF26D83"/>
    <w:rsid w:val="3F11184D"/>
    <w:rsid w:val="3F126122"/>
    <w:rsid w:val="3F2327AF"/>
    <w:rsid w:val="3F685210"/>
    <w:rsid w:val="3FAE03FB"/>
    <w:rsid w:val="3FB377C0"/>
    <w:rsid w:val="40056133"/>
    <w:rsid w:val="40161AFD"/>
    <w:rsid w:val="402D02C6"/>
    <w:rsid w:val="404E74E8"/>
    <w:rsid w:val="405504E9"/>
    <w:rsid w:val="40B30755"/>
    <w:rsid w:val="40B864DA"/>
    <w:rsid w:val="40BE01CA"/>
    <w:rsid w:val="40BE466E"/>
    <w:rsid w:val="40EF6094"/>
    <w:rsid w:val="4110389C"/>
    <w:rsid w:val="41214BFD"/>
    <w:rsid w:val="414426B3"/>
    <w:rsid w:val="416C652F"/>
    <w:rsid w:val="417967E7"/>
    <w:rsid w:val="417F008A"/>
    <w:rsid w:val="41961147"/>
    <w:rsid w:val="41B67685"/>
    <w:rsid w:val="41C21F3C"/>
    <w:rsid w:val="41E0516D"/>
    <w:rsid w:val="41EC6FB9"/>
    <w:rsid w:val="41ED7081"/>
    <w:rsid w:val="41F8595E"/>
    <w:rsid w:val="41FF4DFA"/>
    <w:rsid w:val="420419EC"/>
    <w:rsid w:val="420F0CC4"/>
    <w:rsid w:val="42121E7D"/>
    <w:rsid w:val="421502BE"/>
    <w:rsid w:val="421A7ECF"/>
    <w:rsid w:val="421C10A0"/>
    <w:rsid w:val="425132C0"/>
    <w:rsid w:val="427E2307"/>
    <w:rsid w:val="42C45840"/>
    <w:rsid w:val="43084027"/>
    <w:rsid w:val="43107D57"/>
    <w:rsid w:val="432363C5"/>
    <w:rsid w:val="432E1C8E"/>
    <w:rsid w:val="434A053E"/>
    <w:rsid w:val="43721740"/>
    <w:rsid w:val="43774488"/>
    <w:rsid w:val="43D30BE2"/>
    <w:rsid w:val="43FD3798"/>
    <w:rsid w:val="442A5B77"/>
    <w:rsid w:val="444147B5"/>
    <w:rsid w:val="44581EC4"/>
    <w:rsid w:val="445E32F8"/>
    <w:rsid w:val="44967308"/>
    <w:rsid w:val="44D2693A"/>
    <w:rsid w:val="44E119CD"/>
    <w:rsid w:val="44F248E6"/>
    <w:rsid w:val="450D6B5A"/>
    <w:rsid w:val="4529388B"/>
    <w:rsid w:val="453B25D8"/>
    <w:rsid w:val="45A212DC"/>
    <w:rsid w:val="45B41BEE"/>
    <w:rsid w:val="45B85B30"/>
    <w:rsid w:val="45E035FC"/>
    <w:rsid w:val="45EE70E7"/>
    <w:rsid w:val="45FA0FA2"/>
    <w:rsid w:val="461F3BB2"/>
    <w:rsid w:val="46562D4C"/>
    <w:rsid w:val="465D66D7"/>
    <w:rsid w:val="46791187"/>
    <w:rsid w:val="4695307F"/>
    <w:rsid w:val="46AE2A8F"/>
    <w:rsid w:val="46AF05B5"/>
    <w:rsid w:val="46BA456E"/>
    <w:rsid w:val="46C2653A"/>
    <w:rsid w:val="46C6602A"/>
    <w:rsid w:val="46E22739"/>
    <w:rsid w:val="46E717FB"/>
    <w:rsid w:val="46FF444B"/>
    <w:rsid w:val="471C20EE"/>
    <w:rsid w:val="471E5E67"/>
    <w:rsid w:val="47256C62"/>
    <w:rsid w:val="472D42FC"/>
    <w:rsid w:val="476870E2"/>
    <w:rsid w:val="47947ED7"/>
    <w:rsid w:val="47983486"/>
    <w:rsid w:val="479E2B03"/>
    <w:rsid w:val="47B42327"/>
    <w:rsid w:val="48186B7D"/>
    <w:rsid w:val="481C1C7A"/>
    <w:rsid w:val="482F5E51"/>
    <w:rsid w:val="48313923"/>
    <w:rsid w:val="48343468"/>
    <w:rsid w:val="48AC1341"/>
    <w:rsid w:val="48D76283"/>
    <w:rsid w:val="48EB29D7"/>
    <w:rsid w:val="491F2082"/>
    <w:rsid w:val="49236455"/>
    <w:rsid w:val="49384514"/>
    <w:rsid w:val="493D634C"/>
    <w:rsid w:val="495D0879"/>
    <w:rsid w:val="4968786D"/>
    <w:rsid w:val="496B110B"/>
    <w:rsid w:val="49744B12"/>
    <w:rsid w:val="49A975B4"/>
    <w:rsid w:val="49F7027C"/>
    <w:rsid w:val="4A08695A"/>
    <w:rsid w:val="4A2C2E06"/>
    <w:rsid w:val="4A45552A"/>
    <w:rsid w:val="4A590F64"/>
    <w:rsid w:val="4A5E2A1E"/>
    <w:rsid w:val="4A655B5A"/>
    <w:rsid w:val="4A701E8D"/>
    <w:rsid w:val="4A7C7111"/>
    <w:rsid w:val="4A89776F"/>
    <w:rsid w:val="4A9401EE"/>
    <w:rsid w:val="4AB970CC"/>
    <w:rsid w:val="4ABC06BC"/>
    <w:rsid w:val="4ABC3662"/>
    <w:rsid w:val="4AC85E62"/>
    <w:rsid w:val="4AC960E9"/>
    <w:rsid w:val="4AFF6578"/>
    <w:rsid w:val="4B0B1F4A"/>
    <w:rsid w:val="4B101F6A"/>
    <w:rsid w:val="4BDD08B6"/>
    <w:rsid w:val="4BE11211"/>
    <w:rsid w:val="4C1C5F2C"/>
    <w:rsid w:val="4C325F10"/>
    <w:rsid w:val="4C3260E9"/>
    <w:rsid w:val="4C401D19"/>
    <w:rsid w:val="4C455C43"/>
    <w:rsid w:val="4C5B0FC3"/>
    <w:rsid w:val="4C9254BF"/>
    <w:rsid w:val="4CA7772A"/>
    <w:rsid w:val="4CB132D9"/>
    <w:rsid w:val="4CD124FE"/>
    <w:rsid w:val="4CDF7E46"/>
    <w:rsid w:val="4CE8187B"/>
    <w:rsid w:val="4D3D691B"/>
    <w:rsid w:val="4D4B7289"/>
    <w:rsid w:val="4D52686A"/>
    <w:rsid w:val="4D7F381E"/>
    <w:rsid w:val="4DCD7C9F"/>
    <w:rsid w:val="4DFF1E22"/>
    <w:rsid w:val="4E145097"/>
    <w:rsid w:val="4E2B70BB"/>
    <w:rsid w:val="4E4C6964"/>
    <w:rsid w:val="4E740A62"/>
    <w:rsid w:val="4EC015B1"/>
    <w:rsid w:val="4ECA2430"/>
    <w:rsid w:val="4ECE0172"/>
    <w:rsid w:val="4ECF008C"/>
    <w:rsid w:val="4ED5296D"/>
    <w:rsid w:val="4F133DD7"/>
    <w:rsid w:val="4F310701"/>
    <w:rsid w:val="4F45079D"/>
    <w:rsid w:val="4F8D6A55"/>
    <w:rsid w:val="4FD03A76"/>
    <w:rsid w:val="4FDE7304"/>
    <w:rsid w:val="4FE70DC0"/>
    <w:rsid w:val="4FFF435B"/>
    <w:rsid w:val="501408D0"/>
    <w:rsid w:val="505226DD"/>
    <w:rsid w:val="506B7C43"/>
    <w:rsid w:val="50BF5F50"/>
    <w:rsid w:val="50CD338E"/>
    <w:rsid w:val="50D2381E"/>
    <w:rsid w:val="50D4718B"/>
    <w:rsid w:val="50D545BC"/>
    <w:rsid w:val="50EE70FF"/>
    <w:rsid w:val="51037E7B"/>
    <w:rsid w:val="510C6D30"/>
    <w:rsid w:val="513A2283"/>
    <w:rsid w:val="51497F84"/>
    <w:rsid w:val="51532BB1"/>
    <w:rsid w:val="516E106E"/>
    <w:rsid w:val="517174DB"/>
    <w:rsid w:val="519A012F"/>
    <w:rsid w:val="51AC22C1"/>
    <w:rsid w:val="51C63383"/>
    <w:rsid w:val="51CB5703"/>
    <w:rsid w:val="51CE738D"/>
    <w:rsid w:val="520E0886"/>
    <w:rsid w:val="527F3531"/>
    <w:rsid w:val="528F19C6"/>
    <w:rsid w:val="529C0587"/>
    <w:rsid w:val="52A5743C"/>
    <w:rsid w:val="52BC29D7"/>
    <w:rsid w:val="52CB6777"/>
    <w:rsid w:val="52D70FF5"/>
    <w:rsid w:val="53042DB3"/>
    <w:rsid w:val="533D7674"/>
    <w:rsid w:val="53545E52"/>
    <w:rsid w:val="535A6478"/>
    <w:rsid w:val="53633F20"/>
    <w:rsid w:val="53BB4A3D"/>
    <w:rsid w:val="53C32496"/>
    <w:rsid w:val="53C61698"/>
    <w:rsid w:val="53D71491"/>
    <w:rsid w:val="54244390"/>
    <w:rsid w:val="54282699"/>
    <w:rsid w:val="54422A68"/>
    <w:rsid w:val="544D1B39"/>
    <w:rsid w:val="54531F10"/>
    <w:rsid w:val="546E1A6F"/>
    <w:rsid w:val="548A4B3B"/>
    <w:rsid w:val="549500A2"/>
    <w:rsid w:val="54B63BA9"/>
    <w:rsid w:val="54DA7145"/>
    <w:rsid w:val="54F14BBA"/>
    <w:rsid w:val="553141F3"/>
    <w:rsid w:val="555A5EEB"/>
    <w:rsid w:val="55626964"/>
    <w:rsid w:val="55773401"/>
    <w:rsid w:val="557D01FC"/>
    <w:rsid w:val="55B51455"/>
    <w:rsid w:val="55CB33C8"/>
    <w:rsid w:val="55DF0EB7"/>
    <w:rsid w:val="55ED23BB"/>
    <w:rsid w:val="56004989"/>
    <w:rsid w:val="56221102"/>
    <w:rsid w:val="56696900"/>
    <w:rsid w:val="56785D5C"/>
    <w:rsid w:val="569D042A"/>
    <w:rsid w:val="56B97893"/>
    <w:rsid w:val="56E062F3"/>
    <w:rsid w:val="56EB388B"/>
    <w:rsid w:val="570A6004"/>
    <w:rsid w:val="570C06A2"/>
    <w:rsid w:val="572A655F"/>
    <w:rsid w:val="572D7A00"/>
    <w:rsid w:val="57342B3C"/>
    <w:rsid w:val="573B211D"/>
    <w:rsid w:val="573D13FB"/>
    <w:rsid w:val="575859CB"/>
    <w:rsid w:val="576F67CA"/>
    <w:rsid w:val="579F26AB"/>
    <w:rsid w:val="57BF5FD4"/>
    <w:rsid w:val="57D0303B"/>
    <w:rsid w:val="57DF12C9"/>
    <w:rsid w:val="57E427B4"/>
    <w:rsid w:val="580759F7"/>
    <w:rsid w:val="582538D4"/>
    <w:rsid w:val="582F707B"/>
    <w:rsid w:val="584375EF"/>
    <w:rsid w:val="5846521D"/>
    <w:rsid w:val="586802DC"/>
    <w:rsid w:val="586A0701"/>
    <w:rsid w:val="58977827"/>
    <w:rsid w:val="58DA7713"/>
    <w:rsid w:val="58EB1921"/>
    <w:rsid w:val="58FE1654"/>
    <w:rsid w:val="59034B0E"/>
    <w:rsid w:val="591C1ADA"/>
    <w:rsid w:val="592A342E"/>
    <w:rsid w:val="59357ED0"/>
    <w:rsid w:val="593D7D36"/>
    <w:rsid w:val="59417793"/>
    <w:rsid w:val="59626F88"/>
    <w:rsid w:val="596D67DA"/>
    <w:rsid w:val="597213EE"/>
    <w:rsid w:val="5992363E"/>
    <w:rsid w:val="59926240"/>
    <w:rsid w:val="59AE2310"/>
    <w:rsid w:val="59BF0516"/>
    <w:rsid w:val="59D52CBB"/>
    <w:rsid w:val="59DB53F4"/>
    <w:rsid w:val="5A07022F"/>
    <w:rsid w:val="5A1607F5"/>
    <w:rsid w:val="5A6C62B6"/>
    <w:rsid w:val="5AA94AF2"/>
    <w:rsid w:val="5AB53F94"/>
    <w:rsid w:val="5ABA2E98"/>
    <w:rsid w:val="5AD07020"/>
    <w:rsid w:val="5ADE2869"/>
    <w:rsid w:val="5AF431BF"/>
    <w:rsid w:val="5AF745AD"/>
    <w:rsid w:val="5B0D134A"/>
    <w:rsid w:val="5B264E92"/>
    <w:rsid w:val="5B3D5079"/>
    <w:rsid w:val="5B414987"/>
    <w:rsid w:val="5B460B40"/>
    <w:rsid w:val="5B6E2A65"/>
    <w:rsid w:val="5B7E082A"/>
    <w:rsid w:val="5B831FB5"/>
    <w:rsid w:val="5B8874CC"/>
    <w:rsid w:val="5B89006B"/>
    <w:rsid w:val="5B9D24BE"/>
    <w:rsid w:val="5BA30291"/>
    <w:rsid w:val="5BAF30D9"/>
    <w:rsid w:val="5BBB1A7E"/>
    <w:rsid w:val="5BC023FC"/>
    <w:rsid w:val="5BC41CC4"/>
    <w:rsid w:val="5BD82550"/>
    <w:rsid w:val="5BE865EB"/>
    <w:rsid w:val="5BFD6830"/>
    <w:rsid w:val="5C014CF7"/>
    <w:rsid w:val="5C077946"/>
    <w:rsid w:val="5C0E6052"/>
    <w:rsid w:val="5C272EF3"/>
    <w:rsid w:val="5C27405A"/>
    <w:rsid w:val="5C86208C"/>
    <w:rsid w:val="5C961809"/>
    <w:rsid w:val="5CBF734C"/>
    <w:rsid w:val="5CD4202A"/>
    <w:rsid w:val="5CD544A4"/>
    <w:rsid w:val="5CE77D3C"/>
    <w:rsid w:val="5CEF4699"/>
    <w:rsid w:val="5D017965"/>
    <w:rsid w:val="5D051061"/>
    <w:rsid w:val="5D1B5DD0"/>
    <w:rsid w:val="5D251029"/>
    <w:rsid w:val="5D284E9D"/>
    <w:rsid w:val="5D31207E"/>
    <w:rsid w:val="5D553EF3"/>
    <w:rsid w:val="5D6121B1"/>
    <w:rsid w:val="5D9978C0"/>
    <w:rsid w:val="5DAF4C1B"/>
    <w:rsid w:val="5DC10D1E"/>
    <w:rsid w:val="5DFF5C52"/>
    <w:rsid w:val="5E343D6A"/>
    <w:rsid w:val="5E3A0775"/>
    <w:rsid w:val="5E4D7EB2"/>
    <w:rsid w:val="5E954808"/>
    <w:rsid w:val="5E9640DD"/>
    <w:rsid w:val="5EA444A0"/>
    <w:rsid w:val="5EB07418"/>
    <w:rsid w:val="5EB34C8F"/>
    <w:rsid w:val="5EC27110"/>
    <w:rsid w:val="5EC849B8"/>
    <w:rsid w:val="5ECB022A"/>
    <w:rsid w:val="5EFB31D0"/>
    <w:rsid w:val="5F1C6CD8"/>
    <w:rsid w:val="5F27742B"/>
    <w:rsid w:val="5F3F29C6"/>
    <w:rsid w:val="5F6465CB"/>
    <w:rsid w:val="5F65159D"/>
    <w:rsid w:val="5F662E49"/>
    <w:rsid w:val="5F7F40F4"/>
    <w:rsid w:val="5F8F74AA"/>
    <w:rsid w:val="5FAF242C"/>
    <w:rsid w:val="5FD760CD"/>
    <w:rsid w:val="5FEB06C4"/>
    <w:rsid w:val="5FEF7845"/>
    <w:rsid w:val="5FF037E1"/>
    <w:rsid w:val="5FF91718"/>
    <w:rsid w:val="601C4AB5"/>
    <w:rsid w:val="6026036A"/>
    <w:rsid w:val="60483AFC"/>
    <w:rsid w:val="60557729"/>
    <w:rsid w:val="60645B10"/>
    <w:rsid w:val="606F2B03"/>
    <w:rsid w:val="609664CC"/>
    <w:rsid w:val="60B13450"/>
    <w:rsid w:val="60C5514D"/>
    <w:rsid w:val="60E94F36"/>
    <w:rsid w:val="610C1348"/>
    <w:rsid w:val="612C3FFB"/>
    <w:rsid w:val="613876CD"/>
    <w:rsid w:val="618B3265"/>
    <w:rsid w:val="619C5EAE"/>
    <w:rsid w:val="61B13725"/>
    <w:rsid w:val="61C81091"/>
    <w:rsid w:val="61F961C7"/>
    <w:rsid w:val="62074496"/>
    <w:rsid w:val="620C2843"/>
    <w:rsid w:val="62132194"/>
    <w:rsid w:val="62196ADD"/>
    <w:rsid w:val="62375ACC"/>
    <w:rsid w:val="624502F4"/>
    <w:rsid w:val="62853336"/>
    <w:rsid w:val="628908CB"/>
    <w:rsid w:val="628D57F7"/>
    <w:rsid w:val="629D1EDE"/>
    <w:rsid w:val="62AA45FB"/>
    <w:rsid w:val="62B6148B"/>
    <w:rsid w:val="62BA3381"/>
    <w:rsid w:val="62D11B87"/>
    <w:rsid w:val="63147CC6"/>
    <w:rsid w:val="632E2B36"/>
    <w:rsid w:val="637C7D45"/>
    <w:rsid w:val="638B28E8"/>
    <w:rsid w:val="63AA2D92"/>
    <w:rsid w:val="63E47698"/>
    <w:rsid w:val="6429154F"/>
    <w:rsid w:val="64370110"/>
    <w:rsid w:val="647F725F"/>
    <w:rsid w:val="649C565F"/>
    <w:rsid w:val="64BD6867"/>
    <w:rsid w:val="64C71494"/>
    <w:rsid w:val="64C858B0"/>
    <w:rsid w:val="64CE1ADF"/>
    <w:rsid w:val="64D63A82"/>
    <w:rsid w:val="64FA6A3B"/>
    <w:rsid w:val="650049A6"/>
    <w:rsid w:val="65037FF2"/>
    <w:rsid w:val="65155BDE"/>
    <w:rsid w:val="65177DE9"/>
    <w:rsid w:val="651B3CE3"/>
    <w:rsid w:val="653B572C"/>
    <w:rsid w:val="653F0E3D"/>
    <w:rsid w:val="65493CF3"/>
    <w:rsid w:val="655D3BA6"/>
    <w:rsid w:val="6562079B"/>
    <w:rsid w:val="65844F8D"/>
    <w:rsid w:val="65BC08CD"/>
    <w:rsid w:val="65C92FEA"/>
    <w:rsid w:val="65CC7397"/>
    <w:rsid w:val="65F8567D"/>
    <w:rsid w:val="65F934BA"/>
    <w:rsid w:val="66092364"/>
    <w:rsid w:val="662621EA"/>
    <w:rsid w:val="663043E4"/>
    <w:rsid w:val="66372649"/>
    <w:rsid w:val="663A3261"/>
    <w:rsid w:val="66723681"/>
    <w:rsid w:val="668138C4"/>
    <w:rsid w:val="66952ECC"/>
    <w:rsid w:val="66DD4563"/>
    <w:rsid w:val="66DE4873"/>
    <w:rsid w:val="6700770E"/>
    <w:rsid w:val="670C0300"/>
    <w:rsid w:val="67185FD7"/>
    <w:rsid w:val="671F62CE"/>
    <w:rsid w:val="674419D4"/>
    <w:rsid w:val="674E19F8"/>
    <w:rsid w:val="67604F32"/>
    <w:rsid w:val="677355DB"/>
    <w:rsid w:val="677671A1"/>
    <w:rsid w:val="677A6D57"/>
    <w:rsid w:val="67931A24"/>
    <w:rsid w:val="67A00AF3"/>
    <w:rsid w:val="67A41618"/>
    <w:rsid w:val="67B960B2"/>
    <w:rsid w:val="67C03F80"/>
    <w:rsid w:val="67DF6EC0"/>
    <w:rsid w:val="67E3069C"/>
    <w:rsid w:val="68152516"/>
    <w:rsid w:val="68190258"/>
    <w:rsid w:val="682A40B1"/>
    <w:rsid w:val="68632C80"/>
    <w:rsid w:val="689551AC"/>
    <w:rsid w:val="68B026F9"/>
    <w:rsid w:val="68C84CF7"/>
    <w:rsid w:val="68E25BC0"/>
    <w:rsid w:val="69140A20"/>
    <w:rsid w:val="69450BD9"/>
    <w:rsid w:val="69584116"/>
    <w:rsid w:val="69791E01"/>
    <w:rsid w:val="697F1A1F"/>
    <w:rsid w:val="69975517"/>
    <w:rsid w:val="69BE3DCD"/>
    <w:rsid w:val="69C021D9"/>
    <w:rsid w:val="69DA0045"/>
    <w:rsid w:val="6A15597A"/>
    <w:rsid w:val="6A3576A4"/>
    <w:rsid w:val="6A3C022E"/>
    <w:rsid w:val="6A687275"/>
    <w:rsid w:val="6A7F011B"/>
    <w:rsid w:val="6A9040D6"/>
    <w:rsid w:val="6AA3205B"/>
    <w:rsid w:val="6AF27F47"/>
    <w:rsid w:val="6B1B6095"/>
    <w:rsid w:val="6B3C73F8"/>
    <w:rsid w:val="6B7925B5"/>
    <w:rsid w:val="6BAF3B39"/>
    <w:rsid w:val="6C0C3C30"/>
    <w:rsid w:val="6C440EAF"/>
    <w:rsid w:val="6C664248"/>
    <w:rsid w:val="6C8531BA"/>
    <w:rsid w:val="6C86579C"/>
    <w:rsid w:val="6CEC63D9"/>
    <w:rsid w:val="6D192AA9"/>
    <w:rsid w:val="6D2B6338"/>
    <w:rsid w:val="6D452D6D"/>
    <w:rsid w:val="6D5D5725"/>
    <w:rsid w:val="6D631F76"/>
    <w:rsid w:val="6D6D5BB4"/>
    <w:rsid w:val="6D7B03C6"/>
    <w:rsid w:val="6DA22E83"/>
    <w:rsid w:val="6DAA3701"/>
    <w:rsid w:val="6DB33828"/>
    <w:rsid w:val="6DC373C0"/>
    <w:rsid w:val="6DDA1BDC"/>
    <w:rsid w:val="6DEC3919"/>
    <w:rsid w:val="6DF06134"/>
    <w:rsid w:val="6DF374C6"/>
    <w:rsid w:val="6E4771A1"/>
    <w:rsid w:val="6E753D0F"/>
    <w:rsid w:val="6E761835"/>
    <w:rsid w:val="6E8142FE"/>
    <w:rsid w:val="6E97431A"/>
    <w:rsid w:val="6EAE5472"/>
    <w:rsid w:val="6EC92E49"/>
    <w:rsid w:val="6ECB0CC0"/>
    <w:rsid w:val="6ECC3B14"/>
    <w:rsid w:val="6ECD7127"/>
    <w:rsid w:val="6EE36ECA"/>
    <w:rsid w:val="6EE80984"/>
    <w:rsid w:val="6EEE1389"/>
    <w:rsid w:val="6F0926A9"/>
    <w:rsid w:val="6F321E6A"/>
    <w:rsid w:val="6F7264A0"/>
    <w:rsid w:val="6F765F90"/>
    <w:rsid w:val="6FD607DD"/>
    <w:rsid w:val="6FDA4DF2"/>
    <w:rsid w:val="6FF3138F"/>
    <w:rsid w:val="6FFB4570"/>
    <w:rsid w:val="7013256C"/>
    <w:rsid w:val="70230F84"/>
    <w:rsid w:val="7091755D"/>
    <w:rsid w:val="70BD199D"/>
    <w:rsid w:val="71007E4D"/>
    <w:rsid w:val="711168DD"/>
    <w:rsid w:val="71347EB1"/>
    <w:rsid w:val="717E3CF2"/>
    <w:rsid w:val="718B2BE9"/>
    <w:rsid w:val="718C1CA3"/>
    <w:rsid w:val="7193638A"/>
    <w:rsid w:val="719D1B7E"/>
    <w:rsid w:val="71EF507F"/>
    <w:rsid w:val="7206015E"/>
    <w:rsid w:val="7218332F"/>
    <w:rsid w:val="721F67CA"/>
    <w:rsid w:val="722013F6"/>
    <w:rsid w:val="723B0A44"/>
    <w:rsid w:val="72784C2E"/>
    <w:rsid w:val="727D5888"/>
    <w:rsid w:val="72AC3A77"/>
    <w:rsid w:val="72BA0857"/>
    <w:rsid w:val="72BD3ED6"/>
    <w:rsid w:val="72C46B97"/>
    <w:rsid w:val="72CB2E2F"/>
    <w:rsid w:val="72DB3906"/>
    <w:rsid w:val="72DD79E1"/>
    <w:rsid w:val="72E43211"/>
    <w:rsid w:val="72EE0533"/>
    <w:rsid w:val="72F07E08"/>
    <w:rsid w:val="7303326F"/>
    <w:rsid w:val="730E64E0"/>
    <w:rsid w:val="73310977"/>
    <w:rsid w:val="73353A6C"/>
    <w:rsid w:val="73426189"/>
    <w:rsid w:val="7348194A"/>
    <w:rsid w:val="7353343B"/>
    <w:rsid w:val="737060E3"/>
    <w:rsid w:val="737308E6"/>
    <w:rsid w:val="73CD0149"/>
    <w:rsid w:val="73DD6D17"/>
    <w:rsid w:val="73E13BF4"/>
    <w:rsid w:val="741B7106"/>
    <w:rsid w:val="74637F1A"/>
    <w:rsid w:val="74640AAD"/>
    <w:rsid w:val="7467234B"/>
    <w:rsid w:val="748B4A38"/>
    <w:rsid w:val="74BA06CD"/>
    <w:rsid w:val="74E120FE"/>
    <w:rsid w:val="74EE481B"/>
    <w:rsid w:val="74FC1D2B"/>
    <w:rsid w:val="75247457"/>
    <w:rsid w:val="752E13D7"/>
    <w:rsid w:val="753541F8"/>
    <w:rsid w:val="754206C3"/>
    <w:rsid w:val="754B0F7F"/>
    <w:rsid w:val="755C1784"/>
    <w:rsid w:val="75B4336E"/>
    <w:rsid w:val="75D62912"/>
    <w:rsid w:val="76456718"/>
    <w:rsid w:val="7677439C"/>
    <w:rsid w:val="76AE5798"/>
    <w:rsid w:val="76B34F7A"/>
    <w:rsid w:val="76BE3D7E"/>
    <w:rsid w:val="76F16762"/>
    <w:rsid w:val="76FB1881"/>
    <w:rsid w:val="77473114"/>
    <w:rsid w:val="77637F6A"/>
    <w:rsid w:val="777B5B91"/>
    <w:rsid w:val="777B66C5"/>
    <w:rsid w:val="777E63ED"/>
    <w:rsid w:val="77D0645A"/>
    <w:rsid w:val="77D87C8E"/>
    <w:rsid w:val="77DA0571"/>
    <w:rsid w:val="77DB67A7"/>
    <w:rsid w:val="78182DED"/>
    <w:rsid w:val="781D17B3"/>
    <w:rsid w:val="781F2ADC"/>
    <w:rsid w:val="782C3FC4"/>
    <w:rsid w:val="782D78A1"/>
    <w:rsid w:val="78331343"/>
    <w:rsid w:val="783469E8"/>
    <w:rsid w:val="784C5638"/>
    <w:rsid w:val="784F5146"/>
    <w:rsid w:val="7854632A"/>
    <w:rsid w:val="7859644F"/>
    <w:rsid w:val="787F73A0"/>
    <w:rsid w:val="78D37FAF"/>
    <w:rsid w:val="78EE6B97"/>
    <w:rsid w:val="78F1760A"/>
    <w:rsid w:val="790243F1"/>
    <w:rsid w:val="79030123"/>
    <w:rsid w:val="79330292"/>
    <w:rsid w:val="794837A4"/>
    <w:rsid w:val="796F4E0F"/>
    <w:rsid w:val="79A20C3E"/>
    <w:rsid w:val="79BA71B9"/>
    <w:rsid w:val="79BC33A6"/>
    <w:rsid w:val="79D7587D"/>
    <w:rsid w:val="79F019EC"/>
    <w:rsid w:val="7A0E5017"/>
    <w:rsid w:val="7A6C1BEF"/>
    <w:rsid w:val="7A913CBB"/>
    <w:rsid w:val="7AAB2866"/>
    <w:rsid w:val="7AB357AC"/>
    <w:rsid w:val="7AB45BBF"/>
    <w:rsid w:val="7AD63F71"/>
    <w:rsid w:val="7B05641A"/>
    <w:rsid w:val="7B2369BA"/>
    <w:rsid w:val="7B27198E"/>
    <w:rsid w:val="7B647930"/>
    <w:rsid w:val="7B9003DA"/>
    <w:rsid w:val="7B9A5581"/>
    <w:rsid w:val="7BA94FF8"/>
    <w:rsid w:val="7BD847BF"/>
    <w:rsid w:val="7C7B0B06"/>
    <w:rsid w:val="7CB64FDE"/>
    <w:rsid w:val="7CC21730"/>
    <w:rsid w:val="7CDA5749"/>
    <w:rsid w:val="7CE51337"/>
    <w:rsid w:val="7CF733B6"/>
    <w:rsid w:val="7D037CAF"/>
    <w:rsid w:val="7D142945"/>
    <w:rsid w:val="7D2232B3"/>
    <w:rsid w:val="7D9F66B2"/>
    <w:rsid w:val="7DCC06C7"/>
    <w:rsid w:val="7DE762AB"/>
    <w:rsid w:val="7E0B4983"/>
    <w:rsid w:val="7E492AC2"/>
    <w:rsid w:val="7E722019"/>
    <w:rsid w:val="7ECE0D9B"/>
    <w:rsid w:val="7ED23680"/>
    <w:rsid w:val="7EE62BBF"/>
    <w:rsid w:val="7EF30690"/>
    <w:rsid w:val="7EF722B8"/>
    <w:rsid w:val="7F1D7072"/>
    <w:rsid w:val="7F572FBC"/>
    <w:rsid w:val="7F74591C"/>
    <w:rsid w:val="7F7B314F"/>
    <w:rsid w:val="7F895D71"/>
    <w:rsid w:val="7FAB4CC4"/>
    <w:rsid w:val="7FC356F8"/>
    <w:rsid w:val="7FC5291B"/>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qFormat="1" w:unhideWhenUsed="0" w:uiPriority="0" w:semiHidden="0" w:name="index 4"/>
    <w:lsdException w:uiPriority="99" w:name="index 5"/>
    <w:lsdException w:qFormat="1" w:unhideWhenUsed="0" w:uiPriority="0" w:semiHidden="0"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qFormat="1" w:unhideWhenUsed="0" w:uiPriority="0" w:semiHidden="0"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qFormat="1" w:unhideWhenUsed="0" w:uiPriority="0" w:semiHidden="0"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qFormat="1" w:unhideWhenUsed="0" w:uiPriority="0" w:semiHidden="0"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62"/>
    <w:autoRedefine/>
    <w:qFormat/>
    <w:uiPriority w:val="0"/>
    <w:pPr>
      <w:keepNext/>
      <w:keepLines/>
      <w:numPr>
        <w:ilvl w:val="0"/>
        <w:numId w:val="1"/>
      </w:numPr>
      <w:adjustRightInd w:val="0"/>
      <w:snapToGrid w:val="0"/>
      <w:spacing w:line="360" w:lineRule="auto"/>
      <w:jc w:val="center"/>
      <w:outlineLvl w:val="0"/>
    </w:pPr>
    <w:rPr>
      <w:b/>
      <w:bCs/>
      <w:kern w:val="0"/>
      <w:sz w:val="30"/>
      <w:szCs w:val="30"/>
    </w:rPr>
  </w:style>
  <w:style w:type="paragraph" w:styleId="3">
    <w:name w:val="heading 2"/>
    <w:basedOn w:val="2"/>
    <w:next w:val="1"/>
    <w:link w:val="63"/>
    <w:autoRedefine/>
    <w:qFormat/>
    <w:uiPriority w:val="0"/>
    <w:pPr>
      <w:numPr>
        <w:ilvl w:val="1"/>
      </w:numPr>
      <w:tabs>
        <w:tab w:val="left" w:pos="0"/>
        <w:tab w:val="clear" w:pos="420"/>
      </w:tabs>
      <w:ind w:left="0" w:firstLine="0"/>
      <w:jc w:val="left"/>
      <w:outlineLvl w:val="1"/>
    </w:pPr>
    <w:rPr>
      <w:color w:val="auto"/>
      <w:sz w:val="28"/>
      <w:szCs w:val="28"/>
      <w:highlight w:val="none"/>
    </w:rPr>
  </w:style>
  <w:style w:type="paragraph" w:styleId="4">
    <w:name w:val="heading 3"/>
    <w:basedOn w:val="1"/>
    <w:next w:val="1"/>
    <w:link w:val="64"/>
    <w:autoRedefine/>
    <w:qFormat/>
    <w:uiPriority w:val="0"/>
    <w:pPr>
      <w:keepNext/>
      <w:keepLines/>
      <w:numPr>
        <w:ilvl w:val="2"/>
        <w:numId w:val="1"/>
      </w:numPr>
      <w:tabs>
        <w:tab w:val="left" w:pos="420"/>
      </w:tabs>
      <w:adjustRightInd w:val="0"/>
      <w:snapToGrid w:val="0"/>
      <w:spacing w:line="360" w:lineRule="auto"/>
      <w:jc w:val="left"/>
      <w:outlineLvl w:val="2"/>
    </w:pPr>
    <w:rPr>
      <w:b/>
      <w:bCs/>
    </w:rPr>
  </w:style>
  <w:style w:type="paragraph" w:styleId="5">
    <w:name w:val="heading 4"/>
    <w:basedOn w:val="1"/>
    <w:next w:val="1"/>
    <w:link w:val="65"/>
    <w:autoRedefine/>
    <w:qFormat/>
    <w:uiPriority w:val="0"/>
    <w:pPr>
      <w:keepNext/>
      <w:keepLines/>
      <w:numPr>
        <w:ilvl w:val="3"/>
        <w:numId w:val="1"/>
      </w:numPr>
      <w:adjustRightInd w:val="0"/>
      <w:snapToGrid w:val="0"/>
      <w:spacing w:line="360" w:lineRule="auto"/>
      <w:outlineLvl w:val="3"/>
    </w:pPr>
    <w:rPr>
      <w:b/>
      <w:bCs/>
    </w:rPr>
  </w:style>
  <w:style w:type="paragraph" w:styleId="6">
    <w:name w:val="heading 5"/>
    <w:basedOn w:val="1"/>
    <w:next w:val="1"/>
    <w:link w:val="66"/>
    <w:autoRedefine/>
    <w:qFormat/>
    <w:uiPriority w:val="0"/>
    <w:pPr>
      <w:keepNext/>
      <w:keepLines/>
      <w:numPr>
        <w:ilvl w:val="4"/>
        <w:numId w:val="2"/>
      </w:numPr>
      <w:tabs>
        <w:tab w:val="left" w:pos="1008"/>
      </w:tabs>
      <w:spacing w:line="360" w:lineRule="auto"/>
      <w:outlineLvl w:val="4"/>
    </w:pPr>
    <w:rPr>
      <w:bCs/>
      <w:szCs w:val="28"/>
    </w:rPr>
  </w:style>
  <w:style w:type="paragraph" w:styleId="7">
    <w:name w:val="heading 6"/>
    <w:basedOn w:val="1"/>
    <w:next w:val="1"/>
    <w:link w:val="67"/>
    <w:autoRedefine/>
    <w:qFormat/>
    <w:uiPriority w:val="0"/>
    <w:pPr>
      <w:keepNext/>
      <w:keepLines/>
      <w:numPr>
        <w:ilvl w:val="5"/>
        <w:numId w:val="2"/>
      </w:numPr>
      <w:tabs>
        <w:tab w:val="left" w:pos="1152"/>
      </w:tabs>
      <w:spacing w:before="240" w:after="64" w:line="317" w:lineRule="auto"/>
      <w:outlineLvl w:val="5"/>
    </w:pPr>
    <w:rPr>
      <w:rFonts w:ascii="Arial" w:hAnsi="Arial" w:eastAsia="黑体"/>
      <w:b/>
      <w:bCs/>
    </w:rPr>
  </w:style>
  <w:style w:type="paragraph" w:styleId="8">
    <w:name w:val="heading 7"/>
    <w:basedOn w:val="1"/>
    <w:next w:val="1"/>
    <w:link w:val="68"/>
    <w:autoRedefine/>
    <w:qFormat/>
    <w:uiPriority w:val="0"/>
    <w:pPr>
      <w:keepNext/>
      <w:keepLines/>
      <w:numPr>
        <w:ilvl w:val="6"/>
        <w:numId w:val="2"/>
      </w:numPr>
      <w:tabs>
        <w:tab w:val="left" w:pos="1296"/>
      </w:tabs>
      <w:spacing w:before="240" w:after="64" w:line="317" w:lineRule="auto"/>
      <w:outlineLvl w:val="6"/>
    </w:pPr>
    <w:rPr>
      <w:b/>
      <w:bCs/>
    </w:rPr>
  </w:style>
  <w:style w:type="paragraph" w:styleId="9">
    <w:name w:val="heading 8"/>
    <w:basedOn w:val="1"/>
    <w:next w:val="1"/>
    <w:link w:val="69"/>
    <w:autoRedefine/>
    <w:qFormat/>
    <w:uiPriority w:val="0"/>
    <w:pPr>
      <w:keepNext/>
      <w:keepLines/>
      <w:numPr>
        <w:ilvl w:val="7"/>
        <w:numId w:val="2"/>
      </w:numPr>
      <w:tabs>
        <w:tab w:val="left" w:pos="1440"/>
      </w:tabs>
      <w:spacing w:before="240" w:after="64" w:line="317" w:lineRule="auto"/>
      <w:outlineLvl w:val="7"/>
    </w:pPr>
    <w:rPr>
      <w:rFonts w:ascii="Arial" w:hAnsi="Arial" w:eastAsia="黑体"/>
    </w:rPr>
  </w:style>
  <w:style w:type="paragraph" w:styleId="10">
    <w:name w:val="heading 9"/>
    <w:basedOn w:val="1"/>
    <w:next w:val="1"/>
    <w:link w:val="70"/>
    <w:autoRedefine/>
    <w:qFormat/>
    <w:uiPriority w:val="0"/>
    <w:pPr>
      <w:keepNext/>
      <w:keepLines/>
      <w:numPr>
        <w:ilvl w:val="8"/>
        <w:numId w:val="2"/>
      </w:numPr>
      <w:tabs>
        <w:tab w:val="left" w:pos="1584"/>
      </w:tabs>
      <w:spacing w:before="240" w:after="64" w:line="317" w:lineRule="auto"/>
      <w:outlineLvl w:val="8"/>
    </w:pPr>
    <w:rPr>
      <w:rFonts w:ascii="Arial" w:hAnsi="Arial" w:eastAsia="黑体"/>
      <w:szCs w:val="21"/>
    </w:rPr>
  </w:style>
  <w:style w:type="character" w:default="1" w:styleId="52">
    <w:name w:val="Default Paragraph Font"/>
    <w:autoRedefine/>
    <w:semiHidden/>
    <w:unhideWhenUsed/>
    <w:qFormat/>
    <w:uiPriority w:val="1"/>
  </w:style>
  <w:style w:type="table" w:default="1" w:styleId="50">
    <w:name w:val="Normal Table"/>
    <w:autoRedefine/>
    <w:semiHidden/>
    <w:unhideWhenUsed/>
    <w:qFormat/>
    <w:uiPriority w:val="99"/>
    <w:tblPr>
      <w:tblCellMar>
        <w:top w:w="0" w:type="dxa"/>
        <w:left w:w="108" w:type="dxa"/>
        <w:bottom w:w="0" w:type="dxa"/>
        <w:right w:w="108" w:type="dxa"/>
      </w:tblCellMar>
    </w:tblPr>
  </w:style>
  <w:style w:type="paragraph" w:styleId="11">
    <w:name w:val="toc 7"/>
    <w:basedOn w:val="1"/>
    <w:next w:val="1"/>
    <w:autoRedefine/>
    <w:qFormat/>
    <w:uiPriority w:val="39"/>
    <w:pPr>
      <w:ind w:left="1200"/>
      <w:jc w:val="left"/>
    </w:pPr>
    <w:rPr>
      <w:rFonts w:ascii="Calibri" w:hAnsi="Calibri"/>
      <w:sz w:val="20"/>
      <w:szCs w:val="20"/>
    </w:rPr>
  </w:style>
  <w:style w:type="paragraph" w:styleId="12">
    <w:name w:val="Note Heading"/>
    <w:basedOn w:val="1"/>
    <w:next w:val="1"/>
    <w:link w:val="71"/>
    <w:autoRedefine/>
    <w:qFormat/>
    <w:uiPriority w:val="0"/>
    <w:pPr>
      <w:jc w:val="left"/>
    </w:pPr>
  </w:style>
  <w:style w:type="paragraph" w:styleId="13">
    <w:name w:val="Normal Indent"/>
    <w:basedOn w:val="1"/>
    <w:next w:val="14"/>
    <w:link w:val="72"/>
    <w:autoRedefine/>
    <w:qFormat/>
    <w:uiPriority w:val="0"/>
    <w:pPr>
      <w:ind w:firstLine="420"/>
    </w:pPr>
    <w:rPr>
      <w:rFonts w:ascii="宋体" w:hAnsi="宋体"/>
      <w:color w:val="000000"/>
      <w:sz w:val="21"/>
      <w:szCs w:val="20"/>
    </w:rPr>
  </w:style>
  <w:style w:type="paragraph" w:styleId="14">
    <w:name w:val="envelope return"/>
    <w:basedOn w:val="1"/>
    <w:autoRedefine/>
    <w:qFormat/>
    <w:uiPriority w:val="0"/>
    <w:pPr>
      <w:snapToGrid w:val="0"/>
    </w:pPr>
    <w:rPr>
      <w:rFonts w:ascii="Arial" w:hAnsi="Arial"/>
    </w:rPr>
  </w:style>
  <w:style w:type="paragraph" w:styleId="15">
    <w:name w:val="caption"/>
    <w:basedOn w:val="1"/>
    <w:next w:val="1"/>
    <w:link w:val="73"/>
    <w:autoRedefine/>
    <w:qFormat/>
    <w:uiPriority w:val="0"/>
    <w:rPr>
      <w:rFonts w:ascii="Arial" w:hAnsi="Arial" w:eastAsia="黑体" w:cs="Arial"/>
      <w:sz w:val="18"/>
    </w:rPr>
  </w:style>
  <w:style w:type="paragraph" w:styleId="16">
    <w:name w:val="Document Map"/>
    <w:basedOn w:val="1"/>
    <w:link w:val="74"/>
    <w:autoRedefine/>
    <w:qFormat/>
    <w:uiPriority w:val="0"/>
    <w:pPr>
      <w:shd w:val="clear" w:color="auto" w:fill="000080"/>
    </w:pPr>
  </w:style>
  <w:style w:type="paragraph" w:styleId="17">
    <w:name w:val="annotation text"/>
    <w:basedOn w:val="1"/>
    <w:link w:val="75"/>
    <w:autoRedefine/>
    <w:qFormat/>
    <w:uiPriority w:val="0"/>
    <w:pPr>
      <w:jc w:val="left"/>
    </w:pPr>
    <w:rPr>
      <w:sz w:val="21"/>
    </w:rPr>
  </w:style>
  <w:style w:type="paragraph" w:styleId="18">
    <w:name w:val="index 6"/>
    <w:basedOn w:val="1"/>
    <w:next w:val="1"/>
    <w:autoRedefine/>
    <w:qFormat/>
    <w:uiPriority w:val="0"/>
    <w:pPr>
      <w:ind w:left="1000" w:leftChars="1000"/>
    </w:pPr>
  </w:style>
  <w:style w:type="paragraph" w:styleId="19">
    <w:name w:val="List Bullet 3"/>
    <w:basedOn w:val="1"/>
    <w:autoRedefine/>
    <w:qFormat/>
    <w:uiPriority w:val="0"/>
    <w:pPr>
      <w:numPr>
        <w:ilvl w:val="0"/>
        <w:numId w:val="3"/>
      </w:numPr>
      <w:adjustRightInd w:val="0"/>
      <w:spacing w:line="312" w:lineRule="atLeast"/>
      <w:ind w:left="0" w:firstLine="0"/>
      <w:textAlignment w:val="baseline"/>
    </w:pPr>
    <w:rPr>
      <w:kern w:val="0"/>
      <w:sz w:val="21"/>
      <w:szCs w:val="20"/>
    </w:rPr>
  </w:style>
  <w:style w:type="paragraph" w:styleId="20">
    <w:name w:val="Body Text"/>
    <w:basedOn w:val="1"/>
    <w:link w:val="76"/>
    <w:autoRedefine/>
    <w:qFormat/>
    <w:uiPriority w:val="0"/>
    <w:pPr>
      <w:spacing w:after="120"/>
    </w:pPr>
  </w:style>
  <w:style w:type="paragraph" w:styleId="21">
    <w:name w:val="Body Text Indent"/>
    <w:basedOn w:val="1"/>
    <w:next w:val="22"/>
    <w:link w:val="77"/>
    <w:autoRedefine/>
    <w:qFormat/>
    <w:uiPriority w:val="99"/>
    <w:pPr>
      <w:spacing w:after="120"/>
      <w:ind w:left="420" w:leftChars="200"/>
    </w:pPr>
  </w:style>
  <w:style w:type="paragraph" w:styleId="22">
    <w:name w:val="Body Text First Indent 2"/>
    <w:basedOn w:val="21"/>
    <w:next w:val="23"/>
    <w:link w:val="78"/>
    <w:autoRedefine/>
    <w:qFormat/>
    <w:uiPriority w:val="0"/>
    <w:pPr>
      <w:ind w:firstLine="420" w:firstLineChars="200"/>
    </w:pPr>
  </w:style>
  <w:style w:type="paragraph" w:customStyle="1" w:styleId="23">
    <w:name w:val="Default"/>
    <w:basedOn w:val="24"/>
    <w:autoRedefine/>
    <w:qFormat/>
    <w:uiPriority w:val="0"/>
    <w:pPr>
      <w:autoSpaceDE w:val="0"/>
      <w:autoSpaceDN w:val="0"/>
      <w:adjustRightInd w:val="0"/>
    </w:pPr>
    <w:rPr>
      <w:rFonts w:ascii="黑体" w:hAnsi="Calibri" w:eastAsia="黑体" w:cs="黑体"/>
      <w:color w:val="000000"/>
      <w:sz w:val="24"/>
      <w:szCs w:val="24"/>
      <w:lang w:eastAsia="zh-CN"/>
    </w:rPr>
  </w:style>
  <w:style w:type="paragraph" w:customStyle="1" w:styleId="24">
    <w:name w:val="纯文本1"/>
    <w:basedOn w:val="1"/>
    <w:autoRedefine/>
    <w:qFormat/>
    <w:uiPriority w:val="0"/>
    <w:pPr>
      <w:suppressAutoHyphens/>
      <w:snapToGrid w:val="0"/>
      <w:spacing w:line="400" w:lineRule="exact"/>
    </w:pPr>
    <w:rPr>
      <w:rFonts w:ascii="宋体" w:hAnsi="宋体"/>
      <w:kern w:val="1"/>
      <w:sz w:val="21"/>
      <w:szCs w:val="21"/>
      <w:lang w:eastAsia="ar-SA"/>
    </w:rPr>
  </w:style>
  <w:style w:type="paragraph" w:styleId="25">
    <w:name w:val="Block Text"/>
    <w:basedOn w:val="1"/>
    <w:autoRedefine/>
    <w:qFormat/>
    <w:uiPriority w:val="0"/>
    <w:pPr>
      <w:autoSpaceDE w:val="0"/>
      <w:autoSpaceDN w:val="0"/>
      <w:adjustRightInd w:val="0"/>
      <w:ind w:left="98" w:right="72" w:firstLine="490" w:firstLineChars="175"/>
      <w:jc w:val="left"/>
    </w:pPr>
    <w:rPr>
      <w:rFonts w:ascii="宋体" w:hAnsi="宋体"/>
      <w:kern w:val="0"/>
      <w:sz w:val="28"/>
      <w:szCs w:val="26"/>
    </w:rPr>
  </w:style>
  <w:style w:type="paragraph" w:styleId="26">
    <w:name w:val="index 4"/>
    <w:basedOn w:val="1"/>
    <w:next w:val="1"/>
    <w:autoRedefine/>
    <w:qFormat/>
    <w:uiPriority w:val="0"/>
    <w:pPr>
      <w:ind w:left="600" w:leftChars="600"/>
    </w:pPr>
    <w:rPr>
      <w:sz w:val="21"/>
    </w:rPr>
  </w:style>
  <w:style w:type="paragraph" w:styleId="27">
    <w:name w:val="toc 5"/>
    <w:basedOn w:val="1"/>
    <w:next w:val="1"/>
    <w:autoRedefine/>
    <w:qFormat/>
    <w:uiPriority w:val="39"/>
    <w:pPr>
      <w:ind w:left="720"/>
      <w:jc w:val="left"/>
    </w:pPr>
    <w:rPr>
      <w:rFonts w:ascii="Calibri" w:hAnsi="Calibri"/>
      <w:sz w:val="20"/>
      <w:szCs w:val="20"/>
    </w:rPr>
  </w:style>
  <w:style w:type="paragraph" w:styleId="28">
    <w:name w:val="toc 3"/>
    <w:basedOn w:val="1"/>
    <w:next w:val="1"/>
    <w:autoRedefine/>
    <w:qFormat/>
    <w:uiPriority w:val="39"/>
    <w:pPr>
      <w:ind w:left="240"/>
      <w:jc w:val="left"/>
    </w:pPr>
    <w:rPr>
      <w:rFonts w:ascii="Calibri" w:hAnsi="Calibri"/>
      <w:sz w:val="20"/>
      <w:szCs w:val="20"/>
    </w:rPr>
  </w:style>
  <w:style w:type="paragraph" w:styleId="29">
    <w:name w:val="Plain Text"/>
    <w:basedOn w:val="1"/>
    <w:link w:val="79"/>
    <w:autoRedefine/>
    <w:qFormat/>
    <w:uiPriority w:val="0"/>
    <w:pPr>
      <w:spacing w:line="360" w:lineRule="auto"/>
      <w:ind w:firstLine="200" w:firstLineChars="200"/>
    </w:pPr>
    <w:rPr>
      <w:rFonts w:ascii="宋体" w:hAnsi="Courier New" w:cs="Courier New"/>
      <w:szCs w:val="21"/>
    </w:rPr>
  </w:style>
  <w:style w:type="paragraph" w:styleId="30">
    <w:name w:val="toc 8"/>
    <w:basedOn w:val="1"/>
    <w:next w:val="1"/>
    <w:autoRedefine/>
    <w:qFormat/>
    <w:uiPriority w:val="39"/>
    <w:pPr>
      <w:ind w:left="1440"/>
      <w:jc w:val="left"/>
    </w:pPr>
    <w:rPr>
      <w:rFonts w:ascii="Calibri" w:hAnsi="Calibri"/>
      <w:sz w:val="20"/>
      <w:szCs w:val="20"/>
    </w:rPr>
  </w:style>
  <w:style w:type="paragraph" w:styleId="31">
    <w:name w:val="Date"/>
    <w:basedOn w:val="1"/>
    <w:next w:val="1"/>
    <w:link w:val="80"/>
    <w:autoRedefine/>
    <w:qFormat/>
    <w:uiPriority w:val="0"/>
    <w:pPr>
      <w:adjustRightInd w:val="0"/>
      <w:spacing w:line="312" w:lineRule="atLeast"/>
      <w:jc w:val="right"/>
      <w:textAlignment w:val="baseline"/>
    </w:pPr>
    <w:rPr>
      <w:kern w:val="0"/>
      <w:sz w:val="28"/>
      <w:szCs w:val="20"/>
    </w:rPr>
  </w:style>
  <w:style w:type="paragraph" w:styleId="32">
    <w:name w:val="Body Text Indent 2"/>
    <w:basedOn w:val="1"/>
    <w:next w:val="22"/>
    <w:link w:val="81"/>
    <w:autoRedefine/>
    <w:qFormat/>
    <w:uiPriority w:val="0"/>
    <w:pPr>
      <w:spacing w:after="120" w:line="480" w:lineRule="auto"/>
      <w:ind w:left="420" w:leftChars="200" w:firstLine="200" w:firstLineChars="200"/>
    </w:pPr>
  </w:style>
  <w:style w:type="paragraph" w:styleId="33">
    <w:name w:val="Balloon Text"/>
    <w:basedOn w:val="1"/>
    <w:link w:val="82"/>
    <w:autoRedefine/>
    <w:qFormat/>
    <w:uiPriority w:val="0"/>
    <w:rPr>
      <w:sz w:val="18"/>
      <w:szCs w:val="18"/>
    </w:rPr>
  </w:style>
  <w:style w:type="paragraph" w:styleId="34">
    <w:name w:val="footer"/>
    <w:basedOn w:val="1"/>
    <w:link w:val="83"/>
    <w:autoRedefine/>
    <w:qFormat/>
    <w:uiPriority w:val="99"/>
    <w:pPr>
      <w:tabs>
        <w:tab w:val="center" w:pos="4153"/>
        <w:tab w:val="right" w:pos="8306"/>
      </w:tabs>
      <w:snapToGrid w:val="0"/>
      <w:spacing w:line="240" w:lineRule="atLeast"/>
      <w:jc w:val="left"/>
    </w:pPr>
    <w:rPr>
      <w:sz w:val="21"/>
      <w:szCs w:val="21"/>
    </w:rPr>
  </w:style>
  <w:style w:type="paragraph" w:styleId="35">
    <w:name w:val="header"/>
    <w:basedOn w:val="1"/>
    <w:link w:val="84"/>
    <w:autoRedefine/>
    <w:qFormat/>
    <w:uiPriority w:val="99"/>
    <w:pPr>
      <w:pBdr>
        <w:bottom w:val="single" w:color="auto" w:sz="6" w:space="1"/>
      </w:pBdr>
      <w:tabs>
        <w:tab w:val="center" w:pos="4153"/>
        <w:tab w:val="right" w:pos="8306"/>
      </w:tabs>
      <w:snapToGrid w:val="0"/>
      <w:spacing w:line="240" w:lineRule="atLeast"/>
      <w:jc w:val="center"/>
    </w:pPr>
    <w:rPr>
      <w:sz w:val="21"/>
    </w:rPr>
  </w:style>
  <w:style w:type="paragraph" w:styleId="36">
    <w:name w:val="toc 1"/>
    <w:basedOn w:val="1"/>
    <w:next w:val="1"/>
    <w:autoRedefine/>
    <w:qFormat/>
    <w:uiPriority w:val="39"/>
    <w:pPr>
      <w:spacing w:line="360" w:lineRule="auto"/>
      <w:jc w:val="left"/>
    </w:pPr>
    <w:rPr>
      <w:b/>
      <w:bCs/>
      <w:caps/>
    </w:rPr>
  </w:style>
  <w:style w:type="paragraph" w:styleId="37">
    <w:name w:val="toc 4"/>
    <w:basedOn w:val="1"/>
    <w:next w:val="1"/>
    <w:autoRedefine/>
    <w:qFormat/>
    <w:uiPriority w:val="39"/>
    <w:pPr>
      <w:ind w:left="480"/>
      <w:jc w:val="left"/>
    </w:pPr>
    <w:rPr>
      <w:rFonts w:ascii="Calibri" w:hAnsi="Calibri"/>
      <w:sz w:val="20"/>
      <w:szCs w:val="20"/>
    </w:rPr>
  </w:style>
  <w:style w:type="paragraph" w:styleId="38">
    <w:name w:val="List"/>
    <w:basedOn w:val="1"/>
    <w:autoRedefine/>
    <w:qFormat/>
    <w:uiPriority w:val="0"/>
    <w:pPr>
      <w:spacing w:line="360" w:lineRule="auto"/>
      <w:jc w:val="center"/>
    </w:pPr>
    <w:rPr>
      <w:rFonts w:eastAsia="黑体"/>
      <w:b/>
      <w:snapToGrid w:val="0"/>
      <w:kern w:val="0"/>
    </w:rPr>
  </w:style>
  <w:style w:type="paragraph" w:styleId="39">
    <w:name w:val="toc 6"/>
    <w:basedOn w:val="1"/>
    <w:next w:val="1"/>
    <w:autoRedefine/>
    <w:qFormat/>
    <w:uiPriority w:val="39"/>
    <w:pPr>
      <w:ind w:left="960"/>
      <w:jc w:val="left"/>
    </w:pPr>
    <w:rPr>
      <w:rFonts w:ascii="Calibri" w:hAnsi="Calibri"/>
      <w:sz w:val="20"/>
      <w:szCs w:val="20"/>
    </w:rPr>
  </w:style>
  <w:style w:type="paragraph" w:styleId="40">
    <w:name w:val="Body Text Indent 3"/>
    <w:basedOn w:val="1"/>
    <w:link w:val="85"/>
    <w:autoRedefine/>
    <w:qFormat/>
    <w:uiPriority w:val="0"/>
    <w:pPr>
      <w:spacing w:after="120"/>
      <w:ind w:left="420" w:leftChars="200"/>
    </w:pPr>
    <w:rPr>
      <w:sz w:val="16"/>
      <w:szCs w:val="16"/>
    </w:rPr>
  </w:style>
  <w:style w:type="paragraph" w:styleId="41">
    <w:name w:val="toc 2"/>
    <w:basedOn w:val="1"/>
    <w:next w:val="1"/>
    <w:autoRedefine/>
    <w:qFormat/>
    <w:uiPriority w:val="39"/>
    <w:pPr>
      <w:spacing w:line="360" w:lineRule="auto"/>
      <w:ind w:left="200" w:leftChars="200"/>
      <w:jc w:val="left"/>
    </w:pPr>
    <w:rPr>
      <w:bCs/>
    </w:rPr>
  </w:style>
  <w:style w:type="paragraph" w:styleId="42">
    <w:name w:val="toc 9"/>
    <w:basedOn w:val="1"/>
    <w:next w:val="1"/>
    <w:autoRedefine/>
    <w:qFormat/>
    <w:uiPriority w:val="39"/>
    <w:pPr>
      <w:ind w:left="1680"/>
      <w:jc w:val="left"/>
    </w:pPr>
    <w:rPr>
      <w:rFonts w:ascii="Calibri" w:hAnsi="Calibri"/>
      <w:sz w:val="20"/>
      <w:szCs w:val="20"/>
    </w:rPr>
  </w:style>
  <w:style w:type="paragraph" w:styleId="43">
    <w:name w:val="Body Text 2"/>
    <w:basedOn w:val="1"/>
    <w:link w:val="86"/>
    <w:autoRedefine/>
    <w:qFormat/>
    <w:uiPriority w:val="0"/>
    <w:pPr>
      <w:spacing w:after="120" w:line="480" w:lineRule="auto"/>
    </w:pPr>
    <w:rPr>
      <w:sz w:val="21"/>
    </w:rPr>
  </w:style>
  <w:style w:type="paragraph" w:styleId="44">
    <w:name w:val="HTML Preformatted"/>
    <w:basedOn w:val="1"/>
    <w:link w:val="87"/>
    <w:autoRedefine/>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rPr>
  </w:style>
  <w:style w:type="paragraph" w:styleId="45">
    <w:name w:val="Normal (Web)"/>
    <w:basedOn w:val="1"/>
    <w:link w:val="487"/>
    <w:autoRedefine/>
    <w:qFormat/>
    <w:uiPriority w:val="0"/>
  </w:style>
  <w:style w:type="paragraph" w:styleId="46">
    <w:name w:val="index 1"/>
    <w:basedOn w:val="1"/>
    <w:next w:val="1"/>
    <w:autoRedefine/>
    <w:qFormat/>
    <w:uiPriority w:val="0"/>
    <w:pPr>
      <w:tabs>
        <w:tab w:val="left" w:pos="1980"/>
        <w:tab w:val="left" w:pos="4680"/>
      </w:tabs>
      <w:snapToGrid w:val="0"/>
      <w:spacing w:line="240" w:lineRule="exact"/>
      <w:jc w:val="center"/>
    </w:pPr>
    <w:rPr>
      <w:rFonts w:ascii="楷体_GB2312" w:hAnsi="宋体" w:eastAsia="楷体_GB2312"/>
      <w:sz w:val="21"/>
      <w:szCs w:val="20"/>
    </w:rPr>
  </w:style>
  <w:style w:type="paragraph" w:styleId="47">
    <w:name w:val="Title"/>
    <w:basedOn w:val="1"/>
    <w:next w:val="1"/>
    <w:link w:val="88"/>
    <w:autoRedefine/>
    <w:qFormat/>
    <w:uiPriority w:val="0"/>
    <w:pPr>
      <w:spacing w:before="240" w:after="60"/>
      <w:jc w:val="center"/>
      <w:outlineLvl w:val="0"/>
    </w:pPr>
    <w:rPr>
      <w:rFonts w:ascii="Cambria" w:hAnsi="Cambria"/>
      <w:b/>
      <w:bCs/>
      <w:sz w:val="32"/>
      <w:szCs w:val="32"/>
    </w:rPr>
  </w:style>
  <w:style w:type="paragraph" w:styleId="48">
    <w:name w:val="annotation subject"/>
    <w:basedOn w:val="17"/>
    <w:next w:val="17"/>
    <w:link w:val="89"/>
    <w:autoRedefine/>
    <w:qFormat/>
    <w:uiPriority w:val="0"/>
    <w:pPr>
      <w:spacing w:line="360" w:lineRule="auto"/>
      <w:ind w:firstLine="200" w:firstLineChars="200"/>
    </w:pPr>
    <w:rPr>
      <w:b/>
      <w:bCs/>
      <w:sz w:val="24"/>
    </w:rPr>
  </w:style>
  <w:style w:type="paragraph" w:styleId="49">
    <w:name w:val="Body Text First Indent"/>
    <w:basedOn w:val="20"/>
    <w:next w:val="1"/>
    <w:link w:val="91"/>
    <w:autoRedefine/>
    <w:qFormat/>
    <w:uiPriority w:val="0"/>
    <w:pPr>
      <w:ind w:firstLine="420" w:firstLineChars="100"/>
    </w:pPr>
  </w:style>
  <w:style w:type="table" w:styleId="51">
    <w:name w:val="Table Grid"/>
    <w:basedOn w:val="50"/>
    <w:autoRedefine/>
    <w:unhideWhenUsed/>
    <w:qFormat/>
    <w:uiPriority w:val="59"/>
    <w:rPr>
      <w:rFonts w:ascii="Times New Roman" w:hAnsi="Times New Roman" w:eastAsia="宋体"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53">
    <w:name w:val="Strong"/>
    <w:autoRedefine/>
    <w:qFormat/>
    <w:uiPriority w:val="0"/>
    <w:rPr>
      <w:b/>
      <w:bCs/>
    </w:rPr>
  </w:style>
  <w:style w:type="character" w:styleId="54">
    <w:name w:val="endnote reference"/>
    <w:autoRedefine/>
    <w:qFormat/>
    <w:uiPriority w:val="0"/>
    <w:rPr>
      <w:vertAlign w:val="superscript"/>
    </w:rPr>
  </w:style>
  <w:style w:type="character" w:styleId="55">
    <w:name w:val="page number"/>
    <w:autoRedefine/>
    <w:qFormat/>
    <w:uiPriority w:val="0"/>
  </w:style>
  <w:style w:type="character" w:styleId="56">
    <w:name w:val="FollowedHyperlink"/>
    <w:autoRedefine/>
    <w:qFormat/>
    <w:uiPriority w:val="99"/>
    <w:rPr>
      <w:color w:val="800080"/>
      <w:u w:val="single"/>
    </w:rPr>
  </w:style>
  <w:style w:type="character" w:styleId="57">
    <w:name w:val="Emphasis"/>
    <w:autoRedefine/>
    <w:qFormat/>
    <w:uiPriority w:val="0"/>
  </w:style>
  <w:style w:type="character" w:styleId="58">
    <w:name w:val="Hyperlink"/>
    <w:autoRedefine/>
    <w:qFormat/>
    <w:uiPriority w:val="99"/>
    <w:rPr>
      <w:rFonts w:ascii="Times New Roman" w:hAnsi="Times New Roman" w:eastAsia="宋体"/>
      <w:color w:val="0000FF"/>
      <w:sz w:val="24"/>
      <w:szCs w:val="24"/>
      <w:u w:val="single"/>
    </w:rPr>
  </w:style>
  <w:style w:type="character" w:styleId="59">
    <w:name w:val="annotation reference"/>
    <w:autoRedefine/>
    <w:qFormat/>
    <w:uiPriority w:val="0"/>
    <w:rPr>
      <w:rFonts w:ascii="宋体" w:hAnsi="宋体" w:eastAsia="宋体" w:cs="宋体"/>
      <w:kern w:val="2"/>
      <w:sz w:val="21"/>
      <w:szCs w:val="21"/>
      <w:lang w:val="en-US" w:eastAsia="zh-CN" w:bidi="ar-SA"/>
    </w:rPr>
  </w:style>
  <w:style w:type="paragraph" w:customStyle="1" w:styleId="60">
    <w:name w:val="正文(首行缩进)"/>
    <w:basedOn w:val="1"/>
    <w:link w:val="206"/>
    <w:autoRedefine/>
    <w:qFormat/>
    <w:uiPriority w:val="0"/>
    <w:pPr>
      <w:spacing w:line="360" w:lineRule="auto"/>
      <w:ind w:firstLine="480" w:firstLineChars="200"/>
    </w:pPr>
    <w:rPr>
      <w:rFonts w:ascii="宋体" w:hAnsi="宋体" w:eastAsiaTheme="minorEastAsia" w:cstheme="minorBidi"/>
      <w:color w:val="000000"/>
      <w:kern w:val="24"/>
      <w:szCs w:val="22"/>
    </w:rPr>
  </w:style>
  <w:style w:type="paragraph" w:customStyle="1" w:styleId="61">
    <w:name w:val="样式2"/>
    <w:basedOn w:val="26"/>
    <w:next w:val="5"/>
    <w:autoRedefine/>
    <w:qFormat/>
    <w:uiPriority w:val="0"/>
    <w:pPr>
      <w:spacing w:line="360" w:lineRule="auto"/>
      <w:ind w:firstLine="482" w:firstLineChars="200"/>
    </w:pPr>
    <w:rPr>
      <w:b/>
      <w:sz w:val="24"/>
    </w:rPr>
  </w:style>
  <w:style w:type="character" w:customStyle="1" w:styleId="62">
    <w:name w:val="标题 1 Char"/>
    <w:basedOn w:val="52"/>
    <w:link w:val="2"/>
    <w:autoRedefine/>
    <w:qFormat/>
    <w:uiPriority w:val="0"/>
    <w:rPr>
      <w:rFonts w:ascii="Times New Roman" w:hAnsi="Times New Roman" w:eastAsia="宋体" w:cs="Times New Roman"/>
      <w:b/>
      <w:bCs/>
      <w:kern w:val="0"/>
      <w:sz w:val="30"/>
      <w:szCs w:val="30"/>
    </w:rPr>
  </w:style>
  <w:style w:type="character" w:customStyle="1" w:styleId="63">
    <w:name w:val="标题 2 Char"/>
    <w:link w:val="3"/>
    <w:autoRedefine/>
    <w:qFormat/>
    <w:uiPriority w:val="0"/>
    <w:rPr>
      <w:rFonts w:ascii="Times New Roman" w:hAnsi="Times New Roman" w:eastAsia="宋体" w:cs="Times New Roman"/>
      <w:b/>
      <w:bCs/>
      <w:color w:val="auto"/>
      <w:kern w:val="0"/>
      <w:sz w:val="28"/>
      <w:szCs w:val="28"/>
      <w:highlight w:val="none"/>
      <w:lang w:val="en-US" w:eastAsia="zh-CN" w:bidi="ar-SA"/>
    </w:rPr>
  </w:style>
  <w:style w:type="character" w:customStyle="1" w:styleId="64">
    <w:name w:val="标题 3 Char"/>
    <w:basedOn w:val="52"/>
    <w:link w:val="4"/>
    <w:autoRedefine/>
    <w:qFormat/>
    <w:uiPriority w:val="0"/>
    <w:rPr>
      <w:rFonts w:ascii="Times New Roman" w:hAnsi="Times New Roman" w:eastAsia="宋体" w:cs="Times New Roman"/>
      <w:b/>
      <w:bCs/>
      <w:kern w:val="2"/>
      <w:sz w:val="24"/>
      <w:szCs w:val="24"/>
    </w:rPr>
  </w:style>
  <w:style w:type="character" w:customStyle="1" w:styleId="65">
    <w:name w:val="标题 4 Char"/>
    <w:basedOn w:val="52"/>
    <w:link w:val="5"/>
    <w:autoRedefine/>
    <w:qFormat/>
    <w:uiPriority w:val="0"/>
    <w:rPr>
      <w:rFonts w:ascii="Times New Roman" w:hAnsi="Times New Roman" w:eastAsia="宋体" w:cs="Times New Roman"/>
      <w:b/>
      <w:bCs/>
      <w:sz w:val="24"/>
      <w:szCs w:val="24"/>
    </w:rPr>
  </w:style>
  <w:style w:type="character" w:customStyle="1" w:styleId="66">
    <w:name w:val="标题 5 Char"/>
    <w:basedOn w:val="52"/>
    <w:link w:val="6"/>
    <w:autoRedefine/>
    <w:qFormat/>
    <w:uiPriority w:val="0"/>
    <w:rPr>
      <w:rFonts w:ascii="Times New Roman" w:hAnsi="Times New Roman" w:eastAsia="宋体" w:cs="Times New Roman"/>
      <w:bCs/>
      <w:sz w:val="24"/>
      <w:szCs w:val="28"/>
    </w:rPr>
  </w:style>
  <w:style w:type="character" w:customStyle="1" w:styleId="67">
    <w:name w:val="标题 6 Char"/>
    <w:basedOn w:val="52"/>
    <w:link w:val="7"/>
    <w:autoRedefine/>
    <w:qFormat/>
    <w:uiPriority w:val="0"/>
    <w:rPr>
      <w:rFonts w:ascii="Arial" w:hAnsi="Arial" w:eastAsia="黑体" w:cs="Times New Roman"/>
      <w:b/>
      <w:bCs/>
      <w:sz w:val="24"/>
      <w:szCs w:val="24"/>
    </w:rPr>
  </w:style>
  <w:style w:type="character" w:customStyle="1" w:styleId="68">
    <w:name w:val="标题 7 Char"/>
    <w:basedOn w:val="52"/>
    <w:link w:val="8"/>
    <w:autoRedefine/>
    <w:qFormat/>
    <w:uiPriority w:val="0"/>
    <w:rPr>
      <w:rFonts w:ascii="Times New Roman" w:hAnsi="Times New Roman" w:eastAsia="宋体" w:cs="Times New Roman"/>
      <w:b/>
      <w:bCs/>
      <w:sz w:val="24"/>
      <w:szCs w:val="24"/>
    </w:rPr>
  </w:style>
  <w:style w:type="character" w:customStyle="1" w:styleId="69">
    <w:name w:val="标题 8 Char"/>
    <w:basedOn w:val="52"/>
    <w:link w:val="9"/>
    <w:autoRedefine/>
    <w:qFormat/>
    <w:uiPriority w:val="0"/>
    <w:rPr>
      <w:rFonts w:ascii="Arial" w:hAnsi="Arial" w:eastAsia="黑体" w:cs="Times New Roman"/>
      <w:sz w:val="24"/>
      <w:szCs w:val="24"/>
    </w:rPr>
  </w:style>
  <w:style w:type="character" w:customStyle="1" w:styleId="70">
    <w:name w:val="标题 9 Char"/>
    <w:basedOn w:val="52"/>
    <w:link w:val="10"/>
    <w:autoRedefine/>
    <w:qFormat/>
    <w:uiPriority w:val="0"/>
    <w:rPr>
      <w:rFonts w:ascii="Arial" w:hAnsi="Arial" w:eastAsia="黑体" w:cs="Times New Roman"/>
      <w:sz w:val="24"/>
      <w:szCs w:val="21"/>
    </w:rPr>
  </w:style>
  <w:style w:type="character" w:customStyle="1" w:styleId="71">
    <w:name w:val="注释标题 Char"/>
    <w:basedOn w:val="52"/>
    <w:link w:val="12"/>
    <w:autoRedefine/>
    <w:qFormat/>
    <w:uiPriority w:val="0"/>
    <w:rPr>
      <w:rFonts w:ascii="Times New Roman" w:hAnsi="Times New Roman" w:eastAsia="宋体" w:cs="Times New Roman"/>
      <w:sz w:val="24"/>
      <w:szCs w:val="24"/>
    </w:rPr>
  </w:style>
  <w:style w:type="character" w:customStyle="1" w:styleId="72">
    <w:name w:val="正文缩进 Char"/>
    <w:link w:val="13"/>
    <w:autoRedefine/>
    <w:qFormat/>
    <w:uiPriority w:val="0"/>
    <w:rPr>
      <w:rFonts w:ascii="宋体" w:hAnsi="宋体" w:eastAsia="宋体" w:cs="Times New Roman"/>
      <w:color w:val="000000"/>
      <w:szCs w:val="20"/>
    </w:rPr>
  </w:style>
  <w:style w:type="character" w:customStyle="1" w:styleId="73">
    <w:name w:val="题注 Char"/>
    <w:link w:val="15"/>
    <w:autoRedefine/>
    <w:qFormat/>
    <w:uiPriority w:val="0"/>
    <w:rPr>
      <w:rFonts w:ascii="Arial" w:hAnsi="Arial" w:eastAsia="黑体" w:cs="Arial"/>
      <w:sz w:val="18"/>
      <w:szCs w:val="24"/>
    </w:rPr>
  </w:style>
  <w:style w:type="character" w:customStyle="1" w:styleId="74">
    <w:name w:val="文档结构图 Char"/>
    <w:basedOn w:val="52"/>
    <w:link w:val="16"/>
    <w:autoRedefine/>
    <w:qFormat/>
    <w:uiPriority w:val="0"/>
    <w:rPr>
      <w:rFonts w:ascii="Times New Roman" w:hAnsi="Times New Roman" w:eastAsia="宋体" w:cs="Times New Roman"/>
      <w:sz w:val="24"/>
      <w:szCs w:val="24"/>
      <w:shd w:val="clear" w:color="auto" w:fill="000080"/>
    </w:rPr>
  </w:style>
  <w:style w:type="character" w:customStyle="1" w:styleId="75">
    <w:name w:val="批注文字 Char"/>
    <w:basedOn w:val="52"/>
    <w:link w:val="17"/>
    <w:autoRedefine/>
    <w:qFormat/>
    <w:uiPriority w:val="0"/>
    <w:rPr>
      <w:rFonts w:ascii="Times New Roman" w:hAnsi="Times New Roman" w:eastAsia="宋体" w:cs="Times New Roman"/>
      <w:szCs w:val="24"/>
    </w:rPr>
  </w:style>
  <w:style w:type="character" w:customStyle="1" w:styleId="76">
    <w:name w:val="正文文本 Char"/>
    <w:basedOn w:val="52"/>
    <w:link w:val="20"/>
    <w:autoRedefine/>
    <w:qFormat/>
    <w:uiPriority w:val="0"/>
    <w:rPr>
      <w:rFonts w:ascii="Times New Roman" w:hAnsi="Times New Roman" w:eastAsia="宋体" w:cs="Times New Roman"/>
      <w:sz w:val="24"/>
      <w:szCs w:val="24"/>
    </w:rPr>
  </w:style>
  <w:style w:type="character" w:customStyle="1" w:styleId="77">
    <w:name w:val="正文文本缩进 Char"/>
    <w:basedOn w:val="52"/>
    <w:link w:val="21"/>
    <w:autoRedefine/>
    <w:qFormat/>
    <w:uiPriority w:val="99"/>
    <w:rPr>
      <w:rFonts w:ascii="Times New Roman" w:hAnsi="Times New Roman" w:eastAsia="宋体" w:cs="Times New Roman"/>
      <w:sz w:val="24"/>
      <w:szCs w:val="24"/>
    </w:rPr>
  </w:style>
  <w:style w:type="character" w:customStyle="1" w:styleId="78">
    <w:name w:val="正文首行缩进 2 Char"/>
    <w:basedOn w:val="77"/>
    <w:link w:val="22"/>
    <w:autoRedefine/>
    <w:qFormat/>
    <w:uiPriority w:val="0"/>
    <w:rPr>
      <w:rFonts w:ascii="Times New Roman" w:hAnsi="Times New Roman" w:eastAsia="宋体" w:cs="Times New Roman"/>
      <w:sz w:val="24"/>
      <w:szCs w:val="24"/>
    </w:rPr>
  </w:style>
  <w:style w:type="character" w:customStyle="1" w:styleId="79">
    <w:name w:val="纯文本 Char"/>
    <w:basedOn w:val="52"/>
    <w:link w:val="29"/>
    <w:autoRedefine/>
    <w:qFormat/>
    <w:uiPriority w:val="0"/>
    <w:rPr>
      <w:rFonts w:ascii="宋体" w:hAnsi="Courier New" w:eastAsia="宋体" w:cs="Courier New"/>
      <w:sz w:val="24"/>
      <w:szCs w:val="21"/>
    </w:rPr>
  </w:style>
  <w:style w:type="character" w:customStyle="1" w:styleId="80">
    <w:name w:val="日期 Char"/>
    <w:basedOn w:val="52"/>
    <w:link w:val="31"/>
    <w:autoRedefine/>
    <w:qFormat/>
    <w:uiPriority w:val="0"/>
    <w:rPr>
      <w:rFonts w:ascii="Times New Roman" w:hAnsi="Times New Roman" w:eastAsia="宋体" w:cs="Times New Roman"/>
      <w:kern w:val="0"/>
      <w:sz w:val="28"/>
      <w:szCs w:val="20"/>
    </w:rPr>
  </w:style>
  <w:style w:type="character" w:customStyle="1" w:styleId="81">
    <w:name w:val="正文文本缩进 2 Char"/>
    <w:basedOn w:val="52"/>
    <w:link w:val="32"/>
    <w:autoRedefine/>
    <w:qFormat/>
    <w:uiPriority w:val="0"/>
    <w:rPr>
      <w:rFonts w:ascii="Times New Roman" w:hAnsi="Times New Roman" w:eastAsia="宋体" w:cs="Times New Roman"/>
      <w:sz w:val="24"/>
      <w:szCs w:val="24"/>
    </w:rPr>
  </w:style>
  <w:style w:type="character" w:customStyle="1" w:styleId="82">
    <w:name w:val="批注框文本 Char"/>
    <w:basedOn w:val="52"/>
    <w:link w:val="33"/>
    <w:autoRedefine/>
    <w:qFormat/>
    <w:uiPriority w:val="0"/>
    <w:rPr>
      <w:rFonts w:ascii="Times New Roman" w:hAnsi="Times New Roman" w:eastAsia="宋体" w:cs="Times New Roman"/>
      <w:sz w:val="18"/>
      <w:szCs w:val="18"/>
    </w:rPr>
  </w:style>
  <w:style w:type="character" w:customStyle="1" w:styleId="83">
    <w:name w:val="页脚 Char"/>
    <w:basedOn w:val="52"/>
    <w:link w:val="34"/>
    <w:autoRedefine/>
    <w:qFormat/>
    <w:uiPriority w:val="99"/>
    <w:rPr>
      <w:rFonts w:ascii="Times New Roman" w:hAnsi="Times New Roman" w:eastAsia="宋体" w:cs="Times New Roman"/>
      <w:szCs w:val="21"/>
    </w:rPr>
  </w:style>
  <w:style w:type="character" w:customStyle="1" w:styleId="84">
    <w:name w:val="页眉 Char"/>
    <w:basedOn w:val="52"/>
    <w:link w:val="35"/>
    <w:autoRedefine/>
    <w:qFormat/>
    <w:uiPriority w:val="99"/>
    <w:rPr>
      <w:rFonts w:ascii="Times New Roman" w:hAnsi="Times New Roman" w:eastAsia="宋体" w:cs="Times New Roman"/>
      <w:szCs w:val="24"/>
    </w:rPr>
  </w:style>
  <w:style w:type="character" w:customStyle="1" w:styleId="85">
    <w:name w:val="正文文本缩进 3 Char"/>
    <w:basedOn w:val="52"/>
    <w:link w:val="40"/>
    <w:autoRedefine/>
    <w:qFormat/>
    <w:uiPriority w:val="0"/>
    <w:rPr>
      <w:rFonts w:ascii="Times New Roman" w:hAnsi="Times New Roman" w:eastAsia="宋体" w:cs="Times New Roman"/>
      <w:sz w:val="16"/>
      <w:szCs w:val="16"/>
    </w:rPr>
  </w:style>
  <w:style w:type="character" w:customStyle="1" w:styleId="86">
    <w:name w:val="正文文本 2 Char"/>
    <w:basedOn w:val="52"/>
    <w:link w:val="43"/>
    <w:autoRedefine/>
    <w:qFormat/>
    <w:uiPriority w:val="0"/>
    <w:rPr>
      <w:rFonts w:ascii="Times New Roman" w:hAnsi="Times New Roman" w:eastAsia="宋体" w:cs="Times New Roman"/>
      <w:szCs w:val="24"/>
    </w:rPr>
  </w:style>
  <w:style w:type="character" w:customStyle="1" w:styleId="87">
    <w:name w:val="HTML 预设格式 Char"/>
    <w:basedOn w:val="52"/>
    <w:link w:val="44"/>
    <w:autoRedefine/>
    <w:qFormat/>
    <w:uiPriority w:val="99"/>
    <w:rPr>
      <w:rFonts w:ascii="宋体" w:hAnsi="宋体" w:eastAsia="宋体" w:cs="Times New Roman"/>
      <w:kern w:val="0"/>
      <w:sz w:val="24"/>
      <w:szCs w:val="24"/>
    </w:rPr>
  </w:style>
  <w:style w:type="character" w:customStyle="1" w:styleId="88">
    <w:name w:val="标题 Char"/>
    <w:basedOn w:val="52"/>
    <w:link w:val="47"/>
    <w:autoRedefine/>
    <w:qFormat/>
    <w:uiPriority w:val="0"/>
    <w:rPr>
      <w:rFonts w:ascii="Cambria" w:hAnsi="Cambria" w:eastAsia="宋体" w:cs="Times New Roman"/>
      <w:b/>
      <w:bCs/>
      <w:sz w:val="32"/>
      <w:szCs w:val="32"/>
    </w:rPr>
  </w:style>
  <w:style w:type="character" w:customStyle="1" w:styleId="89">
    <w:name w:val="批注主题 Char"/>
    <w:basedOn w:val="75"/>
    <w:link w:val="48"/>
    <w:autoRedefine/>
    <w:qFormat/>
    <w:uiPriority w:val="0"/>
    <w:rPr>
      <w:rFonts w:ascii="Times New Roman" w:hAnsi="Times New Roman" w:eastAsia="宋体" w:cs="Times New Roman"/>
      <w:b/>
      <w:bCs/>
      <w:sz w:val="24"/>
      <w:szCs w:val="24"/>
    </w:rPr>
  </w:style>
  <w:style w:type="character" w:customStyle="1" w:styleId="90">
    <w:name w:val="批注文字 Char1"/>
    <w:autoRedefine/>
    <w:semiHidden/>
    <w:qFormat/>
    <w:uiPriority w:val="99"/>
    <w:rPr>
      <w:kern w:val="2"/>
      <w:sz w:val="24"/>
      <w:szCs w:val="24"/>
    </w:rPr>
  </w:style>
  <w:style w:type="character" w:customStyle="1" w:styleId="91">
    <w:name w:val="正文首行缩进 Char"/>
    <w:basedOn w:val="76"/>
    <w:link w:val="49"/>
    <w:autoRedefine/>
    <w:qFormat/>
    <w:uiPriority w:val="0"/>
    <w:rPr>
      <w:rFonts w:ascii="Times New Roman" w:hAnsi="Times New Roman" w:eastAsia="宋体" w:cs="Times New Roman"/>
      <w:sz w:val="24"/>
      <w:szCs w:val="24"/>
    </w:rPr>
  </w:style>
  <w:style w:type="character" w:customStyle="1" w:styleId="92">
    <w:name w:val="sp1"/>
    <w:autoRedefine/>
    <w:qFormat/>
    <w:uiPriority w:val="0"/>
  </w:style>
  <w:style w:type="character" w:customStyle="1" w:styleId="93">
    <w:name w:val="文档结构图 Char1"/>
    <w:autoRedefine/>
    <w:semiHidden/>
    <w:qFormat/>
    <w:uiPriority w:val="99"/>
    <w:rPr>
      <w:rFonts w:ascii="宋体"/>
      <w:kern w:val="2"/>
      <w:sz w:val="18"/>
      <w:szCs w:val="18"/>
    </w:rPr>
  </w:style>
  <w:style w:type="character" w:customStyle="1" w:styleId="94">
    <w:name w:val="zhang正文 Char Char Char"/>
    <w:link w:val="95"/>
    <w:autoRedefine/>
    <w:semiHidden/>
    <w:qFormat/>
    <w:uiPriority w:val="0"/>
    <w:rPr>
      <w:sz w:val="28"/>
      <w:lang w:bidi="he-IL"/>
    </w:rPr>
  </w:style>
  <w:style w:type="paragraph" w:customStyle="1" w:styleId="95">
    <w:name w:val="zhang正文 Char Char"/>
    <w:basedOn w:val="21"/>
    <w:link w:val="94"/>
    <w:autoRedefine/>
    <w:semiHidden/>
    <w:qFormat/>
    <w:uiPriority w:val="0"/>
    <w:pPr>
      <w:autoSpaceDE w:val="0"/>
      <w:autoSpaceDN w:val="0"/>
      <w:adjustRightInd w:val="0"/>
      <w:snapToGrid w:val="0"/>
      <w:spacing w:after="0" w:line="360" w:lineRule="auto"/>
      <w:ind w:left="0" w:leftChars="0" w:firstLine="200" w:firstLineChars="200"/>
      <w:textAlignment w:val="baseline"/>
    </w:pPr>
    <w:rPr>
      <w:rFonts w:asciiTheme="minorHAnsi" w:hAnsiTheme="minorHAnsi" w:eastAsiaTheme="minorEastAsia" w:cstheme="minorBidi"/>
      <w:sz w:val="28"/>
      <w:szCs w:val="22"/>
      <w:lang w:bidi="he-IL"/>
    </w:rPr>
  </w:style>
  <w:style w:type="character" w:customStyle="1" w:styleId="96">
    <w:name w:val="正文首行缩进 Char1"/>
    <w:autoRedefine/>
    <w:semiHidden/>
    <w:qFormat/>
    <w:uiPriority w:val="99"/>
  </w:style>
  <w:style w:type="character" w:customStyle="1" w:styleId="97">
    <w:name w:val="正文文本 Char1"/>
    <w:autoRedefine/>
    <w:semiHidden/>
    <w:qFormat/>
    <w:uiPriority w:val="99"/>
    <w:rPr>
      <w:kern w:val="2"/>
      <w:sz w:val="24"/>
      <w:szCs w:val="24"/>
    </w:rPr>
  </w:style>
  <w:style w:type="character" w:customStyle="1" w:styleId="98">
    <w:name w:val="7表格(治) Char"/>
    <w:link w:val="99"/>
    <w:autoRedefine/>
    <w:qFormat/>
    <w:uiPriority w:val="0"/>
    <w:rPr>
      <w:rFonts w:eastAsia="楷体_GB2312" w:cs="宋体"/>
      <w:szCs w:val="36"/>
    </w:rPr>
  </w:style>
  <w:style w:type="paragraph" w:customStyle="1" w:styleId="99">
    <w:name w:val="7表格(治)"/>
    <w:link w:val="98"/>
    <w:autoRedefine/>
    <w:qFormat/>
    <w:uiPriority w:val="0"/>
    <w:pPr>
      <w:widowControl w:val="0"/>
      <w:tabs>
        <w:tab w:val="center" w:pos="4153"/>
        <w:tab w:val="right" w:pos="8306"/>
      </w:tabs>
      <w:suppressAutoHyphens/>
      <w:snapToGrid w:val="0"/>
      <w:jc w:val="center"/>
    </w:pPr>
    <w:rPr>
      <w:rFonts w:eastAsia="楷体_GB2312" w:cs="宋体" w:asciiTheme="minorHAnsi" w:hAnsiTheme="minorHAnsi"/>
      <w:kern w:val="2"/>
      <w:sz w:val="21"/>
      <w:szCs w:val="36"/>
      <w:lang w:val="en-US" w:eastAsia="zh-CN" w:bidi="ar-SA"/>
    </w:rPr>
  </w:style>
  <w:style w:type="character" w:customStyle="1" w:styleId="100">
    <w:name w:val="Char Char Char"/>
    <w:link w:val="101"/>
    <w:autoRedefine/>
    <w:qFormat/>
    <w:uiPriority w:val="0"/>
  </w:style>
  <w:style w:type="paragraph" w:customStyle="1" w:styleId="101">
    <w:name w:val="Char"/>
    <w:basedOn w:val="1"/>
    <w:link w:val="100"/>
    <w:autoRedefine/>
    <w:qFormat/>
    <w:uiPriority w:val="0"/>
    <w:rPr>
      <w:rFonts w:asciiTheme="minorHAnsi" w:hAnsiTheme="minorHAnsi" w:eastAsiaTheme="minorEastAsia" w:cstheme="minorBidi"/>
      <w:sz w:val="21"/>
      <w:szCs w:val="22"/>
    </w:rPr>
  </w:style>
  <w:style w:type="character" w:customStyle="1" w:styleId="102">
    <w:name w:val="1标题2级 Char"/>
    <w:link w:val="103"/>
    <w:autoRedefine/>
    <w:qFormat/>
    <w:uiPriority w:val="0"/>
    <w:rPr>
      <w:rFonts w:eastAsia="黑体"/>
      <w:b/>
      <w:sz w:val="30"/>
    </w:rPr>
  </w:style>
  <w:style w:type="paragraph" w:customStyle="1" w:styleId="103">
    <w:name w:val="1标题2级"/>
    <w:basedOn w:val="1"/>
    <w:link w:val="102"/>
    <w:autoRedefine/>
    <w:qFormat/>
    <w:uiPriority w:val="0"/>
    <w:pPr>
      <w:keepNext/>
      <w:adjustRightInd w:val="0"/>
      <w:snapToGrid w:val="0"/>
      <w:spacing w:line="360" w:lineRule="auto"/>
      <w:textAlignment w:val="baseline"/>
      <w:outlineLvl w:val="1"/>
    </w:pPr>
    <w:rPr>
      <w:rFonts w:eastAsia="黑体" w:asciiTheme="minorHAnsi" w:hAnsiTheme="minorHAnsi" w:cstheme="minorBidi"/>
      <w:b/>
      <w:sz w:val="30"/>
      <w:szCs w:val="22"/>
    </w:rPr>
  </w:style>
  <w:style w:type="character" w:customStyle="1" w:styleId="104">
    <w:name w:val="r"/>
    <w:autoRedefine/>
    <w:qFormat/>
    <w:uiPriority w:val="0"/>
  </w:style>
  <w:style w:type="character" w:customStyle="1" w:styleId="105">
    <w:name w:val="hps"/>
    <w:autoRedefine/>
    <w:qFormat/>
    <w:uiPriority w:val="0"/>
  </w:style>
  <w:style w:type="character" w:customStyle="1" w:styleId="106">
    <w:name w:val="二级标题 Char"/>
    <w:link w:val="107"/>
    <w:autoRedefine/>
    <w:semiHidden/>
    <w:qFormat/>
    <w:uiPriority w:val="0"/>
    <w:rPr>
      <w:rFonts w:cs="宋体"/>
      <w:b/>
      <w:bCs/>
      <w:sz w:val="30"/>
    </w:rPr>
  </w:style>
  <w:style w:type="paragraph" w:customStyle="1" w:styleId="107">
    <w:name w:val="二级标题"/>
    <w:basedOn w:val="1"/>
    <w:link w:val="106"/>
    <w:autoRedefine/>
    <w:semiHidden/>
    <w:qFormat/>
    <w:uiPriority w:val="0"/>
    <w:pPr>
      <w:keepNext/>
      <w:keepLines/>
      <w:snapToGrid w:val="0"/>
      <w:spacing w:beforeLines="50" w:afterLines="50" w:line="360" w:lineRule="auto"/>
      <w:outlineLvl w:val="1"/>
    </w:pPr>
    <w:rPr>
      <w:rFonts w:cs="宋体" w:asciiTheme="minorHAnsi" w:hAnsiTheme="minorHAnsi" w:eastAsiaTheme="minorEastAsia"/>
      <w:b/>
      <w:bCs/>
      <w:sz w:val="30"/>
      <w:szCs w:val="22"/>
    </w:rPr>
  </w:style>
  <w:style w:type="character" w:customStyle="1" w:styleId="108">
    <w:name w:val="正文文本缩进 2 Char1"/>
    <w:autoRedefine/>
    <w:semiHidden/>
    <w:qFormat/>
    <w:uiPriority w:val="99"/>
    <w:rPr>
      <w:kern w:val="2"/>
      <w:sz w:val="24"/>
      <w:szCs w:val="24"/>
    </w:rPr>
  </w:style>
  <w:style w:type="character" w:customStyle="1" w:styleId="109">
    <w:name w:val="表头 Char1"/>
    <w:autoRedefine/>
    <w:qFormat/>
    <w:uiPriority w:val="0"/>
    <w:rPr>
      <w:rFonts w:eastAsia="宋体" w:cs="宋体"/>
      <w:b/>
      <w:bCs/>
      <w:color w:val="000000"/>
      <w:kern w:val="2"/>
      <w:sz w:val="24"/>
      <w:lang w:val="en-US" w:eastAsia="zh-CN" w:bidi="ar-SA"/>
    </w:rPr>
  </w:style>
  <w:style w:type="character" w:customStyle="1" w:styleId="110">
    <w:name w:val="bt Char"/>
    <w:autoRedefine/>
    <w:qFormat/>
    <w:uiPriority w:val="0"/>
    <w:rPr>
      <w:rFonts w:ascii="Times New Roman" w:hAnsi="Times New Roman" w:eastAsia="宋体" w:cs="Times New Roman"/>
      <w:szCs w:val="24"/>
    </w:rPr>
  </w:style>
  <w:style w:type="character" w:customStyle="1" w:styleId="111">
    <w:name w:val="sp3"/>
    <w:autoRedefine/>
    <w:qFormat/>
    <w:uiPriority w:val="0"/>
  </w:style>
  <w:style w:type="character" w:customStyle="1" w:styleId="112">
    <w:name w:val="表头格式1 Char"/>
    <w:link w:val="113"/>
    <w:autoRedefine/>
    <w:qFormat/>
    <w:uiPriority w:val="0"/>
    <w:rPr>
      <w:rFonts w:hAnsi="宋体"/>
      <w:b/>
      <w:sz w:val="24"/>
      <w:szCs w:val="24"/>
    </w:rPr>
  </w:style>
  <w:style w:type="paragraph" w:customStyle="1" w:styleId="113">
    <w:name w:val="表头格式1"/>
    <w:basedOn w:val="1"/>
    <w:link w:val="112"/>
    <w:autoRedefine/>
    <w:qFormat/>
    <w:uiPriority w:val="0"/>
    <w:pPr>
      <w:tabs>
        <w:tab w:val="left" w:pos="1980"/>
      </w:tabs>
      <w:spacing w:line="360" w:lineRule="auto"/>
      <w:ind w:firstLine="420"/>
      <w:jc w:val="center"/>
    </w:pPr>
    <w:rPr>
      <w:rFonts w:hAnsi="宋体" w:asciiTheme="minorHAnsi" w:eastAsiaTheme="minorEastAsia" w:cstheme="minorBidi"/>
      <w:b/>
    </w:rPr>
  </w:style>
  <w:style w:type="character" w:customStyle="1" w:styleId="114">
    <w:name w:val="文本 Char"/>
    <w:link w:val="115"/>
    <w:autoRedefine/>
    <w:qFormat/>
    <w:uiPriority w:val="0"/>
    <w:rPr>
      <w:rFonts w:eastAsia="宋体" w:cs="宋体"/>
      <w:sz w:val="24"/>
      <w:szCs w:val="24"/>
    </w:rPr>
  </w:style>
  <w:style w:type="paragraph" w:customStyle="1" w:styleId="115">
    <w:name w:val="文本"/>
    <w:basedOn w:val="1"/>
    <w:link w:val="114"/>
    <w:autoRedefine/>
    <w:qFormat/>
    <w:uiPriority w:val="0"/>
    <w:pPr>
      <w:spacing w:line="360" w:lineRule="auto"/>
      <w:ind w:firstLine="200" w:firstLineChars="200"/>
    </w:pPr>
    <w:rPr>
      <w:rFonts w:cs="宋体" w:asciiTheme="minorHAnsi" w:hAnsiTheme="minorHAnsi"/>
    </w:rPr>
  </w:style>
  <w:style w:type="character" w:customStyle="1" w:styleId="116">
    <w:name w:val="公式编号 Char"/>
    <w:link w:val="117"/>
    <w:autoRedefine/>
    <w:qFormat/>
    <w:uiPriority w:val="0"/>
    <w:rPr>
      <w:rFonts w:eastAsia="宋体" w:cs="宋体"/>
      <w:szCs w:val="24"/>
    </w:rPr>
  </w:style>
  <w:style w:type="paragraph" w:customStyle="1" w:styleId="117">
    <w:name w:val="公式编号"/>
    <w:basedOn w:val="1"/>
    <w:link w:val="116"/>
    <w:autoRedefine/>
    <w:qFormat/>
    <w:uiPriority w:val="0"/>
    <w:pPr>
      <w:ind w:firstLine="200"/>
      <w:jc w:val="right"/>
    </w:pPr>
    <w:rPr>
      <w:rFonts w:cs="宋体" w:asciiTheme="minorHAnsi" w:hAnsiTheme="minorHAnsi"/>
      <w:sz w:val="21"/>
    </w:rPr>
  </w:style>
  <w:style w:type="character" w:customStyle="1" w:styleId="118">
    <w:name w:val="表头 Char"/>
    <w:link w:val="119"/>
    <w:autoRedefine/>
    <w:qFormat/>
    <w:uiPriority w:val="0"/>
    <w:rPr>
      <w:rFonts w:eastAsia="黑体"/>
      <w:spacing w:val="10"/>
      <w:sz w:val="28"/>
    </w:rPr>
  </w:style>
  <w:style w:type="paragraph" w:customStyle="1" w:styleId="119">
    <w:name w:val="表头"/>
    <w:basedOn w:val="1"/>
    <w:next w:val="1"/>
    <w:link w:val="118"/>
    <w:autoRedefine/>
    <w:qFormat/>
    <w:uiPriority w:val="0"/>
    <w:pPr>
      <w:widowControl/>
      <w:spacing w:before="120" w:after="120" w:line="360" w:lineRule="exact"/>
      <w:ind w:firstLine="200" w:firstLineChars="200"/>
      <w:jc w:val="center"/>
    </w:pPr>
    <w:rPr>
      <w:rFonts w:eastAsia="黑体" w:asciiTheme="minorHAnsi" w:hAnsiTheme="minorHAnsi" w:cstheme="minorBidi"/>
      <w:spacing w:val="10"/>
      <w:sz w:val="28"/>
      <w:szCs w:val="22"/>
    </w:rPr>
  </w:style>
  <w:style w:type="character" w:customStyle="1" w:styleId="120">
    <w:name w:val="表头格式1 Char Char"/>
    <w:autoRedefine/>
    <w:qFormat/>
    <w:uiPriority w:val="0"/>
    <w:rPr>
      <w:rFonts w:hAnsi="宋体"/>
      <w:b/>
      <w:kern w:val="2"/>
      <w:sz w:val="24"/>
      <w:szCs w:val="24"/>
    </w:rPr>
  </w:style>
  <w:style w:type="character" w:customStyle="1" w:styleId="121">
    <w:name w:val="图表注 Char"/>
    <w:autoRedefine/>
    <w:qFormat/>
    <w:uiPriority w:val="0"/>
    <w:rPr>
      <w:rFonts w:ascii="Arial" w:hAnsi="Arial" w:eastAsia="黑体" w:cs="Arial"/>
      <w:kern w:val="2"/>
      <w:lang w:val="en-US" w:eastAsia="zh-CN" w:bidi="ar-SA"/>
    </w:rPr>
  </w:style>
  <w:style w:type="character" w:customStyle="1" w:styleId="122">
    <w:name w:val="h2 Char"/>
    <w:autoRedefine/>
    <w:qFormat/>
    <w:uiPriority w:val="0"/>
    <w:rPr>
      <w:rFonts w:ascii="Arial" w:hAnsi="Arial" w:eastAsia="黑体" w:cs="Times New Roman"/>
      <w:b/>
      <w:bCs/>
      <w:sz w:val="32"/>
      <w:szCs w:val="32"/>
    </w:rPr>
  </w:style>
  <w:style w:type="character" w:customStyle="1" w:styleId="123">
    <w:name w:val="样式 加粗"/>
    <w:autoRedefine/>
    <w:qFormat/>
    <w:uiPriority w:val="0"/>
    <w:rPr>
      <w:rFonts w:ascii="Times New Roman" w:hAnsi="Times New Roman" w:eastAsia="宋体"/>
      <w:b/>
      <w:bCs/>
      <w:sz w:val="24"/>
      <w:szCs w:val="24"/>
    </w:rPr>
  </w:style>
  <w:style w:type="character" w:customStyle="1" w:styleId="124">
    <w:name w:val="2标题(治) Char"/>
    <w:link w:val="125"/>
    <w:autoRedefine/>
    <w:qFormat/>
    <w:uiPriority w:val="0"/>
    <w:rPr>
      <w:b/>
      <w:bCs/>
      <w:color w:val="0000FF"/>
      <w:sz w:val="28"/>
      <w:szCs w:val="28"/>
    </w:rPr>
  </w:style>
  <w:style w:type="paragraph" w:customStyle="1" w:styleId="125">
    <w:name w:val="2标题(治)"/>
    <w:basedOn w:val="3"/>
    <w:link w:val="124"/>
    <w:autoRedefine/>
    <w:qFormat/>
    <w:uiPriority w:val="0"/>
    <w:pPr>
      <w:numPr>
        <w:ilvl w:val="0"/>
        <w:numId w:val="0"/>
      </w:numPr>
      <w:jc w:val="both"/>
      <w:outlineLvl w:val="0"/>
    </w:pPr>
    <w:rPr>
      <w:rFonts w:asciiTheme="minorHAnsi" w:hAnsiTheme="minorHAnsi" w:eastAsiaTheme="minorEastAsia" w:cstheme="minorBidi"/>
      <w:color w:val="0000FF"/>
    </w:rPr>
  </w:style>
  <w:style w:type="character" w:customStyle="1" w:styleId="126">
    <w:name w:val="表格 Char Char1"/>
    <w:link w:val="127"/>
    <w:autoRedefine/>
    <w:qFormat/>
    <w:uiPriority w:val="0"/>
    <w:rPr>
      <w:snapToGrid w:val="0"/>
      <w:sz w:val="24"/>
      <w:szCs w:val="24"/>
    </w:rPr>
  </w:style>
  <w:style w:type="paragraph" w:customStyle="1" w:styleId="127">
    <w:name w:val="表格 Char"/>
    <w:basedOn w:val="1"/>
    <w:link w:val="126"/>
    <w:autoRedefine/>
    <w:qFormat/>
    <w:uiPriority w:val="0"/>
    <w:pPr>
      <w:adjustRightInd w:val="0"/>
      <w:snapToGrid w:val="0"/>
      <w:jc w:val="center"/>
    </w:pPr>
    <w:rPr>
      <w:rFonts w:asciiTheme="minorHAnsi" w:hAnsiTheme="minorHAnsi" w:eastAsiaTheme="minorEastAsia" w:cstheme="minorBidi"/>
      <w:snapToGrid w:val="0"/>
    </w:rPr>
  </w:style>
  <w:style w:type="character" w:customStyle="1" w:styleId="128">
    <w:name w:val="表名 Char Char"/>
    <w:autoRedefine/>
    <w:qFormat/>
    <w:uiPriority w:val="0"/>
    <w:rPr>
      <w:b/>
      <w:bCs/>
      <w:szCs w:val="32"/>
      <w:lang w:val="en-US" w:eastAsia="zh-CN" w:bidi="ar-SA"/>
    </w:rPr>
  </w:style>
  <w:style w:type="character" w:customStyle="1" w:styleId="129">
    <w:name w:val="description"/>
    <w:autoRedefine/>
    <w:qFormat/>
    <w:uiPriority w:val="0"/>
  </w:style>
  <w:style w:type="character" w:customStyle="1" w:styleId="130">
    <w:name w:val="正文（lh） Char"/>
    <w:link w:val="131"/>
    <w:autoRedefine/>
    <w:qFormat/>
    <w:uiPriority w:val="0"/>
    <w:rPr>
      <w:rFonts w:eastAsia="仿宋_GB2312"/>
      <w:sz w:val="28"/>
      <w:szCs w:val="28"/>
    </w:rPr>
  </w:style>
  <w:style w:type="paragraph" w:customStyle="1" w:styleId="131">
    <w:name w:val="正文（lh）"/>
    <w:basedOn w:val="1"/>
    <w:link w:val="130"/>
    <w:autoRedefine/>
    <w:qFormat/>
    <w:uiPriority w:val="0"/>
    <w:pPr>
      <w:spacing w:line="520" w:lineRule="exact"/>
      <w:ind w:firstLine="560" w:firstLineChars="200"/>
    </w:pPr>
    <w:rPr>
      <w:rFonts w:eastAsia="仿宋_GB2312" w:asciiTheme="minorHAnsi" w:hAnsiTheme="minorHAnsi" w:cstheme="minorBidi"/>
      <w:sz w:val="28"/>
      <w:szCs w:val="28"/>
    </w:rPr>
  </w:style>
  <w:style w:type="character" w:customStyle="1" w:styleId="132">
    <w:name w:val="正文文本 2 Char1"/>
    <w:autoRedefine/>
    <w:semiHidden/>
    <w:qFormat/>
    <w:uiPriority w:val="99"/>
    <w:rPr>
      <w:kern w:val="2"/>
      <w:sz w:val="24"/>
      <w:szCs w:val="24"/>
    </w:rPr>
  </w:style>
  <w:style w:type="character" w:customStyle="1" w:styleId="133">
    <w:name w:val="@ 正文 Char Char"/>
    <w:link w:val="134"/>
    <w:autoRedefine/>
    <w:qFormat/>
    <w:uiPriority w:val="0"/>
    <w:rPr>
      <w:rFonts w:hAnsi="宋体"/>
      <w:sz w:val="24"/>
      <w:szCs w:val="21"/>
    </w:rPr>
  </w:style>
  <w:style w:type="paragraph" w:customStyle="1" w:styleId="134">
    <w:name w:val="@ 正文"/>
    <w:basedOn w:val="1"/>
    <w:link w:val="133"/>
    <w:autoRedefine/>
    <w:qFormat/>
    <w:uiPriority w:val="0"/>
    <w:pPr>
      <w:tabs>
        <w:tab w:val="left" w:pos="1980"/>
        <w:tab w:val="left" w:pos="3825"/>
        <w:tab w:val="left" w:pos="4680"/>
      </w:tabs>
      <w:spacing w:line="360" w:lineRule="auto"/>
      <w:ind w:firstLine="200" w:firstLineChars="200"/>
      <w:jc w:val="left"/>
    </w:pPr>
    <w:rPr>
      <w:rFonts w:hAnsi="宋体" w:asciiTheme="minorHAnsi" w:eastAsiaTheme="minorEastAsia" w:cstheme="minorBidi"/>
      <w:szCs w:val="21"/>
    </w:rPr>
  </w:style>
  <w:style w:type="character" w:customStyle="1" w:styleId="135">
    <w:name w:val="报告书正文 Char"/>
    <w:link w:val="136"/>
    <w:autoRedefine/>
    <w:qFormat/>
    <w:uiPriority w:val="0"/>
    <w:rPr>
      <w:sz w:val="24"/>
      <w:szCs w:val="24"/>
    </w:rPr>
  </w:style>
  <w:style w:type="paragraph" w:customStyle="1" w:styleId="136">
    <w:name w:val="报告书正文"/>
    <w:basedOn w:val="1"/>
    <w:link w:val="135"/>
    <w:autoRedefine/>
    <w:qFormat/>
    <w:uiPriority w:val="0"/>
    <w:pPr>
      <w:tabs>
        <w:tab w:val="left" w:pos="1980"/>
      </w:tabs>
      <w:spacing w:line="360" w:lineRule="auto"/>
      <w:ind w:firstLine="480" w:firstLineChars="200"/>
    </w:pPr>
    <w:rPr>
      <w:rFonts w:asciiTheme="minorHAnsi" w:hAnsiTheme="minorHAnsi" w:eastAsiaTheme="minorEastAsia" w:cstheme="minorBidi"/>
    </w:rPr>
  </w:style>
  <w:style w:type="character" w:customStyle="1" w:styleId="137">
    <w:name w:val="Char Char3"/>
    <w:autoRedefine/>
    <w:qFormat/>
    <w:uiPriority w:val="0"/>
    <w:rPr>
      <w:rFonts w:ascii="Cambria" w:hAnsi="Cambria" w:eastAsia="宋体"/>
      <w:b/>
      <w:bCs/>
      <w:sz w:val="28"/>
      <w:szCs w:val="28"/>
      <w:lang w:val="en-US" w:eastAsia="zh-CN" w:bidi="ar-SA"/>
    </w:rPr>
  </w:style>
  <w:style w:type="character" w:customStyle="1" w:styleId="138">
    <w:name w:val="标题 2 Char Char"/>
    <w:autoRedefine/>
    <w:qFormat/>
    <w:uiPriority w:val="0"/>
    <w:rPr>
      <w:rFonts w:eastAsia="黑体"/>
      <w:kern w:val="2"/>
      <w:sz w:val="32"/>
      <w:szCs w:val="24"/>
      <w:lang w:val="en-US" w:eastAsia="zh-CN" w:bidi="ar-SA"/>
    </w:rPr>
  </w:style>
  <w:style w:type="character" w:customStyle="1" w:styleId="139">
    <w:name w:val="表与图题 题注 Char"/>
    <w:link w:val="140"/>
    <w:autoRedefine/>
    <w:qFormat/>
    <w:uiPriority w:val="0"/>
    <w:rPr>
      <w:rFonts w:ascii="Arial" w:hAnsi="Arial" w:eastAsia="宋体" w:cs="宋体"/>
      <w:sz w:val="18"/>
      <w:szCs w:val="21"/>
    </w:rPr>
  </w:style>
  <w:style w:type="paragraph" w:customStyle="1" w:styleId="140">
    <w:name w:val="表与图题 题注"/>
    <w:basedOn w:val="15"/>
    <w:link w:val="139"/>
    <w:autoRedefine/>
    <w:qFormat/>
    <w:uiPriority w:val="0"/>
    <w:rPr>
      <w:rFonts w:eastAsia="宋体" w:cs="宋体"/>
      <w:szCs w:val="21"/>
    </w:rPr>
  </w:style>
  <w:style w:type="character" w:customStyle="1" w:styleId="141">
    <w:name w:val="5文章(治) Char"/>
    <w:link w:val="142"/>
    <w:autoRedefine/>
    <w:qFormat/>
    <w:uiPriority w:val="0"/>
    <w:rPr>
      <w:rFonts w:ascii="Arial" w:hAnsi="Arial" w:cs="Tahoma"/>
      <w:snapToGrid w:val="0"/>
      <w:sz w:val="24"/>
      <w:szCs w:val="21"/>
    </w:rPr>
  </w:style>
  <w:style w:type="paragraph" w:customStyle="1" w:styleId="142">
    <w:name w:val="5文章(治)"/>
    <w:basedOn w:val="1"/>
    <w:next w:val="18"/>
    <w:link w:val="141"/>
    <w:autoRedefine/>
    <w:qFormat/>
    <w:uiPriority w:val="0"/>
    <w:pPr>
      <w:spacing w:line="360" w:lineRule="auto"/>
      <w:ind w:firstLine="480" w:firstLineChars="200"/>
    </w:pPr>
    <w:rPr>
      <w:rFonts w:ascii="Arial" w:hAnsi="Arial" w:cs="Tahoma" w:eastAsiaTheme="minorEastAsia"/>
      <w:snapToGrid w:val="0"/>
      <w:szCs w:val="21"/>
    </w:rPr>
  </w:style>
  <w:style w:type="character" w:customStyle="1" w:styleId="143">
    <w:name w:val="content1"/>
    <w:autoRedefine/>
    <w:qFormat/>
    <w:uiPriority w:val="0"/>
    <w:rPr>
      <w:rFonts w:hint="default"/>
      <w:sz w:val="18"/>
    </w:rPr>
  </w:style>
  <w:style w:type="character" w:customStyle="1" w:styleId="144">
    <w:name w:val="样式 标题 2节标题 2 Char1标题 2 Char Char标题 2 Char第一层条H2Heading 2 ...1 Char"/>
    <w:link w:val="145"/>
    <w:autoRedefine/>
    <w:qFormat/>
    <w:uiPriority w:val="0"/>
    <w:rPr>
      <w:rFonts w:ascii="Arial" w:hAnsi="Arial" w:eastAsia="黑体"/>
      <w:b/>
      <w:bCs/>
      <w:sz w:val="24"/>
      <w:szCs w:val="32"/>
    </w:rPr>
  </w:style>
  <w:style w:type="paragraph" w:customStyle="1" w:styleId="145">
    <w:name w:val="样式 标题 2节标题 2 Char1标题 2 Char Char标题 2 Char第一层条H2Heading 2 ...1"/>
    <w:basedOn w:val="3"/>
    <w:link w:val="144"/>
    <w:autoRedefine/>
    <w:qFormat/>
    <w:uiPriority w:val="0"/>
    <w:pPr>
      <w:numPr>
        <w:ilvl w:val="0"/>
        <w:numId w:val="0"/>
      </w:numPr>
      <w:spacing w:before="260" w:after="260"/>
      <w:jc w:val="both"/>
      <w:outlineLvl w:val="2"/>
    </w:pPr>
    <w:rPr>
      <w:rFonts w:ascii="Arial" w:hAnsi="Arial" w:eastAsia="黑体" w:cstheme="minorBidi"/>
      <w:sz w:val="24"/>
      <w:szCs w:val="32"/>
    </w:rPr>
  </w:style>
  <w:style w:type="character" w:customStyle="1" w:styleId="146">
    <w:name w:val="标题 2 Char2"/>
    <w:autoRedefine/>
    <w:qFormat/>
    <w:uiPriority w:val="0"/>
    <w:rPr>
      <w:rFonts w:ascii="Arial" w:hAnsi="Arial" w:eastAsia="黑体"/>
      <w:b/>
      <w:bCs/>
      <w:kern w:val="2"/>
      <w:sz w:val="32"/>
      <w:szCs w:val="32"/>
      <w:lang w:val="en-US" w:eastAsia="zh-CN" w:bidi="ar-SA"/>
    </w:rPr>
  </w:style>
  <w:style w:type="character" w:customStyle="1" w:styleId="147">
    <w:name w:val="表格 Char Char"/>
    <w:autoRedefine/>
    <w:qFormat/>
    <w:uiPriority w:val="0"/>
    <w:rPr>
      <w:rFonts w:ascii="Arial" w:hAnsi="Arial" w:eastAsia="宋体"/>
      <w:sz w:val="21"/>
      <w:lang w:val="en-US" w:eastAsia="zh-CN" w:bidi="ar-SA"/>
    </w:rPr>
  </w:style>
  <w:style w:type="character" w:customStyle="1" w:styleId="148">
    <w:name w:val="fontstyle01"/>
    <w:autoRedefine/>
    <w:qFormat/>
    <w:uiPriority w:val="0"/>
    <w:rPr>
      <w:rFonts w:hint="eastAsia" w:ascii="宋体" w:hAnsi="宋体" w:eastAsia="宋体"/>
      <w:color w:val="000000"/>
      <w:sz w:val="28"/>
      <w:szCs w:val="28"/>
    </w:rPr>
  </w:style>
  <w:style w:type="character" w:customStyle="1" w:styleId="149">
    <w:name w:val="Char Char1"/>
    <w:link w:val="150"/>
    <w:autoRedefine/>
    <w:qFormat/>
    <w:uiPriority w:val="0"/>
    <w:rPr>
      <w:sz w:val="24"/>
      <w:szCs w:val="24"/>
      <w:lang w:bidi="he-IL"/>
    </w:rPr>
  </w:style>
  <w:style w:type="paragraph" w:customStyle="1" w:styleId="150">
    <w:name w:val="正文2"/>
    <w:link w:val="149"/>
    <w:autoRedefine/>
    <w:qFormat/>
    <w:uiPriority w:val="0"/>
    <w:rPr>
      <w:rFonts w:asciiTheme="minorHAnsi" w:hAnsiTheme="minorHAnsi" w:eastAsiaTheme="minorEastAsia" w:cstheme="minorBidi"/>
      <w:kern w:val="2"/>
      <w:sz w:val="24"/>
      <w:szCs w:val="24"/>
      <w:lang w:val="en-US" w:eastAsia="zh-CN" w:bidi="he-IL"/>
    </w:rPr>
  </w:style>
  <w:style w:type="character" w:customStyle="1" w:styleId="151">
    <w:name w:val="我的正文 Char"/>
    <w:autoRedefine/>
    <w:qFormat/>
    <w:uiPriority w:val="0"/>
    <w:rPr>
      <w:kern w:val="2"/>
      <w:sz w:val="24"/>
      <w:szCs w:val="24"/>
      <w:lang w:val="en-US" w:eastAsia="zh-CN" w:bidi="ar-SA"/>
    </w:rPr>
  </w:style>
  <w:style w:type="character" w:customStyle="1" w:styleId="152">
    <w:name w:val="表格 Char2"/>
    <w:link w:val="153"/>
    <w:autoRedefine/>
    <w:qFormat/>
    <w:uiPriority w:val="0"/>
    <w:rPr>
      <w:rFonts w:eastAsia="宋体"/>
      <w:snapToGrid w:val="0"/>
      <w:szCs w:val="24"/>
    </w:rPr>
  </w:style>
  <w:style w:type="paragraph" w:customStyle="1" w:styleId="153">
    <w:name w:val="表格"/>
    <w:basedOn w:val="1"/>
    <w:next w:val="1"/>
    <w:link w:val="152"/>
    <w:autoRedefine/>
    <w:qFormat/>
    <w:uiPriority w:val="0"/>
    <w:pPr>
      <w:adjustRightInd w:val="0"/>
      <w:snapToGrid w:val="0"/>
      <w:jc w:val="center"/>
    </w:pPr>
    <w:rPr>
      <w:rFonts w:asciiTheme="minorHAnsi" w:hAnsiTheme="minorHAnsi" w:cstheme="minorBidi"/>
      <w:snapToGrid w:val="0"/>
      <w:sz w:val="21"/>
    </w:rPr>
  </w:style>
  <w:style w:type="character" w:customStyle="1" w:styleId="154">
    <w:name w:val="btn8"/>
    <w:autoRedefine/>
    <w:qFormat/>
    <w:uiPriority w:val="0"/>
  </w:style>
  <w:style w:type="character" w:customStyle="1" w:styleId="155">
    <w:name w:val="标题 3 Char1"/>
    <w:autoRedefine/>
    <w:qFormat/>
    <w:uiPriority w:val="0"/>
    <w:rPr>
      <w:rFonts w:eastAsia="宋体"/>
      <w:b/>
      <w:bCs/>
      <w:kern w:val="2"/>
      <w:sz w:val="32"/>
      <w:szCs w:val="32"/>
      <w:lang w:val="en-US" w:eastAsia="zh-CN" w:bidi="ar-SA"/>
    </w:rPr>
  </w:style>
  <w:style w:type="character" w:customStyle="1" w:styleId="156">
    <w:name w:val="正文（小四） Char"/>
    <w:link w:val="157"/>
    <w:autoRedefine/>
    <w:qFormat/>
    <w:uiPriority w:val="0"/>
    <w:rPr>
      <w:bCs/>
      <w:color w:val="000000"/>
      <w:sz w:val="24"/>
      <w:szCs w:val="32"/>
    </w:rPr>
  </w:style>
  <w:style w:type="paragraph" w:customStyle="1" w:styleId="157">
    <w:name w:val="正文（小四）"/>
    <w:link w:val="156"/>
    <w:autoRedefine/>
    <w:qFormat/>
    <w:uiPriority w:val="0"/>
    <w:pPr>
      <w:spacing w:line="360" w:lineRule="auto"/>
      <w:ind w:firstLine="200" w:firstLineChars="200"/>
      <w:jc w:val="both"/>
    </w:pPr>
    <w:rPr>
      <w:rFonts w:asciiTheme="minorHAnsi" w:hAnsiTheme="minorHAnsi" w:eastAsiaTheme="minorEastAsia" w:cstheme="minorBidi"/>
      <w:bCs/>
      <w:color w:val="000000"/>
      <w:kern w:val="2"/>
      <w:sz w:val="24"/>
      <w:szCs w:val="32"/>
      <w:lang w:val="en-US" w:eastAsia="zh-CN" w:bidi="ar-SA"/>
    </w:rPr>
  </w:style>
  <w:style w:type="character" w:customStyle="1" w:styleId="158">
    <w:name w:val="审批登记表 Char"/>
    <w:link w:val="159"/>
    <w:autoRedefine/>
    <w:qFormat/>
    <w:uiPriority w:val="0"/>
    <w:rPr>
      <w:rFonts w:ascii="宋体" w:hAnsi="宋体" w:eastAsia="宋体" w:cs="宋体"/>
      <w:sz w:val="18"/>
    </w:rPr>
  </w:style>
  <w:style w:type="paragraph" w:customStyle="1" w:styleId="159">
    <w:name w:val="审批登记表"/>
    <w:basedOn w:val="1"/>
    <w:link w:val="158"/>
    <w:autoRedefine/>
    <w:qFormat/>
    <w:uiPriority w:val="0"/>
    <w:pPr>
      <w:spacing w:line="240" w:lineRule="exact"/>
      <w:jc w:val="center"/>
    </w:pPr>
    <w:rPr>
      <w:rFonts w:ascii="宋体" w:hAnsi="宋体" w:cs="宋体"/>
      <w:sz w:val="18"/>
      <w:szCs w:val="22"/>
    </w:rPr>
  </w:style>
  <w:style w:type="character" w:customStyle="1" w:styleId="160">
    <w:name w:val="正文四号ss Char Char"/>
    <w:link w:val="161"/>
    <w:autoRedefine/>
    <w:qFormat/>
    <w:locked/>
    <w:uiPriority w:val="0"/>
    <w:rPr>
      <w:rFonts w:ascii="宋体" w:hAnsi="宋体"/>
      <w:sz w:val="28"/>
      <w:szCs w:val="28"/>
    </w:rPr>
  </w:style>
  <w:style w:type="paragraph" w:customStyle="1" w:styleId="161">
    <w:name w:val="正文四号ss"/>
    <w:basedOn w:val="1"/>
    <w:next w:val="1"/>
    <w:link w:val="160"/>
    <w:autoRedefine/>
    <w:qFormat/>
    <w:uiPriority w:val="0"/>
    <w:pPr>
      <w:spacing w:line="500" w:lineRule="exact"/>
      <w:ind w:firstLine="200" w:firstLineChars="200"/>
    </w:pPr>
    <w:rPr>
      <w:rFonts w:ascii="宋体" w:hAnsi="宋体" w:eastAsiaTheme="minorEastAsia" w:cstheme="minorBidi"/>
      <w:sz w:val="28"/>
      <w:szCs w:val="28"/>
    </w:rPr>
  </w:style>
  <w:style w:type="character" w:customStyle="1" w:styleId="162">
    <w:name w:val="标题 Char1"/>
    <w:autoRedefine/>
    <w:qFormat/>
    <w:uiPriority w:val="10"/>
    <w:rPr>
      <w:rFonts w:ascii="Cambria" w:hAnsi="Cambria" w:cs="Times New Roman"/>
      <w:b/>
      <w:bCs/>
      <w:kern w:val="2"/>
      <w:sz w:val="32"/>
      <w:szCs w:val="32"/>
    </w:rPr>
  </w:style>
  <w:style w:type="character" w:customStyle="1" w:styleId="163">
    <w:name w:val="纯文本 Char1"/>
    <w:autoRedefine/>
    <w:qFormat/>
    <w:uiPriority w:val="0"/>
    <w:rPr>
      <w:rFonts w:ascii="宋体" w:hAnsi="Courier New" w:cs="Courier New"/>
      <w:kern w:val="2"/>
      <w:sz w:val="21"/>
      <w:szCs w:val="21"/>
    </w:rPr>
  </w:style>
  <w:style w:type="character" w:customStyle="1" w:styleId="164">
    <w:name w:val="a表格 Char"/>
    <w:link w:val="165"/>
    <w:autoRedefine/>
    <w:qFormat/>
    <w:uiPriority w:val="0"/>
    <w:rPr>
      <w:szCs w:val="24"/>
    </w:rPr>
  </w:style>
  <w:style w:type="paragraph" w:customStyle="1" w:styleId="165">
    <w:name w:val="a表格"/>
    <w:link w:val="164"/>
    <w:autoRedefine/>
    <w:qFormat/>
    <w:uiPriority w:val="0"/>
    <w:pPr>
      <w:snapToGrid w:val="0"/>
      <w:jc w:val="center"/>
    </w:pPr>
    <w:rPr>
      <w:rFonts w:asciiTheme="minorHAnsi" w:hAnsiTheme="minorHAnsi" w:eastAsiaTheme="minorEastAsia" w:cstheme="minorBidi"/>
      <w:kern w:val="2"/>
      <w:sz w:val="21"/>
      <w:szCs w:val="24"/>
      <w:lang w:val="en-US" w:eastAsia="zh-CN" w:bidi="ar-SA"/>
    </w:rPr>
  </w:style>
  <w:style w:type="character" w:customStyle="1" w:styleId="166">
    <w:name w:val="尤溪防洪工程环评 Char"/>
    <w:link w:val="167"/>
    <w:autoRedefine/>
    <w:qFormat/>
    <w:uiPriority w:val="0"/>
    <w:rPr>
      <w:sz w:val="24"/>
      <w:szCs w:val="24"/>
    </w:rPr>
  </w:style>
  <w:style w:type="paragraph" w:customStyle="1" w:styleId="167">
    <w:name w:val="尤溪防洪工程环评"/>
    <w:next w:val="1"/>
    <w:link w:val="166"/>
    <w:autoRedefine/>
    <w:qFormat/>
    <w:uiPriority w:val="0"/>
    <w:pPr>
      <w:widowControl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character" w:customStyle="1" w:styleId="168">
    <w:name w:val="表格文字 Char Char"/>
    <w:autoRedefine/>
    <w:qFormat/>
    <w:uiPriority w:val="0"/>
    <w:rPr>
      <w:kern w:val="2"/>
      <w:sz w:val="21"/>
    </w:rPr>
  </w:style>
  <w:style w:type="character" w:customStyle="1" w:styleId="169">
    <w:name w:val="南联小四体斜体 Char"/>
    <w:link w:val="170"/>
    <w:autoRedefine/>
    <w:qFormat/>
    <w:uiPriority w:val="0"/>
    <w:rPr>
      <w:i/>
      <w:color w:val="FF00FF"/>
      <w:sz w:val="24"/>
      <w:szCs w:val="30"/>
    </w:rPr>
  </w:style>
  <w:style w:type="paragraph" w:customStyle="1" w:styleId="170">
    <w:name w:val="南联小四体斜体"/>
    <w:basedOn w:val="171"/>
    <w:link w:val="169"/>
    <w:autoRedefine/>
    <w:qFormat/>
    <w:uiPriority w:val="0"/>
    <w:rPr>
      <w:rFonts w:asciiTheme="minorHAnsi" w:hAnsiTheme="minorHAnsi" w:eastAsiaTheme="minorEastAsia" w:cstheme="minorBidi"/>
      <w:i/>
      <w:kern w:val="2"/>
    </w:rPr>
  </w:style>
  <w:style w:type="paragraph" w:customStyle="1" w:styleId="171">
    <w:name w:val="南联小四宋体"/>
    <w:link w:val="172"/>
    <w:autoRedefine/>
    <w:qFormat/>
    <w:uiPriority w:val="0"/>
    <w:pPr>
      <w:widowControl w:val="0"/>
      <w:spacing w:line="360" w:lineRule="auto"/>
      <w:ind w:firstLine="480" w:firstLineChars="200"/>
      <w:jc w:val="both"/>
    </w:pPr>
    <w:rPr>
      <w:rFonts w:ascii="Times New Roman" w:hAnsi="Times New Roman" w:eastAsia="宋体" w:cs="Times New Roman"/>
      <w:color w:val="FF00FF"/>
      <w:sz w:val="24"/>
      <w:szCs w:val="30"/>
      <w:lang w:val="en-US" w:eastAsia="zh-CN" w:bidi="ar-SA"/>
    </w:rPr>
  </w:style>
  <w:style w:type="character" w:customStyle="1" w:styleId="172">
    <w:name w:val="南联小四宋体 Char"/>
    <w:link w:val="171"/>
    <w:autoRedefine/>
    <w:qFormat/>
    <w:uiPriority w:val="0"/>
    <w:rPr>
      <w:rFonts w:ascii="Times New Roman" w:hAnsi="Times New Roman" w:eastAsia="宋体" w:cs="Times New Roman"/>
      <w:color w:val="FF00FF"/>
      <w:kern w:val="0"/>
      <w:sz w:val="24"/>
      <w:szCs w:val="30"/>
    </w:rPr>
  </w:style>
  <w:style w:type="character" w:customStyle="1" w:styleId="173">
    <w:name w:val="表格内文字（倾斜） Char"/>
    <w:link w:val="174"/>
    <w:autoRedefine/>
    <w:qFormat/>
    <w:uiPriority w:val="0"/>
    <w:rPr>
      <w:rFonts w:cs="宋体"/>
      <w:i/>
      <w:color w:val="000000"/>
      <w:szCs w:val="24"/>
    </w:rPr>
  </w:style>
  <w:style w:type="paragraph" w:customStyle="1" w:styleId="174">
    <w:name w:val="表格内文字（倾斜）"/>
    <w:basedOn w:val="1"/>
    <w:link w:val="173"/>
    <w:autoRedefine/>
    <w:qFormat/>
    <w:uiPriority w:val="0"/>
    <w:pPr>
      <w:tabs>
        <w:tab w:val="left" w:pos="1980"/>
        <w:tab w:val="left" w:pos="3825"/>
        <w:tab w:val="left" w:pos="4680"/>
      </w:tabs>
      <w:jc w:val="center"/>
    </w:pPr>
    <w:rPr>
      <w:rFonts w:cs="宋体" w:asciiTheme="minorHAnsi" w:hAnsiTheme="minorHAnsi" w:eastAsiaTheme="minorEastAsia"/>
      <w:i/>
      <w:color w:val="000000"/>
      <w:sz w:val="21"/>
    </w:rPr>
  </w:style>
  <w:style w:type="character" w:customStyle="1" w:styleId="175">
    <w:name w:val="sp2"/>
    <w:autoRedefine/>
    <w:qFormat/>
    <w:uiPriority w:val="0"/>
  </w:style>
  <w:style w:type="character" w:customStyle="1" w:styleId="176">
    <w:name w:val="表、图名 Char Char"/>
    <w:link w:val="177"/>
    <w:autoRedefine/>
    <w:qFormat/>
    <w:uiPriority w:val="0"/>
    <w:rPr>
      <w:rFonts w:eastAsia="Times New Roman"/>
      <w:b/>
      <w:szCs w:val="24"/>
    </w:rPr>
  </w:style>
  <w:style w:type="paragraph" w:customStyle="1" w:styleId="177">
    <w:name w:val="表、图名"/>
    <w:link w:val="176"/>
    <w:autoRedefine/>
    <w:qFormat/>
    <w:uiPriority w:val="0"/>
    <w:pPr>
      <w:spacing w:before="120" w:line="360" w:lineRule="auto"/>
      <w:jc w:val="center"/>
    </w:pPr>
    <w:rPr>
      <w:rFonts w:eastAsia="Times New Roman" w:asciiTheme="minorHAnsi" w:hAnsiTheme="minorHAnsi" w:cstheme="minorBidi"/>
      <w:b/>
      <w:kern w:val="2"/>
      <w:sz w:val="21"/>
      <w:szCs w:val="24"/>
      <w:lang w:val="en-US" w:eastAsia="zh-CN" w:bidi="ar-SA"/>
    </w:rPr>
  </w:style>
  <w:style w:type="character" w:customStyle="1" w:styleId="178">
    <w:name w:val="我的正文 Char Char"/>
    <w:link w:val="179"/>
    <w:autoRedefine/>
    <w:qFormat/>
    <w:uiPriority w:val="0"/>
    <w:rPr>
      <w:rFonts w:eastAsia="Times New Roman"/>
      <w:sz w:val="24"/>
      <w:szCs w:val="24"/>
    </w:rPr>
  </w:style>
  <w:style w:type="paragraph" w:customStyle="1" w:styleId="179">
    <w:name w:val="我的正文"/>
    <w:link w:val="178"/>
    <w:autoRedefine/>
    <w:qFormat/>
    <w:uiPriority w:val="0"/>
    <w:pPr>
      <w:spacing w:line="360" w:lineRule="auto"/>
      <w:ind w:firstLine="200" w:firstLineChars="200"/>
      <w:jc w:val="both"/>
    </w:pPr>
    <w:rPr>
      <w:rFonts w:eastAsia="Times New Roman" w:asciiTheme="minorHAnsi" w:hAnsiTheme="minorHAnsi" w:cstheme="minorBidi"/>
      <w:kern w:val="2"/>
      <w:sz w:val="24"/>
      <w:szCs w:val="24"/>
      <w:lang w:val="en-US" w:eastAsia="zh-CN" w:bidi="ar-SA"/>
    </w:rPr>
  </w:style>
  <w:style w:type="character" w:customStyle="1" w:styleId="180">
    <w:name w:val="报告正文 Char"/>
    <w:link w:val="181"/>
    <w:autoRedefine/>
    <w:qFormat/>
    <w:uiPriority w:val="0"/>
    <w:rPr>
      <w:sz w:val="24"/>
    </w:rPr>
  </w:style>
  <w:style w:type="paragraph" w:customStyle="1" w:styleId="181">
    <w:name w:val="报告正文"/>
    <w:basedOn w:val="1"/>
    <w:link w:val="180"/>
    <w:autoRedefine/>
    <w:qFormat/>
    <w:uiPriority w:val="0"/>
    <w:pPr>
      <w:spacing w:line="360" w:lineRule="auto"/>
      <w:ind w:firstLine="200" w:firstLineChars="200"/>
    </w:pPr>
    <w:rPr>
      <w:rFonts w:asciiTheme="minorHAnsi" w:hAnsiTheme="minorHAnsi" w:eastAsiaTheme="minorEastAsia" w:cstheme="minorBidi"/>
      <w:szCs w:val="22"/>
    </w:rPr>
  </w:style>
  <w:style w:type="character" w:customStyle="1" w:styleId="182">
    <w:name w:val="表头啊 Char"/>
    <w:link w:val="183"/>
    <w:autoRedefine/>
    <w:qFormat/>
    <w:uiPriority w:val="0"/>
    <w:rPr>
      <w:b/>
      <w:sz w:val="24"/>
      <w:szCs w:val="24"/>
      <w:lang w:bidi="he-IL"/>
    </w:rPr>
  </w:style>
  <w:style w:type="paragraph" w:customStyle="1" w:styleId="183">
    <w:name w:val="表头啊"/>
    <w:basedOn w:val="1"/>
    <w:link w:val="182"/>
    <w:autoRedefine/>
    <w:qFormat/>
    <w:uiPriority w:val="0"/>
    <w:pPr>
      <w:spacing w:afterLines="50" w:line="440" w:lineRule="exact"/>
      <w:jc w:val="center"/>
    </w:pPr>
    <w:rPr>
      <w:rFonts w:asciiTheme="minorHAnsi" w:hAnsiTheme="minorHAnsi" w:eastAsiaTheme="minorEastAsia" w:cstheme="minorBidi"/>
      <w:b/>
      <w:lang w:bidi="he-IL"/>
    </w:rPr>
  </w:style>
  <w:style w:type="character" w:customStyle="1" w:styleId="184">
    <w:name w:val="style31"/>
    <w:autoRedefine/>
    <w:qFormat/>
    <w:uiPriority w:val="0"/>
    <w:rPr>
      <w:b/>
      <w:bCs/>
      <w:color w:val="1B7BC7"/>
      <w:sz w:val="24"/>
      <w:szCs w:val="24"/>
    </w:rPr>
  </w:style>
  <w:style w:type="character" w:customStyle="1" w:styleId="185">
    <w:name w:val="正文文本缩进字符"/>
    <w:autoRedefine/>
    <w:qFormat/>
    <w:uiPriority w:val="0"/>
    <w:rPr>
      <w:kern w:val="2"/>
      <w:sz w:val="24"/>
      <w:szCs w:val="24"/>
    </w:rPr>
  </w:style>
  <w:style w:type="character" w:customStyle="1" w:styleId="186">
    <w:name w:val="def"/>
    <w:autoRedefine/>
    <w:qFormat/>
    <w:uiPriority w:val="0"/>
  </w:style>
  <w:style w:type="character" w:customStyle="1" w:styleId="187">
    <w:name w:val="页眉 Char1"/>
    <w:autoRedefine/>
    <w:semiHidden/>
    <w:qFormat/>
    <w:uiPriority w:val="99"/>
    <w:rPr>
      <w:kern w:val="2"/>
      <w:sz w:val="18"/>
      <w:szCs w:val="18"/>
    </w:rPr>
  </w:style>
  <w:style w:type="character" w:customStyle="1" w:styleId="188">
    <w:name w:val="表格内容 Char Char"/>
    <w:link w:val="189"/>
    <w:autoRedefine/>
    <w:qFormat/>
    <w:uiPriority w:val="0"/>
    <w:rPr>
      <w:rFonts w:cs="宋体"/>
      <w:iCs/>
      <w:szCs w:val="21"/>
    </w:rPr>
  </w:style>
  <w:style w:type="paragraph" w:customStyle="1" w:styleId="189">
    <w:name w:val="表格内容"/>
    <w:basedOn w:val="1"/>
    <w:next w:val="20"/>
    <w:link w:val="188"/>
    <w:autoRedefine/>
    <w:qFormat/>
    <w:uiPriority w:val="0"/>
    <w:pPr>
      <w:spacing w:line="340" w:lineRule="exact"/>
      <w:jc w:val="center"/>
    </w:pPr>
    <w:rPr>
      <w:rFonts w:cs="宋体" w:asciiTheme="minorHAnsi" w:hAnsiTheme="minorHAnsi" w:eastAsiaTheme="minorEastAsia"/>
      <w:iCs/>
      <w:sz w:val="21"/>
      <w:szCs w:val="21"/>
    </w:rPr>
  </w:style>
  <w:style w:type="character" w:customStyle="1" w:styleId="190">
    <w:name w:val="表格文字 Char"/>
    <w:link w:val="191"/>
    <w:autoRedefine/>
    <w:qFormat/>
    <w:uiPriority w:val="0"/>
    <w:rPr>
      <w:position w:val="-10"/>
      <w:szCs w:val="24"/>
    </w:rPr>
  </w:style>
  <w:style w:type="paragraph" w:customStyle="1" w:styleId="191">
    <w:name w:val="表格文字"/>
    <w:basedOn w:val="1"/>
    <w:link w:val="190"/>
    <w:autoRedefine/>
    <w:qFormat/>
    <w:uiPriority w:val="0"/>
    <w:pPr>
      <w:tabs>
        <w:tab w:val="left" w:pos="-2848"/>
      </w:tabs>
      <w:spacing w:line="264" w:lineRule="auto"/>
      <w:jc w:val="center"/>
    </w:pPr>
    <w:rPr>
      <w:rFonts w:asciiTheme="minorHAnsi" w:hAnsiTheme="minorHAnsi" w:eastAsiaTheme="minorEastAsia" w:cstheme="minorBidi"/>
      <w:position w:val="-10"/>
      <w:sz w:val="21"/>
    </w:rPr>
  </w:style>
  <w:style w:type="character" w:customStyle="1" w:styleId="192">
    <w:name w:val="0正文 Char Char"/>
    <w:link w:val="193"/>
    <w:autoRedefine/>
    <w:qFormat/>
    <w:uiPriority w:val="0"/>
    <w:rPr>
      <w:sz w:val="24"/>
      <w:szCs w:val="24"/>
    </w:rPr>
  </w:style>
  <w:style w:type="paragraph" w:customStyle="1" w:styleId="193">
    <w:name w:val="0正文"/>
    <w:basedOn w:val="1"/>
    <w:link w:val="192"/>
    <w:autoRedefine/>
    <w:qFormat/>
    <w:uiPriority w:val="0"/>
    <w:pPr>
      <w:spacing w:line="360" w:lineRule="auto"/>
      <w:ind w:firstLine="200" w:firstLineChars="200"/>
    </w:pPr>
    <w:rPr>
      <w:rFonts w:asciiTheme="minorHAnsi" w:hAnsiTheme="minorHAnsi" w:eastAsiaTheme="minorEastAsia" w:cstheme="minorBidi"/>
    </w:rPr>
  </w:style>
  <w:style w:type="character" w:customStyle="1" w:styleId="194">
    <w:name w:val="HTML 预设格式 Char1"/>
    <w:autoRedefine/>
    <w:semiHidden/>
    <w:qFormat/>
    <w:uiPriority w:val="99"/>
    <w:rPr>
      <w:rFonts w:ascii="Courier New" w:hAnsi="Courier New" w:cs="Courier New"/>
      <w:kern w:val="2"/>
    </w:rPr>
  </w:style>
  <w:style w:type="character" w:customStyle="1" w:styleId="195">
    <w:name w:val="文本2 Char"/>
    <w:link w:val="196"/>
    <w:autoRedefine/>
    <w:qFormat/>
    <w:uiPriority w:val="0"/>
    <w:rPr>
      <w:sz w:val="24"/>
      <w:szCs w:val="28"/>
    </w:rPr>
  </w:style>
  <w:style w:type="paragraph" w:customStyle="1" w:styleId="196">
    <w:name w:val="文本2"/>
    <w:basedOn w:val="1"/>
    <w:link w:val="195"/>
    <w:autoRedefine/>
    <w:qFormat/>
    <w:uiPriority w:val="0"/>
    <w:pPr>
      <w:spacing w:line="360" w:lineRule="auto"/>
      <w:ind w:firstLine="200" w:firstLineChars="200"/>
    </w:pPr>
    <w:rPr>
      <w:rFonts w:asciiTheme="minorHAnsi" w:hAnsiTheme="minorHAnsi" w:eastAsiaTheme="minorEastAsia" w:cstheme="minorBidi"/>
      <w:szCs w:val="28"/>
    </w:rPr>
  </w:style>
  <w:style w:type="character" w:customStyle="1" w:styleId="197">
    <w:name w:val="表格名称 Char Char"/>
    <w:link w:val="198"/>
    <w:autoRedefine/>
    <w:qFormat/>
    <w:uiPriority w:val="0"/>
    <w:rPr>
      <w:rFonts w:eastAsia="宋体"/>
      <w:b/>
      <w:sz w:val="24"/>
      <w:szCs w:val="21"/>
    </w:rPr>
  </w:style>
  <w:style w:type="paragraph" w:customStyle="1" w:styleId="198">
    <w:name w:val="表格名称"/>
    <w:basedOn w:val="1"/>
    <w:next w:val="1"/>
    <w:link w:val="197"/>
    <w:autoRedefine/>
    <w:qFormat/>
    <w:uiPriority w:val="0"/>
    <w:pPr>
      <w:spacing w:line="360" w:lineRule="auto"/>
      <w:jc w:val="center"/>
    </w:pPr>
    <w:rPr>
      <w:rFonts w:asciiTheme="minorHAnsi" w:hAnsiTheme="minorHAnsi" w:cstheme="minorBidi"/>
      <w:b/>
      <w:szCs w:val="21"/>
    </w:rPr>
  </w:style>
  <w:style w:type="paragraph" w:customStyle="1" w:styleId="199">
    <w:name w:val="表格内文字"/>
    <w:basedOn w:val="198"/>
    <w:next w:val="1"/>
    <w:link w:val="200"/>
    <w:autoRedefine/>
    <w:qFormat/>
    <w:uiPriority w:val="0"/>
    <w:pPr>
      <w:adjustRightInd w:val="0"/>
      <w:snapToGrid w:val="0"/>
    </w:pPr>
    <w:rPr>
      <w:snapToGrid w:val="0"/>
      <w:sz w:val="21"/>
    </w:rPr>
  </w:style>
  <w:style w:type="character" w:customStyle="1" w:styleId="200">
    <w:name w:val="表格内文字 Char"/>
    <w:link w:val="199"/>
    <w:autoRedefine/>
    <w:qFormat/>
    <w:uiPriority w:val="0"/>
    <w:rPr>
      <w:rFonts w:eastAsia="宋体"/>
      <w:b/>
      <w:snapToGrid w:val="0"/>
      <w:szCs w:val="21"/>
    </w:rPr>
  </w:style>
  <w:style w:type="character" w:customStyle="1" w:styleId="201">
    <w:name w:val="apple-converted-space"/>
    <w:autoRedefine/>
    <w:qFormat/>
    <w:uiPriority w:val="0"/>
  </w:style>
  <w:style w:type="character" w:customStyle="1" w:styleId="202">
    <w:name w:val="表格名称 Char"/>
    <w:autoRedefine/>
    <w:qFormat/>
    <w:uiPriority w:val="0"/>
    <w:rPr>
      <w:rFonts w:eastAsia="宋体"/>
      <w:b/>
      <w:sz w:val="21"/>
      <w:szCs w:val="24"/>
      <w:lang w:val="en-US" w:eastAsia="zh-CN" w:bidi="ar-SA"/>
    </w:rPr>
  </w:style>
  <w:style w:type="character" w:customStyle="1" w:styleId="203">
    <w:name w:val="sp21"/>
    <w:autoRedefine/>
    <w:qFormat/>
    <w:uiPriority w:val="0"/>
  </w:style>
  <w:style w:type="character" w:customStyle="1" w:styleId="204">
    <w:name w:val="图中字 Char"/>
    <w:link w:val="205"/>
    <w:autoRedefine/>
    <w:qFormat/>
    <w:uiPriority w:val="0"/>
    <w:rPr>
      <w:szCs w:val="24"/>
      <w:lang w:eastAsia="en-US" w:bidi="en-US"/>
    </w:rPr>
  </w:style>
  <w:style w:type="paragraph" w:customStyle="1" w:styleId="205">
    <w:name w:val="图中字"/>
    <w:basedOn w:val="1"/>
    <w:link w:val="204"/>
    <w:autoRedefine/>
    <w:qFormat/>
    <w:uiPriority w:val="0"/>
    <w:pPr>
      <w:widowControl/>
      <w:jc w:val="center"/>
    </w:pPr>
    <w:rPr>
      <w:rFonts w:asciiTheme="minorHAnsi" w:hAnsiTheme="minorHAnsi" w:eastAsiaTheme="minorEastAsia" w:cstheme="minorBidi"/>
      <w:sz w:val="21"/>
      <w:lang w:eastAsia="en-US" w:bidi="en-US"/>
    </w:rPr>
  </w:style>
  <w:style w:type="character" w:customStyle="1" w:styleId="206">
    <w:name w:val="正文(首行缩进) Char"/>
    <w:link w:val="60"/>
    <w:autoRedefine/>
    <w:qFormat/>
    <w:uiPriority w:val="0"/>
    <w:rPr>
      <w:rFonts w:ascii="宋体" w:hAnsi="宋体"/>
      <w:color w:val="000000"/>
      <w:kern w:val="24"/>
      <w:sz w:val="24"/>
    </w:rPr>
  </w:style>
  <w:style w:type="character" w:customStyle="1" w:styleId="207">
    <w:name w:val="正文啊 Char"/>
    <w:link w:val="208"/>
    <w:autoRedefine/>
    <w:qFormat/>
    <w:uiPriority w:val="0"/>
    <w:rPr>
      <w:color w:val="000000"/>
      <w:sz w:val="24"/>
      <w:szCs w:val="24"/>
    </w:rPr>
  </w:style>
  <w:style w:type="paragraph" w:customStyle="1" w:styleId="208">
    <w:name w:val="正文啊"/>
    <w:basedOn w:val="1"/>
    <w:link w:val="207"/>
    <w:autoRedefine/>
    <w:qFormat/>
    <w:uiPriority w:val="0"/>
    <w:pPr>
      <w:adjustRightInd w:val="0"/>
      <w:snapToGrid w:val="0"/>
      <w:spacing w:line="360" w:lineRule="auto"/>
      <w:ind w:firstLine="480" w:firstLineChars="200"/>
    </w:pPr>
    <w:rPr>
      <w:rFonts w:asciiTheme="minorHAnsi" w:hAnsiTheme="minorHAnsi" w:eastAsiaTheme="minorEastAsia" w:cstheme="minorBidi"/>
      <w:color w:val="000000"/>
    </w:rPr>
  </w:style>
  <w:style w:type="character" w:customStyle="1" w:styleId="209">
    <w:name w:val="6表(图)头(治) Char"/>
    <w:link w:val="210"/>
    <w:autoRedefine/>
    <w:qFormat/>
    <w:uiPriority w:val="0"/>
    <w:rPr>
      <w:rFonts w:eastAsia="黑体"/>
      <w:b/>
      <w:bCs/>
      <w:sz w:val="28"/>
    </w:rPr>
  </w:style>
  <w:style w:type="paragraph" w:customStyle="1" w:styleId="210">
    <w:name w:val="6表(图)头(治)"/>
    <w:next w:val="1"/>
    <w:link w:val="209"/>
    <w:autoRedefine/>
    <w:qFormat/>
    <w:uiPriority w:val="0"/>
    <w:pPr>
      <w:widowControl w:val="0"/>
      <w:jc w:val="center"/>
    </w:pPr>
    <w:rPr>
      <w:rFonts w:eastAsia="黑体" w:asciiTheme="minorHAnsi" w:hAnsiTheme="minorHAnsi" w:cstheme="minorBidi"/>
      <w:b/>
      <w:bCs/>
      <w:kern w:val="2"/>
      <w:sz w:val="28"/>
      <w:szCs w:val="22"/>
      <w:lang w:val="en-US" w:eastAsia="zh-CN" w:bidi="ar-SA"/>
    </w:rPr>
  </w:style>
  <w:style w:type="character" w:customStyle="1" w:styleId="211">
    <w:name w:val="段落1 Char Char1"/>
    <w:link w:val="212"/>
    <w:autoRedefine/>
    <w:qFormat/>
    <w:uiPriority w:val="0"/>
    <w:rPr>
      <w:rFonts w:eastAsia="宋体"/>
      <w:spacing w:val="8"/>
      <w:sz w:val="24"/>
    </w:rPr>
  </w:style>
  <w:style w:type="paragraph" w:customStyle="1" w:styleId="212">
    <w:name w:val="段落1 Char"/>
    <w:basedOn w:val="1"/>
    <w:link w:val="211"/>
    <w:autoRedefine/>
    <w:qFormat/>
    <w:uiPriority w:val="0"/>
    <w:pPr>
      <w:adjustRightInd w:val="0"/>
      <w:spacing w:line="440" w:lineRule="exact"/>
      <w:ind w:firstLine="480" w:firstLineChars="200"/>
    </w:pPr>
    <w:rPr>
      <w:rFonts w:asciiTheme="minorHAnsi" w:hAnsiTheme="minorHAnsi" w:cstheme="minorBidi"/>
      <w:spacing w:val="8"/>
      <w:szCs w:val="22"/>
    </w:rPr>
  </w:style>
  <w:style w:type="character" w:customStyle="1" w:styleId="213">
    <w:name w:val="font71"/>
    <w:autoRedefine/>
    <w:qFormat/>
    <w:uiPriority w:val="0"/>
    <w:rPr>
      <w:rFonts w:hint="eastAsia" w:ascii="宋体" w:hAnsi="宋体" w:eastAsia="宋体" w:cs="宋体"/>
      <w:color w:val="auto"/>
      <w:sz w:val="22"/>
      <w:szCs w:val="22"/>
    </w:rPr>
  </w:style>
  <w:style w:type="character" w:customStyle="1" w:styleId="214">
    <w:name w:val="表格文字nana Char Char"/>
    <w:link w:val="215"/>
    <w:autoRedefine/>
    <w:qFormat/>
    <w:uiPriority w:val="0"/>
    <w:rPr>
      <w:rFonts w:ascii="宋体" w:hAnsi="宋体" w:eastAsia="仿宋_GB2312" w:cs="宋体"/>
      <w:snapToGrid w:val="0"/>
      <w:color w:val="000000"/>
      <w:szCs w:val="21"/>
      <w:lang w:bidi="en-US"/>
    </w:rPr>
  </w:style>
  <w:style w:type="paragraph" w:customStyle="1" w:styleId="215">
    <w:name w:val="表格文字nana"/>
    <w:basedOn w:val="1"/>
    <w:link w:val="214"/>
    <w:autoRedefine/>
    <w:qFormat/>
    <w:uiPriority w:val="0"/>
    <w:pPr>
      <w:widowControl/>
      <w:spacing w:line="300" w:lineRule="auto"/>
      <w:jc w:val="center"/>
    </w:pPr>
    <w:rPr>
      <w:rFonts w:ascii="宋体" w:hAnsi="宋体" w:eastAsia="仿宋_GB2312" w:cs="宋体"/>
      <w:snapToGrid w:val="0"/>
      <w:color w:val="000000"/>
      <w:sz w:val="21"/>
      <w:szCs w:val="21"/>
      <w:lang w:bidi="en-US"/>
    </w:rPr>
  </w:style>
  <w:style w:type="character" w:customStyle="1" w:styleId="216">
    <w:name w:val="普通文字 Char Char2"/>
    <w:autoRedefine/>
    <w:qFormat/>
    <w:uiPriority w:val="0"/>
    <w:rPr>
      <w:rFonts w:ascii="宋体" w:hAnsi="Courier New" w:eastAsia="宋体"/>
      <w:kern w:val="2"/>
      <w:sz w:val="21"/>
      <w:lang w:val="en-US" w:eastAsia="zh-CN" w:bidi="ar-SA"/>
    </w:rPr>
  </w:style>
  <w:style w:type="character" w:customStyle="1" w:styleId="217">
    <w:name w:val="表题 Char Char"/>
    <w:link w:val="218"/>
    <w:autoRedefine/>
    <w:qFormat/>
    <w:uiPriority w:val="0"/>
    <w:rPr>
      <w:rFonts w:eastAsia="宋体" w:cs="宋体"/>
      <w:b/>
      <w:sz w:val="24"/>
    </w:rPr>
  </w:style>
  <w:style w:type="paragraph" w:customStyle="1" w:styleId="218">
    <w:name w:val="表题"/>
    <w:basedOn w:val="1"/>
    <w:link w:val="217"/>
    <w:autoRedefine/>
    <w:qFormat/>
    <w:uiPriority w:val="0"/>
    <w:pPr>
      <w:spacing w:line="400" w:lineRule="exact"/>
      <w:jc w:val="center"/>
    </w:pPr>
    <w:rPr>
      <w:rFonts w:cs="宋体" w:asciiTheme="minorHAnsi" w:hAnsiTheme="minorHAnsi"/>
      <w:b/>
      <w:szCs w:val="22"/>
    </w:rPr>
  </w:style>
  <w:style w:type="character" w:customStyle="1" w:styleId="219">
    <w:name w:val="表格内文字 Char Char"/>
    <w:autoRedefine/>
    <w:qFormat/>
    <w:uiPriority w:val="0"/>
    <w:rPr>
      <w:rFonts w:hAnsi="宋体" w:eastAsia="宋体"/>
      <w:color w:val="000000"/>
      <w:sz w:val="21"/>
      <w:szCs w:val="21"/>
      <w:lang w:val="en-US" w:eastAsia="zh-CN" w:bidi="ar-SA"/>
    </w:rPr>
  </w:style>
  <w:style w:type="character" w:customStyle="1" w:styleId="220">
    <w:name w:val="参考文献 Char"/>
    <w:link w:val="221"/>
    <w:autoRedefine/>
    <w:qFormat/>
    <w:uiPriority w:val="0"/>
    <w:rPr>
      <w:rFonts w:cs="宋体"/>
      <w:bCs/>
      <w:vanish/>
      <w:szCs w:val="24"/>
    </w:rPr>
  </w:style>
  <w:style w:type="paragraph" w:customStyle="1" w:styleId="221">
    <w:name w:val="参考文献"/>
    <w:link w:val="220"/>
    <w:autoRedefine/>
    <w:qFormat/>
    <w:uiPriority w:val="0"/>
    <w:pPr>
      <w:tabs>
        <w:tab w:val="left" w:pos="550"/>
      </w:tabs>
      <w:spacing w:before="60" w:line="340" w:lineRule="exact"/>
      <w:jc w:val="both"/>
    </w:pPr>
    <w:rPr>
      <w:rFonts w:cs="宋体" w:asciiTheme="minorHAnsi" w:hAnsiTheme="minorHAnsi" w:eastAsiaTheme="minorEastAsia"/>
      <w:bCs/>
      <w:vanish/>
      <w:kern w:val="2"/>
      <w:sz w:val="21"/>
      <w:szCs w:val="24"/>
      <w:lang w:val="en-US" w:eastAsia="zh-CN" w:bidi="ar-SA"/>
    </w:rPr>
  </w:style>
  <w:style w:type="character" w:customStyle="1" w:styleId="222">
    <w:name w:val="l1"/>
    <w:autoRedefine/>
    <w:qFormat/>
    <w:uiPriority w:val="0"/>
  </w:style>
  <w:style w:type="character" w:customStyle="1" w:styleId="223">
    <w:name w:val="表格内容 Char"/>
    <w:autoRedefine/>
    <w:qFormat/>
    <w:uiPriority w:val="0"/>
    <w:rPr>
      <w:rFonts w:cs="Arial"/>
      <w:sz w:val="21"/>
      <w:szCs w:val="21"/>
      <w:lang w:val="en-US" w:eastAsia="zh-CN" w:bidi="he-IL"/>
    </w:rPr>
  </w:style>
  <w:style w:type="character" w:customStyle="1" w:styleId="224">
    <w:name w:val="表 Char"/>
    <w:link w:val="225"/>
    <w:autoRedefine/>
    <w:qFormat/>
    <w:uiPriority w:val="0"/>
    <w:rPr>
      <w:color w:val="000000"/>
      <w:szCs w:val="21"/>
    </w:rPr>
  </w:style>
  <w:style w:type="paragraph" w:customStyle="1" w:styleId="225">
    <w:name w:val="表"/>
    <w:basedOn w:val="1"/>
    <w:link w:val="224"/>
    <w:autoRedefine/>
    <w:qFormat/>
    <w:uiPriority w:val="0"/>
    <w:pPr>
      <w:autoSpaceDE w:val="0"/>
      <w:autoSpaceDN w:val="0"/>
      <w:snapToGrid w:val="0"/>
      <w:jc w:val="center"/>
      <w:outlineLvl w:val="2"/>
    </w:pPr>
    <w:rPr>
      <w:rFonts w:asciiTheme="minorHAnsi" w:hAnsiTheme="minorHAnsi" w:eastAsiaTheme="minorEastAsia" w:cstheme="minorBidi"/>
      <w:color w:val="000000"/>
      <w:sz w:val="21"/>
      <w:szCs w:val="21"/>
    </w:rPr>
  </w:style>
  <w:style w:type="character" w:customStyle="1" w:styleId="226">
    <w:name w:val="标题4啊啊啊啊 啊 Char"/>
    <w:link w:val="227"/>
    <w:autoRedefine/>
    <w:qFormat/>
    <w:uiPriority w:val="0"/>
    <w:rPr>
      <w:b/>
      <w:bCs/>
      <w:color w:val="000000"/>
      <w:sz w:val="24"/>
      <w:szCs w:val="28"/>
    </w:rPr>
  </w:style>
  <w:style w:type="paragraph" w:customStyle="1" w:styleId="227">
    <w:name w:val="标题4啊啊啊啊 啊"/>
    <w:basedOn w:val="1"/>
    <w:link w:val="226"/>
    <w:autoRedefine/>
    <w:qFormat/>
    <w:uiPriority w:val="0"/>
    <w:pPr>
      <w:keepNext/>
      <w:keepLines/>
      <w:widowControl/>
      <w:spacing w:line="360" w:lineRule="auto"/>
      <w:jc w:val="left"/>
      <w:outlineLvl w:val="3"/>
    </w:pPr>
    <w:rPr>
      <w:rFonts w:asciiTheme="minorHAnsi" w:hAnsiTheme="minorHAnsi" w:eastAsiaTheme="minorEastAsia" w:cstheme="minorBidi"/>
      <w:b/>
      <w:bCs/>
      <w:color w:val="000000"/>
      <w:szCs w:val="28"/>
    </w:rPr>
  </w:style>
  <w:style w:type="character" w:customStyle="1" w:styleId="228">
    <w:name w:val="正文（首行缩进两字） Char"/>
    <w:autoRedefine/>
    <w:qFormat/>
    <w:uiPriority w:val="0"/>
    <w:rPr>
      <w:rFonts w:eastAsia="宋体"/>
      <w:kern w:val="2"/>
      <w:sz w:val="21"/>
      <w:szCs w:val="24"/>
      <w:lang w:val="en-US" w:eastAsia="zh-CN" w:bidi="ar-SA"/>
    </w:rPr>
  </w:style>
  <w:style w:type="character" w:customStyle="1" w:styleId="229">
    <w:name w:val="纯文本 Char2"/>
    <w:autoRedefine/>
    <w:semiHidden/>
    <w:qFormat/>
    <w:uiPriority w:val="99"/>
    <w:rPr>
      <w:rFonts w:ascii="宋体" w:hAnsi="Courier New" w:cs="Courier New"/>
      <w:kern w:val="2"/>
      <w:sz w:val="21"/>
      <w:szCs w:val="21"/>
    </w:rPr>
  </w:style>
  <w:style w:type="character" w:customStyle="1" w:styleId="230">
    <w:name w:val="表名 Char"/>
    <w:link w:val="231"/>
    <w:autoRedefine/>
    <w:qFormat/>
    <w:uiPriority w:val="0"/>
    <w:rPr>
      <w:rFonts w:eastAsia="宋体" w:cs="宋体"/>
      <w:b/>
      <w:sz w:val="24"/>
      <w:szCs w:val="24"/>
    </w:rPr>
  </w:style>
  <w:style w:type="paragraph" w:customStyle="1" w:styleId="231">
    <w:name w:val="表名"/>
    <w:basedOn w:val="1"/>
    <w:link w:val="230"/>
    <w:autoRedefine/>
    <w:qFormat/>
    <w:uiPriority w:val="0"/>
    <w:pPr>
      <w:spacing w:line="360" w:lineRule="auto"/>
      <w:jc w:val="center"/>
    </w:pPr>
    <w:rPr>
      <w:rFonts w:cs="宋体" w:asciiTheme="minorHAnsi" w:hAnsiTheme="minorHAnsi"/>
      <w:b/>
    </w:rPr>
  </w:style>
  <w:style w:type="character" w:customStyle="1" w:styleId="232">
    <w:name w:val="批注框文本 Char1"/>
    <w:autoRedefine/>
    <w:semiHidden/>
    <w:qFormat/>
    <w:uiPriority w:val="99"/>
    <w:rPr>
      <w:kern w:val="2"/>
      <w:sz w:val="18"/>
      <w:szCs w:val="18"/>
    </w:rPr>
  </w:style>
  <w:style w:type="character" w:customStyle="1" w:styleId="233">
    <w:name w:val="表格内文字（两端对齐） Char"/>
    <w:autoRedefine/>
    <w:qFormat/>
    <w:uiPriority w:val="0"/>
    <w:rPr>
      <w:rFonts w:eastAsia="宋体" w:cs="宋体"/>
      <w:snapToGrid w:val="0"/>
      <w:color w:val="000000"/>
      <w:sz w:val="21"/>
      <w:szCs w:val="24"/>
      <w:lang w:val="en-US" w:eastAsia="zh-CN" w:bidi="ar-SA"/>
    </w:rPr>
  </w:style>
  <w:style w:type="character" w:customStyle="1" w:styleId="234">
    <w:name w:val="样式 标题 2节标题 2 Char1标题 2 Char Char标题 2 Char第一层条H2Heading 2 ...7 Char"/>
    <w:link w:val="235"/>
    <w:autoRedefine/>
    <w:qFormat/>
    <w:uiPriority w:val="0"/>
    <w:rPr>
      <w:rFonts w:ascii="Arial" w:hAnsi="Arial" w:eastAsia="黑体"/>
      <w:b/>
      <w:bCs/>
      <w:sz w:val="30"/>
      <w:szCs w:val="32"/>
    </w:rPr>
  </w:style>
  <w:style w:type="paragraph" w:customStyle="1" w:styleId="235">
    <w:name w:val="样式 标题 2节标题 2 Char1标题 2 Char Char标题 2 Char第一层条H2Heading 2 ...7"/>
    <w:basedOn w:val="3"/>
    <w:link w:val="234"/>
    <w:autoRedefine/>
    <w:qFormat/>
    <w:uiPriority w:val="0"/>
    <w:pPr>
      <w:numPr>
        <w:ilvl w:val="0"/>
        <w:numId w:val="0"/>
      </w:numPr>
      <w:spacing w:before="260" w:after="260"/>
      <w:jc w:val="both"/>
    </w:pPr>
    <w:rPr>
      <w:rFonts w:ascii="Arial" w:hAnsi="Arial" w:eastAsia="黑体" w:cstheme="minorBidi"/>
      <w:sz w:val="30"/>
      <w:szCs w:val="32"/>
    </w:rPr>
  </w:style>
  <w:style w:type="character" w:customStyle="1" w:styleId="236">
    <w:name w:val="r1"/>
    <w:autoRedefine/>
    <w:qFormat/>
    <w:uiPriority w:val="0"/>
  </w:style>
  <w:style w:type="character" w:customStyle="1" w:styleId="237">
    <w:name w:val="Char Char31"/>
    <w:autoRedefine/>
    <w:qFormat/>
    <w:uiPriority w:val="0"/>
    <w:rPr>
      <w:rFonts w:ascii="Cambria" w:hAnsi="Cambria" w:eastAsia="宋体"/>
      <w:b/>
      <w:bCs/>
      <w:sz w:val="28"/>
      <w:szCs w:val="28"/>
      <w:lang w:val="en-US" w:eastAsia="zh-CN" w:bidi="ar-SA"/>
    </w:rPr>
  </w:style>
  <w:style w:type="character" w:customStyle="1" w:styleId="238">
    <w:name w:val="页脚 Char1"/>
    <w:autoRedefine/>
    <w:semiHidden/>
    <w:qFormat/>
    <w:uiPriority w:val="99"/>
    <w:rPr>
      <w:kern w:val="2"/>
      <w:sz w:val="18"/>
      <w:szCs w:val="18"/>
    </w:rPr>
  </w:style>
  <w:style w:type="character" w:customStyle="1" w:styleId="239">
    <w:name w:val="标1 Char"/>
    <w:link w:val="240"/>
    <w:autoRedefine/>
    <w:qFormat/>
    <w:uiPriority w:val="0"/>
    <w:rPr>
      <w:b/>
      <w:sz w:val="30"/>
      <w:szCs w:val="28"/>
    </w:rPr>
  </w:style>
  <w:style w:type="paragraph" w:customStyle="1" w:styleId="240">
    <w:name w:val="标1"/>
    <w:basedOn w:val="103"/>
    <w:link w:val="239"/>
    <w:autoRedefine/>
    <w:qFormat/>
    <w:uiPriority w:val="0"/>
    <w:pPr>
      <w:keepNext w:val="0"/>
      <w:autoSpaceDE w:val="0"/>
      <w:autoSpaceDN w:val="0"/>
      <w:snapToGrid/>
      <w:spacing w:line="240" w:lineRule="auto"/>
      <w:jc w:val="center"/>
      <w:textAlignment w:val="auto"/>
    </w:pPr>
    <w:rPr>
      <w:rFonts w:eastAsiaTheme="minorEastAsia"/>
      <w:szCs w:val="28"/>
    </w:rPr>
  </w:style>
  <w:style w:type="character" w:customStyle="1" w:styleId="241">
    <w:name w:val="Char Char11"/>
    <w:autoRedefine/>
    <w:qFormat/>
    <w:uiPriority w:val="0"/>
    <w:rPr>
      <w:sz w:val="24"/>
      <w:lang w:val="en-US" w:eastAsia="zh-CN" w:bidi="ar-SA"/>
    </w:rPr>
  </w:style>
  <w:style w:type="character" w:customStyle="1" w:styleId="242">
    <w:name w:val="l"/>
    <w:autoRedefine/>
    <w:qFormat/>
    <w:uiPriority w:val="0"/>
  </w:style>
  <w:style w:type="character" w:customStyle="1" w:styleId="243">
    <w:name w:val="正文 Char"/>
    <w:link w:val="244"/>
    <w:autoRedefine/>
    <w:qFormat/>
    <w:uiPriority w:val="0"/>
    <w:rPr>
      <w:rFonts w:hAnsi="宋体"/>
      <w:sz w:val="24"/>
      <w:szCs w:val="24"/>
    </w:rPr>
  </w:style>
  <w:style w:type="paragraph" w:customStyle="1" w:styleId="244">
    <w:name w:val="正文1"/>
    <w:basedOn w:val="1"/>
    <w:link w:val="243"/>
    <w:autoRedefine/>
    <w:qFormat/>
    <w:uiPriority w:val="0"/>
    <w:pPr>
      <w:tabs>
        <w:tab w:val="left" w:pos="1980"/>
      </w:tabs>
      <w:spacing w:line="360" w:lineRule="auto"/>
      <w:ind w:firstLine="480" w:firstLineChars="200"/>
    </w:pPr>
    <w:rPr>
      <w:rFonts w:hAnsi="宋体" w:asciiTheme="minorHAnsi" w:eastAsiaTheme="minorEastAsia" w:cstheme="minorBidi"/>
    </w:rPr>
  </w:style>
  <w:style w:type="character" w:customStyle="1" w:styleId="245">
    <w:name w:val="表头 小四 加粗 Char"/>
    <w:link w:val="246"/>
    <w:autoRedefine/>
    <w:qFormat/>
    <w:uiPriority w:val="0"/>
    <w:rPr>
      <w:rFonts w:eastAsia="宋体"/>
      <w:b/>
      <w:sz w:val="24"/>
      <w:szCs w:val="24"/>
    </w:rPr>
  </w:style>
  <w:style w:type="paragraph" w:customStyle="1" w:styleId="246">
    <w:name w:val="表头 小四 加粗"/>
    <w:basedOn w:val="1"/>
    <w:link w:val="245"/>
    <w:autoRedefine/>
    <w:qFormat/>
    <w:uiPriority w:val="0"/>
    <w:pPr>
      <w:spacing w:line="360" w:lineRule="auto"/>
      <w:jc w:val="center"/>
    </w:pPr>
    <w:rPr>
      <w:rFonts w:asciiTheme="minorHAnsi" w:hAnsiTheme="minorHAnsi" w:cstheme="minorBidi"/>
      <w:b/>
    </w:rPr>
  </w:style>
  <w:style w:type="character" w:customStyle="1" w:styleId="247">
    <w:name w:val="日期 Char1"/>
    <w:autoRedefine/>
    <w:semiHidden/>
    <w:qFormat/>
    <w:uiPriority w:val="99"/>
    <w:rPr>
      <w:kern w:val="2"/>
      <w:sz w:val="24"/>
      <w:szCs w:val="24"/>
    </w:rPr>
  </w:style>
  <w:style w:type="character" w:customStyle="1" w:styleId="248">
    <w:name w:val="表格标题 Char"/>
    <w:link w:val="249"/>
    <w:autoRedefine/>
    <w:qFormat/>
    <w:locked/>
    <w:uiPriority w:val="0"/>
    <w:rPr>
      <w:rFonts w:eastAsia="黑体"/>
      <w:color w:val="FF0000"/>
      <w:spacing w:val="4"/>
      <w:sz w:val="24"/>
      <w:szCs w:val="24"/>
    </w:rPr>
  </w:style>
  <w:style w:type="paragraph" w:customStyle="1" w:styleId="249">
    <w:name w:val="表格标题"/>
    <w:basedOn w:val="1"/>
    <w:next w:val="1"/>
    <w:link w:val="248"/>
    <w:autoRedefine/>
    <w:qFormat/>
    <w:uiPriority w:val="0"/>
    <w:pPr>
      <w:tabs>
        <w:tab w:val="left" w:pos="5400"/>
      </w:tabs>
      <w:spacing w:line="360" w:lineRule="auto"/>
      <w:ind w:firstLine="496" w:firstLineChars="200"/>
      <w:jc w:val="center"/>
    </w:pPr>
    <w:rPr>
      <w:rFonts w:eastAsia="黑体" w:asciiTheme="minorHAnsi" w:hAnsiTheme="minorHAnsi" w:cstheme="minorBidi"/>
      <w:color w:val="FF0000"/>
      <w:spacing w:val="4"/>
    </w:rPr>
  </w:style>
  <w:style w:type="character" w:customStyle="1" w:styleId="250">
    <w:name w:val="标题 2 Char21"/>
    <w:autoRedefine/>
    <w:qFormat/>
    <w:uiPriority w:val="0"/>
    <w:rPr>
      <w:rFonts w:ascii="Arial" w:hAnsi="Arial" w:eastAsia="黑体"/>
      <w:b/>
      <w:bCs/>
      <w:kern w:val="2"/>
      <w:sz w:val="32"/>
      <w:szCs w:val="32"/>
      <w:lang w:val="en-US" w:eastAsia="zh-CN" w:bidi="ar-SA"/>
    </w:rPr>
  </w:style>
  <w:style w:type="character" w:customStyle="1" w:styleId="251">
    <w:name w:val="表格内文字（两端对齐） Char Char"/>
    <w:link w:val="252"/>
    <w:autoRedefine/>
    <w:qFormat/>
    <w:uiPriority w:val="0"/>
    <w:rPr>
      <w:rFonts w:eastAsia="宋体" w:cs="宋体"/>
      <w:color w:val="000000"/>
      <w:szCs w:val="21"/>
    </w:rPr>
  </w:style>
  <w:style w:type="paragraph" w:customStyle="1" w:styleId="252">
    <w:name w:val="表格内文字（两端对齐）"/>
    <w:basedOn w:val="1"/>
    <w:link w:val="251"/>
    <w:autoRedefine/>
    <w:qFormat/>
    <w:uiPriority w:val="0"/>
    <w:pPr>
      <w:tabs>
        <w:tab w:val="left" w:pos="3825"/>
        <w:tab w:val="left" w:pos="4680"/>
      </w:tabs>
    </w:pPr>
    <w:rPr>
      <w:rFonts w:cs="宋体" w:asciiTheme="minorHAnsi" w:hAnsiTheme="minorHAnsi"/>
      <w:color w:val="000000"/>
      <w:sz w:val="21"/>
      <w:szCs w:val="21"/>
    </w:rPr>
  </w:style>
  <w:style w:type="character" w:customStyle="1" w:styleId="253">
    <w:name w:val="正文 Char Char"/>
    <w:autoRedefine/>
    <w:qFormat/>
    <w:uiPriority w:val="0"/>
    <w:rPr>
      <w:rFonts w:hAnsi="宋体" w:eastAsia="宋体"/>
      <w:kern w:val="2"/>
      <w:sz w:val="24"/>
      <w:szCs w:val="24"/>
      <w:lang w:val="en-US" w:eastAsia="zh-CN" w:bidi="ar-SA"/>
    </w:rPr>
  </w:style>
  <w:style w:type="paragraph" w:customStyle="1" w:styleId="254">
    <w:name w:val="xl65"/>
    <w:basedOn w:val="1"/>
    <w:autoRedefine/>
    <w:qFormat/>
    <w:uiPriority w:val="0"/>
    <w:pPr>
      <w:widowControl/>
      <w:shd w:val="clear" w:color="000000" w:fill="FFC7CE"/>
      <w:spacing w:before="100" w:beforeAutospacing="1" w:after="100" w:afterAutospacing="1"/>
      <w:jc w:val="center"/>
    </w:pPr>
    <w:rPr>
      <w:rFonts w:ascii="宋体" w:hAnsi="宋体" w:cs="宋体"/>
      <w:color w:val="9C0006"/>
      <w:kern w:val="0"/>
    </w:rPr>
  </w:style>
  <w:style w:type="paragraph" w:customStyle="1" w:styleId="255">
    <w:name w:val="Date1"/>
    <w:basedOn w:val="1"/>
    <w:next w:val="1"/>
    <w:autoRedefine/>
    <w:qFormat/>
    <w:uiPriority w:val="0"/>
    <w:pPr>
      <w:adjustRightInd w:val="0"/>
      <w:textAlignment w:val="baseline"/>
    </w:pPr>
    <w:rPr>
      <w:sz w:val="21"/>
      <w:szCs w:val="20"/>
      <w:lang w:bidi="th-TH"/>
    </w:rPr>
  </w:style>
  <w:style w:type="paragraph" w:customStyle="1" w:styleId="256">
    <w:name w:val="pic-info"/>
    <w:basedOn w:val="1"/>
    <w:autoRedefine/>
    <w:qFormat/>
    <w:uiPriority w:val="0"/>
    <w:pPr>
      <w:widowControl/>
      <w:spacing w:before="100" w:beforeAutospacing="1" w:after="100" w:afterAutospacing="1"/>
      <w:jc w:val="left"/>
    </w:pPr>
    <w:rPr>
      <w:rFonts w:ascii="宋体" w:hAnsi="宋体" w:cs="宋体"/>
      <w:kern w:val="0"/>
    </w:rPr>
  </w:style>
  <w:style w:type="paragraph" w:customStyle="1" w:styleId="257">
    <w:name w:val="Abstract"/>
    <w:basedOn w:val="115"/>
    <w:autoRedefine/>
    <w:qFormat/>
    <w:uiPriority w:val="0"/>
    <w:pPr>
      <w:spacing w:after="200"/>
      <w:ind w:firstLine="0" w:firstLineChars="0"/>
      <w:jc w:val="center"/>
    </w:pPr>
    <w:rPr>
      <w:rFonts w:ascii="Arial Black" w:hAnsi="Arial Black"/>
      <w:sz w:val="28"/>
      <w:szCs w:val="28"/>
    </w:rPr>
  </w:style>
  <w:style w:type="paragraph" w:customStyle="1" w:styleId="258">
    <w:name w:val="CM4"/>
    <w:basedOn w:val="23"/>
    <w:next w:val="23"/>
    <w:autoRedefine/>
    <w:qFormat/>
    <w:uiPriority w:val="99"/>
    <w:pPr>
      <w:spacing w:line="466" w:lineRule="atLeast"/>
    </w:pPr>
    <w:rPr>
      <w:rFonts w:ascii="宋体" w:eastAsia="宋体" w:cs="Times New Roman"/>
      <w:color w:val="auto"/>
    </w:rPr>
  </w:style>
  <w:style w:type="paragraph" w:customStyle="1" w:styleId="259">
    <w:name w:val="标题1"/>
    <w:basedOn w:val="45"/>
    <w:autoRedefine/>
    <w:qFormat/>
    <w:uiPriority w:val="0"/>
    <w:pPr>
      <w:jc w:val="center"/>
      <w:outlineLvl w:val="0"/>
    </w:pPr>
    <w:rPr>
      <w:rFonts w:ascii="黑体" w:hAnsi="黑体" w:eastAsia="黑体"/>
      <w:snapToGrid w:val="0"/>
      <w:sz w:val="30"/>
      <w:szCs w:val="30"/>
    </w:rPr>
  </w:style>
  <w:style w:type="paragraph" w:customStyle="1" w:styleId="260">
    <w:name w:val="Char Char Char Char Char Char Char Char Char"/>
    <w:basedOn w:val="1"/>
    <w:autoRedefine/>
    <w:qFormat/>
    <w:uiPriority w:val="0"/>
    <w:pPr>
      <w:tabs>
        <w:tab w:val="left" w:pos="1905"/>
      </w:tabs>
      <w:ind w:left="1905" w:hanging="825"/>
    </w:pPr>
    <w:rPr>
      <w:sz w:val="21"/>
    </w:rPr>
  </w:style>
  <w:style w:type="paragraph" w:customStyle="1" w:styleId="261">
    <w:name w:val="表格内文字（居中）-wd"/>
    <w:basedOn w:val="1"/>
    <w:autoRedefine/>
    <w:qFormat/>
    <w:uiPriority w:val="0"/>
    <w:pPr>
      <w:spacing w:line="340" w:lineRule="exact"/>
      <w:jc w:val="center"/>
    </w:pPr>
    <w:rPr>
      <w:kern w:val="0"/>
      <w:sz w:val="21"/>
      <w:szCs w:val="21"/>
    </w:rPr>
  </w:style>
  <w:style w:type="paragraph" w:customStyle="1" w:styleId="262">
    <w:name w:val="gr"/>
    <w:basedOn w:val="1"/>
    <w:autoRedefine/>
    <w:qFormat/>
    <w:uiPriority w:val="0"/>
    <w:pPr>
      <w:widowControl/>
      <w:spacing w:before="100" w:beforeAutospacing="1" w:after="100" w:afterAutospacing="1" w:line="300" w:lineRule="atLeast"/>
      <w:jc w:val="left"/>
    </w:pPr>
    <w:rPr>
      <w:rFonts w:eastAsia="Arial Unicode MS"/>
      <w:color w:val="1EB3B7"/>
      <w:kern w:val="0"/>
      <w:sz w:val="18"/>
      <w:szCs w:val="18"/>
    </w:rPr>
  </w:style>
  <w:style w:type="paragraph" w:customStyle="1" w:styleId="263">
    <w:name w:val="0表标题"/>
    <w:basedOn w:val="1"/>
    <w:autoRedefine/>
    <w:qFormat/>
    <w:uiPriority w:val="0"/>
    <w:pPr>
      <w:spacing w:line="360" w:lineRule="auto"/>
      <w:jc w:val="center"/>
      <w:outlineLvl w:val="4"/>
    </w:pPr>
    <w:rPr>
      <w:b/>
    </w:rPr>
  </w:style>
  <w:style w:type="paragraph" w:customStyle="1" w:styleId="264">
    <w:name w:val="样式 标题 2 + 居中"/>
    <w:basedOn w:val="3"/>
    <w:autoRedefine/>
    <w:qFormat/>
    <w:uiPriority w:val="0"/>
    <w:pPr>
      <w:numPr>
        <w:ilvl w:val="0"/>
        <w:numId w:val="0"/>
      </w:numPr>
      <w:spacing w:before="260" w:after="260" w:line="416" w:lineRule="auto"/>
      <w:jc w:val="center"/>
    </w:pPr>
    <w:rPr>
      <w:rFonts w:ascii="Arial" w:hAnsi="Arial" w:cs="宋体"/>
      <w:b w:val="0"/>
      <w:sz w:val="36"/>
      <w:szCs w:val="20"/>
    </w:rPr>
  </w:style>
  <w:style w:type="paragraph" w:customStyle="1" w:styleId="265">
    <w:name w:val="Char3 Char Char Char Char Char Char Char Char Char"/>
    <w:basedOn w:val="1"/>
    <w:autoRedefine/>
    <w:qFormat/>
    <w:uiPriority w:val="0"/>
  </w:style>
  <w:style w:type="paragraph" w:customStyle="1" w:styleId="266">
    <w:name w:val="前言序号"/>
    <w:autoRedefine/>
    <w:qFormat/>
    <w:uiPriority w:val="0"/>
    <w:rPr>
      <w:rFonts w:ascii="Times New Roman" w:hAnsi="Times New Roman" w:eastAsia="黑体" w:cs="Times New Roman"/>
      <w:bCs/>
      <w:kern w:val="2"/>
      <w:sz w:val="30"/>
      <w:szCs w:val="30"/>
      <w:lang w:val="en-US" w:eastAsia="zh-CN" w:bidi="ar-SA"/>
    </w:rPr>
  </w:style>
  <w:style w:type="paragraph" w:customStyle="1" w:styleId="267">
    <w:name w:val="Char Char Char Char Char Char"/>
    <w:basedOn w:val="1"/>
    <w:autoRedefine/>
    <w:qFormat/>
    <w:uiPriority w:val="0"/>
  </w:style>
  <w:style w:type="paragraph" w:customStyle="1" w:styleId="268">
    <w:name w:val="表格标题-改"/>
    <w:basedOn w:val="1"/>
    <w:autoRedefine/>
    <w:qFormat/>
    <w:uiPriority w:val="0"/>
    <w:pPr>
      <w:spacing w:line="360" w:lineRule="auto"/>
      <w:jc w:val="center"/>
    </w:pPr>
    <w:rPr>
      <w:rFonts w:cs="宋体"/>
      <w:b/>
      <w:sz w:val="21"/>
    </w:rPr>
  </w:style>
  <w:style w:type="paragraph" w:customStyle="1" w:styleId="269">
    <w:name w:val="样式4"/>
    <w:basedOn w:val="20"/>
    <w:autoRedefine/>
    <w:qFormat/>
    <w:uiPriority w:val="0"/>
    <w:pPr>
      <w:spacing w:after="0" w:line="360" w:lineRule="auto"/>
      <w:ind w:firstLine="480" w:firstLineChars="200"/>
    </w:pPr>
    <w:rPr>
      <w:rFonts w:ascii="宋体" w:hAnsi="宋体"/>
      <w:snapToGrid w:val="0"/>
      <w:lang w:bidi="th-TH"/>
    </w:rPr>
  </w:style>
  <w:style w:type="paragraph" w:customStyle="1" w:styleId="270">
    <w:name w:val="CM5"/>
    <w:basedOn w:val="1"/>
    <w:next w:val="1"/>
    <w:autoRedefine/>
    <w:qFormat/>
    <w:uiPriority w:val="99"/>
    <w:pPr>
      <w:autoSpaceDE w:val="0"/>
      <w:autoSpaceDN w:val="0"/>
      <w:adjustRightInd w:val="0"/>
      <w:spacing w:line="468" w:lineRule="atLeast"/>
      <w:jc w:val="left"/>
    </w:pPr>
    <w:rPr>
      <w:rFonts w:ascii="宋体" w:hAnsi="Calibri"/>
      <w:kern w:val="0"/>
    </w:rPr>
  </w:style>
  <w:style w:type="paragraph" w:customStyle="1" w:styleId="271">
    <w:name w:val="前言"/>
    <w:autoRedefine/>
    <w:qFormat/>
    <w:uiPriority w:val="0"/>
    <w:pPr>
      <w:jc w:val="center"/>
    </w:pPr>
    <w:rPr>
      <w:rFonts w:ascii="Times New Roman" w:hAnsi="Times New Roman" w:eastAsia="黑体" w:cs="Times New Roman"/>
      <w:bCs/>
      <w:sz w:val="36"/>
      <w:szCs w:val="36"/>
      <w:lang w:val="en-US" w:eastAsia="zh-CN" w:bidi="ar-SA"/>
    </w:rPr>
  </w:style>
  <w:style w:type="paragraph" w:customStyle="1" w:styleId="272">
    <w:name w:val="自建正文文本样式"/>
    <w:basedOn w:val="1"/>
    <w:next w:val="20"/>
    <w:autoRedefine/>
    <w:qFormat/>
    <w:uiPriority w:val="99"/>
    <w:pPr>
      <w:adjustRightInd w:val="0"/>
      <w:snapToGrid w:val="0"/>
      <w:ind w:firstLine="1000" w:firstLineChars="200"/>
    </w:pPr>
    <w:rPr>
      <w:kern w:val="0"/>
    </w:rPr>
  </w:style>
  <w:style w:type="paragraph" w:customStyle="1" w:styleId="273">
    <w:name w:val="样式 标题 1一、 + (中文) 黑体 小二 居中 段前: 15 磅 段后: 15 磅 行距: 1.5 倍行距"/>
    <w:basedOn w:val="2"/>
    <w:autoRedefine/>
    <w:qFormat/>
    <w:uiPriority w:val="0"/>
    <w:pPr>
      <w:numPr>
        <w:numId w:val="0"/>
      </w:numPr>
      <w:spacing w:before="120" w:after="120"/>
    </w:pPr>
    <w:rPr>
      <w:rFonts w:cs="宋体"/>
      <w:b w:val="0"/>
      <w:kern w:val="44"/>
      <w:szCs w:val="20"/>
    </w:rPr>
  </w:style>
  <w:style w:type="paragraph" w:customStyle="1" w:styleId="274">
    <w:name w:val="表格内容-改"/>
    <w:basedOn w:val="1"/>
    <w:next w:val="1"/>
    <w:autoRedefine/>
    <w:qFormat/>
    <w:uiPriority w:val="0"/>
    <w:pPr>
      <w:jc w:val="center"/>
    </w:pPr>
    <w:rPr>
      <w:sz w:val="21"/>
      <w:szCs w:val="20"/>
    </w:rPr>
  </w:style>
  <w:style w:type="paragraph" w:customStyle="1" w:styleId="275">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276">
    <w:name w:val="14"/>
    <w:basedOn w:val="1"/>
    <w:next w:val="29"/>
    <w:autoRedefine/>
    <w:qFormat/>
    <w:uiPriority w:val="0"/>
    <w:rPr>
      <w:rFonts w:ascii="宋体" w:hAnsi="ISOCT"/>
      <w:sz w:val="28"/>
      <w:szCs w:val="20"/>
    </w:rPr>
  </w:style>
  <w:style w:type="paragraph" w:customStyle="1" w:styleId="277">
    <w:name w:val="Char Char Char Char"/>
    <w:basedOn w:val="1"/>
    <w:autoRedefine/>
    <w:qFormat/>
    <w:uiPriority w:val="0"/>
    <w:pPr>
      <w:adjustRightInd w:val="0"/>
      <w:spacing w:line="360" w:lineRule="auto"/>
      <w:ind w:firstLine="200" w:firstLineChars="200"/>
      <w:textAlignment w:val="baseline"/>
    </w:pPr>
    <w:rPr>
      <w:rFonts w:ascii="宋体" w:hAnsi="宋体" w:cs="宋体"/>
      <w:szCs w:val="21"/>
    </w:rPr>
  </w:style>
  <w:style w:type="paragraph" w:customStyle="1" w:styleId="278">
    <w:name w:val="图名 小四 加粗"/>
    <w:autoRedefine/>
    <w:qFormat/>
    <w:uiPriority w:val="0"/>
    <w:pPr>
      <w:spacing w:line="360" w:lineRule="auto"/>
      <w:jc w:val="center"/>
    </w:pPr>
    <w:rPr>
      <w:rFonts w:ascii="Times New Roman" w:hAnsi="Times New Roman" w:eastAsia="宋体" w:cs="Times New Roman"/>
      <w:b/>
      <w:kern w:val="2"/>
      <w:sz w:val="24"/>
      <w:szCs w:val="24"/>
      <w:lang w:val="en-US" w:eastAsia="zh-CN" w:bidi="ar-SA"/>
    </w:rPr>
  </w:style>
  <w:style w:type="paragraph" w:customStyle="1" w:styleId="279">
    <w:name w:val="样式 标题 2节标题 2 Char1标题 2 Char Char标题 2 Char第一层条H2Heading 2 ...6"/>
    <w:basedOn w:val="3"/>
    <w:autoRedefine/>
    <w:qFormat/>
    <w:uiPriority w:val="0"/>
    <w:pPr>
      <w:numPr>
        <w:ilvl w:val="0"/>
        <w:numId w:val="0"/>
      </w:numPr>
      <w:jc w:val="both"/>
    </w:pPr>
    <w:rPr>
      <w:rFonts w:cs="宋体"/>
      <w:b w:val="0"/>
      <w:sz w:val="24"/>
      <w:szCs w:val="20"/>
    </w:rPr>
  </w:style>
  <w:style w:type="paragraph" w:customStyle="1" w:styleId="280">
    <w:name w:val="表1表2"/>
    <w:basedOn w:val="1"/>
    <w:autoRedefine/>
    <w:qFormat/>
    <w:uiPriority w:val="0"/>
    <w:pPr>
      <w:autoSpaceDE w:val="0"/>
      <w:autoSpaceDN w:val="0"/>
      <w:adjustRightInd w:val="0"/>
      <w:jc w:val="center"/>
      <w:textAlignment w:val="center"/>
    </w:pPr>
    <w:rPr>
      <w:rFonts w:eastAsia="仿宋_GB2312"/>
      <w:kern w:val="0"/>
      <w:sz w:val="21"/>
      <w:szCs w:val="21"/>
    </w:rPr>
  </w:style>
  <w:style w:type="paragraph" w:customStyle="1" w:styleId="281">
    <w:name w:val="15"/>
    <w:basedOn w:val="1"/>
    <w:next w:val="45"/>
    <w:autoRedefine/>
    <w:qFormat/>
    <w:uiPriority w:val="0"/>
  </w:style>
  <w:style w:type="paragraph" w:customStyle="1" w:styleId="282">
    <w:name w:val="c3表格文字"/>
    <w:next w:val="34"/>
    <w:autoRedefine/>
    <w:qFormat/>
    <w:uiPriority w:val="0"/>
    <w:pPr>
      <w:tabs>
        <w:tab w:val="left" w:pos="2432"/>
      </w:tabs>
      <w:adjustRightInd w:val="0"/>
      <w:snapToGrid w:val="0"/>
      <w:jc w:val="center"/>
    </w:pPr>
    <w:rPr>
      <w:rFonts w:ascii="Times New Roman" w:hAnsi="Times New Roman" w:eastAsia="仿宋_GB2312" w:cs="宋体"/>
      <w:kern w:val="2"/>
      <w:sz w:val="24"/>
      <w:szCs w:val="28"/>
      <w:lang w:val="en-US" w:eastAsia="zh-CN" w:bidi="ar-SA"/>
    </w:rPr>
  </w:style>
  <w:style w:type="paragraph" w:customStyle="1" w:styleId="283">
    <w:name w:val="Char Char Char2"/>
    <w:basedOn w:val="16"/>
    <w:autoRedefine/>
    <w:qFormat/>
    <w:uiPriority w:val="0"/>
    <w:pPr>
      <w:adjustRightInd w:val="0"/>
      <w:spacing w:line="436" w:lineRule="exact"/>
      <w:ind w:left="357"/>
      <w:jc w:val="left"/>
      <w:outlineLvl w:val="3"/>
    </w:pPr>
    <w:rPr>
      <w:rFonts w:ascii="Tahoma" w:hAnsi="Tahoma"/>
      <w:b/>
      <w:sz w:val="44"/>
    </w:rPr>
  </w:style>
  <w:style w:type="paragraph" w:customStyle="1" w:styleId="284">
    <w:name w:val="青山正文"/>
    <w:basedOn w:val="1"/>
    <w:autoRedefine/>
    <w:qFormat/>
    <w:uiPriority w:val="0"/>
    <w:pPr>
      <w:tabs>
        <w:tab w:val="left" w:pos="2145"/>
      </w:tabs>
      <w:adjustRightInd w:val="0"/>
      <w:snapToGrid w:val="0"/>
      <w:spacing w:line="360" w:lineRule="auto"/>
      <w:ind w:firstLine="200" w:firstLineChars="200"/>
    </w:pPr>
    <w:rPr>
      <w:sz w:val="28"/>
      <w:szCs w:val="28"/>
    </w:rPr>
  </w:style>
  <w:style w:type="paragraph" w:customStyle="1" w:styleId="285">
    <w:name w:val="插图 居中"/>
    <w:basedOn w:val="1"/>
    <w:autoRedefine/>
    <w:qFormat/>
    <w:uiPriority w:val="0"/>
    <w:pPr>
      <w:tabs>
        <w:tab w:val="left" w:pos="3825"/>
        <w:tab w:val="left" w:pos="4680"/>
      </w:tabs>
      <w:spacing w:line="360" w:lineRule="auto"/>
      <w:jc w:val="center"/>
    </w:pPr>
    <w:rPr>
      <w:rFonts w:cs="宋体"/>
      <w:szCs w:val="20"/>
    </w:rPr>
  </w:style>
  <w:style w:type="paragraph" w:customStyle="1" w:styleId="286">
    <w:name w:val="注释"/>
    <w:basedOn w:val="1"/>
    <w:autoRedefine/>
    <w:qFormat/>
    <w:uiPriority w:val="0"/>
    <w:pPr>
      <w:widowControl/>
      <w:spacing w:before="60"/>
      <w:ind w:firstLine="200" w:firstLineChars="200"/>
      <w:jc w:val="left"/>
    </w:pPr>
    <w:rPr>
      <w:rFonts w:cs="宋体"/>
      <w:b/>
      <w:bCs/>
      <w:kern w:val="0"/>
      <w:sz w:val="18"/>
      <w:szCs w:val="20"/>
      <w:lang w:eastAsia="en-US" w:bidi="en-US"/>
    </w:rPr>
  </w:style>
  <w:style w:type="paragraph" w:customStyle="1" w:styleId="287">
    <w:name w:val="正文缩进 New"/>
    <w:basedOn w:val="288"/>
    <w:autoRedefine/>
    <w:qFormat/>
    <w:uiPriority w:val="0"/>
    <w:pPr>
      <w:ind w:firstLine="420" w:firstLineChars="200"/>
    </w:pPr>
  </w:style>
  <w:style w:type="paragraph" w:customStyle="1" w:styleId="288">
    <w:name w:val="正文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89">
    <w:name w:val="p0"/>
    <w:basedOn w:val="1"/>
    <w:autoRedefine/>
    <w:qFormat/>
    <w:uiPriority w:val="0"/>
    <w:pPr>
      <w:widowControl/>
      <w:spacing w:before="100" w:beforeAutospacing="1" w:after="100" w:afterAutospacing="1"/>
      <w:jc w:val="left"/>
    </w:pPr>
    <w:rPr>
      <w:rFonts w:ascii="宋体" w:hAnsi="宋体" w:cs="宋体"/>
      <w:kern w:val="0"/>
    </w:rPr>
  </w:style>
  <w:style w:type="paragraph" w:customStyle="1" w:styleId="290">
    <w:name w:val="样式 标题 2节标题 2 Char1标题 2 Char Char标题 2 Char第一层条H2Heading 2 ...5"/>
    <w:basedOn w:val="3"/>
    <w:autoRedefine/>
    <w:qFormat/>
    <w:uiPriority w:val="0"/>
    <w:pPr>
      <w:numPr>
        <w:ilvl w:val="0"/>
        <w:numId w:val="0"/>
      </w:numPr>
      <w:spacing w:beforeLines="50" w:afterLines="50"/>
      <w:jc w:val="both"/>
    </w:pPr>
    <w:rPr>
      <w:rFonts w:cs="宋体"/>
      <w:b w:val="0"/>
      <w:szCs w:val="20"/>
    </w:rPr>
  </w:style>
  <w:style w:type="paragraph" w:customStyle="1" w:styleId="291">
    <w:name w:val="样式 1标题1级 + 黑体 居中 行距: 1.5 倍行距"/>
    <w:basedOn w:val="1"/>
    <w:autoRedefine/>
    <w:qFormat/>
    <w:uiPriority w:val="0"/>
    <w:pPr>
      <w:keepNext/>
      <w:pageBreakBefore/>
      <w:snapToGrid w:val="0"/>
      <w:spacing w:line="360" w:lineRule="auto"/>
      <w:jc w:val="center"/>
      <w:outlineLvl w:val="0"/>
    </w:pPr>
    <w:rPr>
      <w:rFonts w:ascii="黑体" w:eastAsia="黑体" w:cs="宋体"/>
      <w:b/>
      <w:bCs/>
      <w:sz w:val="30"/>
      <w:szCs w:val="20"/>
    </w:rPr>
  </w:style>
  <w:style w:type="paragraph" w:customStyle="1" w:styleId="292">
    <w:name w:val="11"/>
    <w:basedOn w:val="1"/>
    <w:next w:val="21"/>
    <w:autoRedefine/>
    <w:qFormat/>
    <w:uiPriority w:val="0"/>
    <w:pPr>
      <w:ind w:left="576"/>
    </w:pPr>
  </w:style>
  <w:style w:type="paragraph" w:customStyle="1" w:styleId="293">
    <w:name w:val="CM3"/>
    <w:basedOn w:val="23"/>
    <w:next w:val="23"/>
    <w:autoRedefine/>
    <w:qFormat/>
    <w:uiPriority w:val="99"/>
    <w:pPr>
      <w:spacing w:line="466" w:lineRule="atLeast"/>
    </w:pPr>
    <w:rPr>
      <w:rFonts w:ascii="宋体" w:eastAsia="宋体" w:cs="Times New Roman"/>
      <w:color w:val="auto"/>
    </w:rPr>
  </w:style>
  <w:style w:type="paragraph" w:customStyle="1" w:styleId="294">
    <w:name w:val="样式 样式 标题 3 + 首行缩进:  2 字符 + 首行缩进:  2 字符"/>
    <w:basedOn w:val="1"/>
    <w:autoRedefine/>
    <w:qFormat/>
    <w:uiPriority w:val="0"/>
    <w:pPr>
      <w:keepNext/>
      <w:keepLines/>
      <w:spacing w:before="260" w:after="260" w:line="416" w:lineRule="auto"/>
      <w:ind w:firstLine="562" w:firstLineChars="200"/>
      <w:outlineLvl w:val="2"/>
    </w:pPr>
    <w:rPr>
      <w:rFonts w:cs="宋体"/>
      <w:b/>
      <w:bCs/>
      <w:szCs w:val="20"/>
    </w:rPr>
  </w:style>
  <w:style w:type="paragraph" w:customStyle="1" w:styleId="295">
    <w:name w:val="样式 标题 2节标题 2 Char1标题 2 Char Char标题 2 Char第一层条H2Heading 2 ...2"/>
    <w:basedOn w:val="3"/>
    <w:autoRedefine/>
    <w:qFormat/>
    <w:uiPriority w:val="0"/>
    <w:pPr>
      <w:numPr>
        <w:ilvl w:val="0"/>
        <w:numId w:val="0"/>
      </w:numPr>
      <w:spacing w:beforeLines="50" w:afterLines="50"/>
      <w:jc w:val="both"/>
      <w:outlineLvl w:val="2"/>
    </w:pPr>
    <w:rPr>
      <w:rFonts w:cs="宋体"/>
      <w:b w:val="0"/>
      <w:sz w:val="24"/>
      <w:szCs w:val="20"/>
    </w:rPr>
  </w:style>
  <w:style w:type="paragraph" w:customStyle="1" w:styleId="296">
    <w:name w:val="表格内容 ylp"/>
    <w:autoRedefine/>
    <w:qFormat/>
    <w:uiPriority w:val="0"/>
    <w:pPr>
      <w:widowControl w:val="0"/>
      <w:jc w:val="center"/>
    </w:pPr>
    <w:rPr>
      <w:rFonts w:ascii="Calibri" w:hAnsi="Calibri" w:eastAsia="宋体" w:cs="Times New Roman"/>
      <w:color w:val="000000"/>
      <w:kern w:val="2"/>
      <w:sz w:val="21"/>
      <w:szCs w:val="21"/>
      <w:lang w:val="en-US" w:eastAsia="zh-CN" w:bidi="ar-SA"/>
    </w:rPr>
  </w:style>
  <w:style w:type="paragraph" w:customStyle="1" w:styleId="297">
    <w:name w:val="英文题目"/>
    <w:basedOn w:val="115"/>
    <w:autoRedefine/>
    <w:qFormat/>
    <w:uiPriority w:val="0"/>
    <w:pPr>
      <w:spacing w:after="200"/>
      <w:ind w:firstLine="0" w:firstLineChars="0"/>
      <w:jc w:val="center"/>
    </w:pPr>
    <w:rPr>
      <w:rFonts w:ascii="Arial Black" w:hAnsi="Arial Black"/>
      <w:sz w:val="30"/>
      <w:szCs w:val="30"/>
    </w:rPr>
  </w:style>
  <w:style w:type="paragraph" w:customStyle="1" w:styleId="298">
    <w:name w:val="目录"/>
    <w:basedOn w:val="1"/>
    <w:autoRedefine/>
    <w:qFormat/>
    <w:uiPriority w:val="0"/>
    <w:pPr>
      <w:tabs>
        <w:tab w:val="left" w:pos="1980"/>
        <w:tab w:val="left" w:pos="3825"/>
        <w:tab w:val="left" w:pos="4680"/>
      </w:tabs>
      <w:spacing w:line="360" w:lineRule="auto"/>
      <w:jc w:val="center"/>
    </w:pPr>
    <w:rPr>
      <w:b/>
      <w:sz w:val="28"/>
    </w:rPr>
  </w:style>
  <w:style w:type="paragraph" w:customStyle="1" w:styleId="299">
    <w:name w:val="前言、引言标题"/>
    <w:next w:val="1"/>
    <w:autoRedefine/>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300">
    <w:name w:val="reader-word-layer"/>
    <w:basedOn w:val="1"/>
    <w:autoRedefine/>
    <w:qFormat/>
    <w:uiPriority w:val="0"/>
    <w:pPr>
      <w:widowControl/>
      <w:spacing w:before="100" w:beforeAutospacing="1" w:after="100" w:afterAutospacing="1"/>
      <w:jc w:val="left"/>
    </w:pPr>
    <w:rPr>
      <w:rFonts w:ascii="宋体" w:hAnsi="宋体" w:cs="宋体"/>
      <w:kern w:val="0"/>
    </w:rPr>
  </w:style>
  <w:style w:type="paragraph" w:customStyle="1" w:styleId="301">
    <w:name w:val="Char Char Char Char Char Char Char Char Char Char"/>
    <w:basedOn w:val="1"/>
    <w:autoRedefine/>
    <w:qFormat/>
    <w:uiPriority w:val="0"/>
    <w:rPr>
      <w:sz w:val="21"/>
    </w:rPr>
  </w:style>
  <w:style w:type="paragraph" w:customStyle="1" w:styleId="302">
    <w:name w:val="表头样式1"/>
    <w:basedOn w:val="1"/>
    <w:autoRedefine/>
    <w:qFormat/>
    <w:uiPriority w:val="0"/>
    <w:pPr>
      <w:spacing w:after="80" w:line="480" w:lineRule="atLeast"/>
      <w:jc w:val="center"/>
    </w:pPr>
    <w:rPr>
      <w:rFonts w:eastAsia="黑体"/>
      <w:b/>
      <w:bCs/>
    </w:rPr>
  </w:style>
  <w:style w:type="paragraph" w:customStyle="1" w:styleId="303">
    <w:name w:val="CM7"/>
    <w:basedOn w:val="23"/>
    <w:next w:val="23"/>
    <w:autoRedefine/>
    <w:qFormat/>
    <w:uiPriority w:val="99"/>
    <w:pPr>
      <w:spacing w:line="506" w:lineRule="atLeast"/>
    </w:pPr>
    <w:rPr>
      <w:rFonts w:ascii="宋体" w:eastAsia="宋体" w:cs="Times New Roman"/>
      <w:color w:val="auto"/>
    </w:rPr>
  </w:style>
  <w:style w:type="paragraph" w:customStyle="1" w:styleId="304">
    <w:name w:val="目录 样式"/>
    <w:basedOn w:val="41"/>
    <w:autoRedefine/>
    <w:qFormat/>
    <w:uiPriority w:val="0"/>
    <w:pPr>
      <w:tabs>
        <w:tab w:val="right" w:leader="dot" w:pos="9118"/>
      </w:tabs>
      <w:ind w:left="480"/>
    </w:pPr>
    <w:rPr>
      <w:rFonts w:cs="宋体"/>
      <w:szCs w:val="20"/>
    </w:rPr>
  </w:style>
  <w:style w:type="paragraph" w:customStyle="1" w:styleId="305">
    <w:name w:val="附表说明"/>
    <w:basedOn w:val="115"/>
    <w:autoRedefine/>
    <w:qFormat/>
    <w:uiPriority w:val="0"/>
    <w:pPr>
      <w:ind w:firstLine="0" w:firstLineChars="0"/>
      <w:jc w:val="center"/>
    </w:pPr>
    <w:rPr>
      <w:sz w:val="18"/>
      <w:szCs w:val="18"/>
    </w:rPr>
  </w:style>
  <w:style w:type="paragraph" w:customStyle="1" w:styleId="306">
    <w:name w:val="red"/>
    <w:basedOn w:val="1"/>
    <w:autoRedefine/>
    <w:qFormat/>
    <w:uiPriority w:val="0"/>
    <w:pPr>
      <w:widowControl/>
      <w:spacing w:before="100" w:beforeAutospacing="1" w:after="100" w:afterAutospacing="1" w:line="300" w:lineRule="atLeast"/>
      <w:jc w:val="left"/>
    </w:pPr>
    <w:rPr>
      <w:rFonts w:ascii="Arial Unicode MS" w:hAnsi="Arial Unicode MS" w:eastAsia="Arial Unicode MS"/>
      <w:color w:val="FF0000"/>
      <w:kern w:val="0"/>
      <w:sz w:val="18"/>
      <w:szCs w:val="18"/>
    </w:rPr>
  </w:style>
  <w:style w:type="paragraph" w:customStyle="1" w:styleId="307">
    <w:name w:val="表格 32"/>
    <w:basedOn w:val="1"/>
    <w:autoRedefine/>
    <w:qFormat/>
    <w:uiPriority w:val="0"/>
    <w:pPr>
      <w:autoSpaceDE w:val="0"/>
      <w:autoSpaceDN w:val="0"/>
      <w:adjustRightInd w:val="0"/>
      <w:spacing w:line="0" w:lineRule="atLeast"/>
      <w:jc w:val="center"/>
      <w:textAlignment w:val="baseline"/>
    </w:pPr>
    <w:rPr>
      <w:kern w:val="0"/>
      <w:szCs w:val="20"/>
    </w:rPr>
  </w:style>
  <w:style w:type="paragraph" w:customStyle="1" w:styleId="308">
    <w:name w:val="样式 首行缩进"/>
    <w:basedOn w:val="1"/>
    <w:autoRedefine/>
    <w:qFormat/>
    <w:uiPriority w:val="0"/>
    <w:pPr>
      <w:spacing w:before="60" w:after="60" w:line="360" w:lineRule="auto"/>
      <w:ind w:firstLine="480" w:firstLineChars="200"/>
    </w:pPr>
    <w:rPr>
      <w:rFonts w:cs="宋体"/>
      <w:szCs w:val="20"/>
    </w:rPr>
  </w:style>
  <w:style w:type="paragraph" w:customStyle="1" w:styleId="309">
    <w:name w:val="1标题3级"/>
    <w:basedOn w:val="103"/>
    <w:autoRedefine/>
    <w:qFormat/>
    <w:uiPriority w:val="0"/>
    <w:pPr>
      <w:outlineLvl w:val="2"/>
    </w:pPr>
    <w:rPr>
      <w:sz w:val="28"/>
    </w:rPr>
  </w:style>
  <w:style w:type="paragraph" w:customStyle="1" w:styleId="310">
    <w:name w:val="我的表格"/>
    <w:autoRedefine/>
    <w:qFormat/>
    <w:uiPriority w:val="0"/>
    <w:pPr>
      <w:adjustRightInd w:val="0"/>
      <w:snapToGrid w:val="0"/>
      <w:spacing w:line="300" w:lineRule="exact"/>
      <w:jc w:val="center"/>
    </w:pPr>
    <w:rPr>
      <w:rFonts w:ascii="Times New Roman" w:hAnsi="Times New Roman" w:eastAsia="宋体" w:cs="Times New Roman"/>
      <w:spacing w:val="4"/>
      <w:sz w:val="21"/>
      <w:szCs w:val="24"/>
      <w:lang w:val="en-US" w:eastAsia="zh-CN" w:bidi="th-TH"/>
    </w:rPr>
  </w:style>
  <w:style w:type="paragraph" w:customStyle="1" w:styleId="311">
    <w:name w:val="样式3"/>
    <w:basedOn w:val="312"/>
    <w:next w:val="5"/>
    <w:autoRedefine/>
    <w:qFormat/>
    <w:uiPriority w:val="0"/>
    <w:pPr>
      <w:tabs>
        <w:tab w:val="left" w:pos="360"/>
        <w:tab w:val="left" w:pos="825"/>
        <w:tab w:val="left" w:pos="903"/>
        <w:tab w:val="left" w:pos="2100"/>
        <w:tab w:val="left" w:pos="2520"/>
        <w:tab w:val="left" w:pos="3000"/>
      </w:tabs>
      <w:ind w:left="2520" w:hanging="420"/>
    </w:pPr>
    <w:rPr>
      <w:rFonts w:eastAsia="宋体"/>
      <w:szCs w:val="21"/>
    </w:rPr>
  </w:style>
  <w:style w:type="paragraph" w:customStyle="1" w:styleId="312">
    <w:name w:val="四级条标题"/>
    <w:basedOn w:val="313"/>
    <w:next w:val="1"/>
    <w:autoRedefine/>
    <w:qFormat/>
    <w:uiPriority w:val="0"/>
    <w:pPr>
      <w:tabs>
        <w:tab w:val="left" w:pos="360"/>
        <w:tab w:val="left" w:pos="825"/>
        <w:tab w:val="left" w:pos="903"/>
      </w:tabs>
      <w:outlineLvl w:val="5"/>
    </w:pPr>
  </w:style>
  <w:style w:type="paragraph" w:customStyle="1" w:styleId="313">
    <w:name w:val="三级条标题"/>
    <w:basedOn w:val="314"/>
    <w:next w:val="1"/>
    <w:autoRedefine/>
    <w:qFormat/>
    <w:uiPriority w:val="0"/>
    <w:pPr>
      <w:tabs>
        <w:tab w:val="left" w:pos="360"/>
        <w:tab w:val="left" w:pos="825"/>
        <w:tab w:val="left" w:pos="903"/>
      </w:tabs>
      <w:outlineLvl w:val="4"/>
    </w:pPr>
  </w:style>
  <w:style w:type="paragraph" w:customStyle="1" w:styleId="314">
    <w:name w:val="二级条标题"/>
    <w:basedOn w:val="315"/>
    <w:next w:val="1"/>
    <w:autoRedefine/>
    <w:qFormat/>
    <w:uiPriority w:val="0"/>
    <w:pPr>
      <w:tabs>
        <w:tab w:val="left" w:pos="360"/>
        <w:tab w:val="left" w:pos="825"/>
        <w:tab w:val="left" w:pos="903"/>
      </w:tabs>
      <w:outlineLvl w:val="3"/>
    </w:pPr>
  </w:style>
  <w:style w:type="paragraph" w:customStyle="1" w:styleId="315">
    <w:name w:val="一级条标题"/>
    <w:basedOn w:val="316"/>
    <w:next w:val="1"/>
    <w:autoRedefine/>
    <w:qFormat/>
    <w:uiPriority w:val="0"/>
    <w:pPr>
      <w:tabs>
        <w:tab w:val="left" w:pos="360"/>
        <w:tab w:val="left" w:pos="825"/>
        <w:tab w:val="left" w:pos="903"/>
      </w:tabs>
      <w:spacing w:before="0" w:after="0"/>
      <w:ind w:left="0" w:firstLine="0"/>
      <w:outlineLvl w:val="2"/>
    </w:pPr>
  </w:style>
  <w:style w:type="paragraph" w:customStyle="1" w:styleId="316">
    <w:name w:val="章标题"/>
    <w:next w:val="1"/>
    <w:autoRedefine/>
    <w:qFormat/>
    <w:uiPriority w:val="0"/>
    <w:pPr>
      <w:tabs>
        <w:tab w:val="left" w:pos="825"/>
        <w:tab w:val="left" w:pos="903"/>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317">
    <w:name w:val="表格文字（241）"/>
    <w:basedOn w:val="1"/>
    <w:autoRedefine/>
    <w:qFormat/>
    <w:uiPriority w:val="0"/>
    <w:pPr>
      <w:autoSpaceDE w:val="0"/>
      <w:autoSpaceDN w:val="0"/>
      <w:adjustRightInd w:val="0"/>
      <w:jc w:val="center"/>
      <w:textAlignment w:val="baseline"/>
    </w:pPr>
    <w:rPr>
      <w:bCs/>
      <w:kern w:val="0"/>
      <w:sz w:val="21"/>
      <w:szCs w:val="21"/>
    </w:rPr>
  </w:style>
  <w:style w:type="paragraph" w:customStyle="1" w:styleId="318">
    <w:name w:val="Z正文"/>
    <w:basedOn w:val="20"/>
    <w:autoRedefine/>
    <w:qFormat/>
    <w:uiPriority w:val="0"/>
    <w:pPr>
      <w:widowControl/>
      <w:spacing w:line="360" w:lineRule="auto"/>
      <w:ind w:firstLine="200" w:firstLineChars="200"/>
    </w:pPr>
    <w:rPr>
      <w:kern w:val="0"/>
      <w:szCs w:val="20"/>
    </w:rPr>
  </w:style>
  <w:style w:type="paragraph" w:customStyle="1" w:styleId="319">
    <w:name w:val="样式 表格 32 + 首行缩进:  2 字符1"/>
    <w:basedOn w:val="307"/>
    <w:autoRedefine/>
    <w:qFormat/>
    <w:uiPriority w:val="0"/>
    <w:pPr>
      <w:spacing w:line="240" w:lineRule="auto"/>
    </w:pPr>
    <w:rPr>
      <w:rFonts w:cs="宋体"/>
      <w:sz w:val="21"/>
      <w:szCs w:val="21"/>
    </w:rPr>
  </w:style>
  <w:style w:type="paragraph" w:customStyle="1" w:styleId="320">
    <w:name w:val="123正文"/>
    <w:basedOn w:val="1"/>
    <w:autoRedefine/>
    <w:qFormat/>
    <w:uiPriority w:val="0"/>
    <w:pPr>
      <w:spacing w:line="360" w:lineRule="auto"/>
      <w:ind w:firstLine="200" w:firstLineChars="200"/>
    </w:pPr>
  </w:style>
  <w:style w:type="paragraph" w:customStyle="1" w:styleId="321">
    <w:name w:val="图"/>
    <w:basedOn w:val="1"/>
    <w:autoRedefine/>
    <w:qFormat/>
    <w:uiPriority w:val="0"/>
    <w:pPr>
      <w:adjustRightInd w:val="0"/>
      <w:jc w:val="center"/>
    </w:pPr>
    <w:rPr>
      <w:rFonts w:cs="宋体"/>
      <w:sz w:val="21"/>
      <w:szCs w:val="20"/>
    </w:rPr>
  </w:style>
  <w:style w:type="paragraph" w:customStyle="1" w:styleId="322">
    <w:name w:val="表正文"/>
    <w:basedOn w:val="1"/>
    <w:autoRedefine/>
    <w:qFormat/>
    <w:uiPriority w:val="0"/>
    <w:pPr>
      <w:jc w:val="center"/>
    </w:pPr>
    <w:rPr>
      <w:szCs w:val="21"/>
    </w:rPr>
  </w:style>
  <w:style w:type="paragraph" w:customStyle="1" w:styleId="323">
    <w:name w:val="xl63"/>
    <w:basedOn w:val="1"/>
    <w:autoRedefine/>
    <w:qFormat/>
    <w:uiPriority w:val="0"/>
    <w:pPr>
      <w:widowControl/>
      <w:spacing w:before="100" w:beforeAutospacing="1" w:after="100" w:afterAutospacing="1"/>
      <w:jc w:val="center"/>
    </w:pPr>
    <w:rPr>
      <w:rFonts w:ascii="宋体" w:hAnsi="宋体" w:cs="宋体"/>
      <w:kern w:val="0"/>
    </w:rPr>
  </w:style>
  <w:style w:type="paragraph" w:customStyle="1" w:styleId="324">
    <w:name w:val="标题3 Char Char Char Char"/>
    <w:basedOn w:val="1"/>
    <w:autoRedefine/>
    <w:qFormat/>
    <w:uiPriority w:val="0"/>
    <w:pPr>
      <w:spacing w:afterLines="50" w:line="560" w:lineRule="exact"/>
    </w:pPr>
    <w:rPr>
      <w:rFonts w:eastAsia="黑体"/>
      <w:sz w:val="30"/>
      <w:szCs w:val="30"/>
    </w:rPr>
  </w:style>
  <w:style w:type="paragraph" w:customStyle="1" w:styleId="325">
    <w:name w:val="表格标题1"/>
    <w:basedOn w:val="1"/>
    <w:autoRedefine/>
    <w:qFormat/>
    <w:uiPriority w:val="0"/>
    <w:pPr>
      <w:spacing w:line="480" w:lineRule="exact"/>
      <w:jc w:val="center"/>
    </w:pPr>
    <w:rPr>
      <w:rFonts w:eastAsia="黑体" w:cs="宋体"/>
      <w:szCs w:val="20"/>
    </w:rPr>
  </w:style>
  <w:style w:type="paragraph" w:customStyle="1" w:styleId="326">
    <w:name w:val="标题2"/>
    <w:basedOn w:val="3"/>
    <w:next w:val="4"/>
    <w:autoRedefine/>
    <w:qFormat/>
    <w:uiPriority w:val="0"/>
    <w:pPr>
      <w:numPr>
        <w:ilvl w:val="0"/>
        <w:numId w:val="0"/>
      </w:numPr>
      <w:spacing w:beforeLines="50" w:afterLines="50"/>
    </w:pPr>
    <w:rPr>
      <w:b w:val="0"/>
    </w:rPr>
  </w:style>
  <w:style w:type="paragraph" w:customStyle="1" w:styleId="327">
    <w:name w:val="正文3"/>
    <w:autoRedefine/>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328">
    <w:name w:val="1正文"/>
    <w:basedOn w:val="269"/>
    <w:autoRedefine/>
    <w:qFormat/>
    <w:uiPriority w:val="0"/>
    <w:rPr>
      <w:color w:val="002060"/>
    </w:rPr>
  </w:style>
  <w:style w:type="paragraph" w:customStyle="1" w:styleId="329">
    <w:name w:val="章"/>
    <w:basedOn w:val="1"/>
    <w:next w:val="13"/>
    <w:autoRedefine/>
    <w:qFormat/>
    <w:uiPriority w:val="0"/>
    <w:pPr>
      <w:spacing w:before="240" w:after="480" w:line="360" w:lineRule="auto"/>
      <w:ind w:firstLine="200" w:firstLineChars="200"/>
      <w:jc w:val="center"/>
      <w:outlineLvl w:val="0"/>
    </w:pPr>
    <w:rPr>
      <w:rFonts w:eastAsia="黑体"/>
      <w:b/>
      <w:sz w:val="32"/>
      <w:szCs w:val="20"/>
      <w:lang w:bidi="he-IL"/>
    </w:rPr>
  </w:style>
  <w:style w:type="paragraph" w:customStyle="1" w:styleId="330">
    <w:name w:val="样式 样式 宋体 小四 首行缩进:  0.75 厘米 行距: 固定值 22 磅 + 靛蓝 行距: 固定值 24 磅"/>
    <w:basedOn w:val="1"/>
    <w:autoRedefine/>
    <w:qFormat/>
    <w:uiPriority w:val="0"/>
    <w:pPr>
      <w:spacing w:line="440" w:lineRule="exact"/>
      <w:ind w:firstLine="200" w:firstLineChars="200"/>
    </w:pPr>
    <w:rPr>
      <w:rFonts w:ascii="宋体" w:hAnsi="宋体" w:cs="宋体"/>
      <w:color w:val="333399"/>
      <w:kern w:val="0"/>
      <w:szCs w:val="20"/>
    </w:rPr>
  </w:style>
  <w:style w:type="paragraph" w:customStyle="1" w:styleId="331">
    <w:name w:val="Char Char Char Char Char Char Char Char Char Char Char Char Char Char Char Char Char Char Char Char Char Char Char Char Char Char Char"/>
    <w:basedOn w:val="1"/>
    <w:autoRedefine/>
    <w:qFormat/>
    <w:uiPriority w:val="0"/>
    <w:rPr>
      <w:rFonts w:ascii="仿宋_GB2312" w:eastAsia="仿宋_GB2312"/>
      <w:b/>
      <w:sz w:val="32"/>
      <w:szCs w:val="32"/>
    </w:rPr>
  </w:style>
  <w:style w:type="paragraph" w:customStyle="1" w:styleId="332">
    <w:name w:val="彩色底纹 - 强调文字颜色 61"/>
    <w:basedOn w:val="2"/>
    <w:next w:val="1"/>
    <w:autoRedefine/>
    <w:qFormat/>
    <w:uiPriority w:val="39"/>
    <w:pPr>
      <w:widowControl/>
      <w:numPr>
        <w:ilvl w:val="0"/>
        <w:numId w:val="0"/>
      </w:numPr>
      <w:spacing w:before="480" w:line="276" w:lineRule="auto"/>
      <w:outlineLvl w:val="9"/>
    </w:pPr>
    <w:rPr>
      <w:rFonts w:ascii="Cambria" w:hAnsi="Cambria"/>
      <w:b w:val="0"/>
      <w:color w:val="365F91"/>
      <w:sz w:val="28"/>
      <w:szCs w:val="28"/>
    </w:rPr>
  </w:style>
  <w:style w:type="paragraph" w:customStyle="1" w:styleId="333">
    <w:name w:val="彩色列表1"/>
    <w:basedOn w:val="1"/>
    <w:autoRedefine/>
    <w:qFormat/>
    <w:uiPriority w:val="34"/>
    <w:pPr>
      <w:ind w:firstLine="420" w:firstLineChars="200"/>
    </w:pPr>
    <w:rPr>
      <w:rFonts w:ascii="Calibri" w:hAnsi="Calibri"/>
      <w:sz w:val="21"/>
      <w:szCs w:val="22"/>
    </w:rPr>
  </w:style>
  <w:style w:type="paragraph" w:customStyle="1" w:styleId="334">
    <w:name w:val="3标题"/>
    <w:basedOn w:val="4"/>
    <w:next w:val="5"/>
    <w:autoRedefine/>
    <w:qFormat/>
    <w:uiPriority w:val="0"/>
    <w:pPr>
      <w:numPr>
        <w:numId w:val="4"/>
      </w:numPr>
    </w:pPr>
    <w:rPr>
      <w:b w:val="0"/>
    </w:rPr>
  </w:style>
  <w:style w:type="paragraph" w:customStyle="1" w:styleId="335">
    <w:name w:val="环境影响报告书"/>
    <w:basedOn w:val="1"/>
    <w:autoRedefine/>
    <w:qFormat/>
    <w:uiPriority w:val="0"/>
    <w:pPr>
      <w:spacing w:before="200" w:after="200" w:line="360" w:lineRule="auto"/>
      <w:jc w:val="center"/>
    </w:pPr>
    <w:rPr>
      <w:rFonts w:eastAsia="黑体" w:cs="宋体"/>
      <w:b/>
      <w:bCs/>
      <w:spacing w:val="40"/>
      <w:sz w:val="84"/>
      <w:szCs w:val="20"/>
    </w:rPr>
  </w:style>
  <w:style w:type="paragraph" w:customStyle="1" w:styleId="336">
    <w:name w:val="样式 标题 2节标题 2 Char1标题 2 Char Char标题 2 Char第一层条H2Heading 2 ...3"/>
    <w:basedOn w:val="3"/>
    <w:autoRedefine/>
    <w:qFormat/>
    <w:uiPriority w:val="0"/>
    <w:pPr>
      <w:numPr>
        <w:ilvl w:val="0"/>
        <w:numId w:val="0"/>
      </w:numPr>
      <w:spacing w:before="120" w:after="120"/>
      <w:jc w:val="both"/>
      <w:outlineLvl w:val="2"/>
    </w:pPr>
    <w:rPr>
      <w:rFonts w:ascii="Arial" w:hAnsi="Arial" w:cs="宋体"/>
      <w:b w:val="0"/>
      <w:sz w:val="24"/>
      <w:szCs w:val="20"/>
    </w:rPr>
  </w:style>
  <w:style w:type="paragraph" w:customStyle="1" w:styleId="337">
    <w:name w:val="正文样式1"/>
    <w:basedOn w:val="1"/>
    <w:autoRedefine/>
    <w:qFormat/>
    <w:uiPriority w:val="0"/>
    <w:pPr>
      <w:adjustRightInd w:val="0"/>
      <w:spacing w:line="288" w:lineRule="auto"/>
      <w:ind w:firstLine="360" w:firstLineChars="150"/>
      <w:textAlignment w:val="baseline"/>
    </w:pPr>
    <w:rPr>
      <w:kern w:val="0"/>
      <w:szCs w:val="20"/>
    </w:rPr>
  </w:style>
  <w:style w:type="paragraph" w:customStyle="1" w:styleId="338">
    <w:name w:val="Char Char Char Char Char Char1 Char Char Char Char Char Char Char Char Char Char"/>
    <w:basedOn w:val="1"/>
    <w:autoRedefine/>
    <w:qFormat/>
    <w:uiPriority w:val="0"/>
    <w:pPr>
      <w:spacing w:line="360" w:lineRule="auto"/>
      <w:ind w:firstLine="200" w:firstLineChars="200"/>
    </w:pPr>
    <w:rPr>
      <w:sz w:val="21"/>
      <w:szCs w:val="20"/>
    </w:rPr>
  </w:style>
  <w:style w:type="paragraph" w:customStyle="1" w:styleId="339">
    <w:name w:val="样式 标题 4标题 4 Char Char Char Char Chara) Sub-paragraphMB4标题 4（..."/>
    <w:basedOn w:val="5"/>
    <w:autoRedefine/>
    <w:qFormat/>
    <w:uiPriority w:val="0"/>
    <w:rPr>
      <w:rFonts w:cs="宋体"/>
      <w:bCs w:val="0"/>
      <w:szCs w:val="20"/>
    </w:rPr>
  </w:style>
  <w:style w:type="paragraph" w:customStyle="1" w:styleId="340">
    <w:name w:val="样式 表头样式1 + 黑体 非加粗 行距: 最小值 22 磅"/>
    <w:basedOn w:val="302"/>
    <w:autoRedefine/>
    <w:qFormat/>
    <w:uiPriority w:val="0"/>
    <w:pPr>
      <w:spacing w:beforeLines="50" w:after="120" w:line="360" w:lineRule="auto"/>
    </w:pPr>
    <w:rPr>
      <w:rFonts w:ascii="宋体" w:hAnsi="宋体" w:eastAsia="宋体" w:cs="宋体"/>
      <w:bCs w:val="0"/>
      <w:szCs w:val="20"/>
    </w:rPr>
  </w:style>
  <w:style w:type="paragraph" w:customStyle="1" w:styleId="341">
    <w:name w:val="1"/>
    <w:basedOn w:val="1"/>
    <w:next w:val="29"/>
    <w:autoRedefine/>
    <w:qFormat/>
    <w:uiPriority w:val="0"/>
    <w:rPr>
      <w:rFonts w:ascii="宋体" w:hAnsi="Courier New"/>
      <w:sz w:val="21"/>
    </w:rPr>
  </w:style>
  <w:style w:type="paragraph" w:customStyle="1" w:styleId="342">
    <w:name w:val="关键词"/>
    <w:basedOn w:val="115"/>
    <w:autoRedefine/>
    <w:qFormat/>
    <w:uiPriority w:val="0"/>
    <w:pPr>
      <w:ind w:firstLine="0" w:firstLineChars="0"/>
      <w:jc w:val="left"/>
    </w:pPr>
    <w:rPr>
      <w:rFonts w:eastAsia="黑体"/>
    </w:rPr>
  </w:style>
  <w:style w:type="paragraph" w:customStyle="1" w:styleId="343">
    <w:name w:val="默认段落字体 Para Char"/>
    <w:basedOn w:val="1"/>
    <w:next w:val="1"/>
    <w:autoRedefine/>
    <w:qFormat/>
    <w:uiPriority w:val="0"/>
    <w:pPr>
      <w:pBdr>
        <w:right w:val="single" w:color="auto" w:sz="12" w:space="4"/>
      </w:pBdr>
      <w:spacing w:line="360" w:lineRule="auto"/>
      <w:ind w:firstLine="200" w:firstLineChars="200"/>
    </w:pPr>
    <w:rPr>
      <w:sz w:val="21"/>
      <w:szCs w:val="20"/>
    </w:rPr>
  </w:style>
  <w:style w:type="paragraph" w:customStyle="1" w:styleId="344">
    <w:name w:val="样式 标题 2 + (西文) Times New Roman (中文) 仿宋_GB2312"/>
    <w:basedOn w:val="3"/>
    <w:autoRedefine/>
    <w:qFormat/>
    <w:uiPriority w:val="0"/>
    <w:pPr>
      <w:numPr>
        <w:numId w:val="0"/>
      </w:numPr>
      <w:tabs>
        <w:tab w:val="left" w:pos="456"/>
      </w:tabs>
      <w:spacing w:line="520" w:lineRule="atLeast"/>
      <w:ind w:left="456"/>
      <w:jc w:val="both"/>
    </w:pPr>
    <w:rPr>
      <w:rFonts w:eastAsia="仿宋_GB2312"/>
      <w:bCs w:val="0"/>
    </w:rPr>
  </w:style>
  <w:style w:type="paragraph" w:customStyle="1" w:styleId="345">
    <w:name w:val="xl32"/>
    <w:basedOn w:val="1"/>
    <w:autoRedefine/>
    <w:qFormat/>
    <w:uiPriority w:val="0"/>
    <w:pPr>
      <w:widowControl/>
      <w:spacing w:before="100" w:beforeAutospacing="1" w:after="100" w:afterAutospacing="1"/>
      <w:jc w:val="center"/>
    </w:pPr>
    <w:rPr>
      <w:rFonts w:ascii="Arial Unicode MS" w:hAnsi="Arial Unicode MS" w:eastAsia="Arial Unicode MS" w:cs="Arial Unicode MS"/>
      <w:kern w:val="0"/>
      <w:sz w:val="20"/>
      <w:szCs w:val="20"/>
    </w:rPr>
  </w:style>
  <w:style w:type="paragraph" w:customStyle="1" w:styleId="346">
    <w:name w:val="xl64"/>
    <w:basedOn w:val="1"/>
    <w:autoRedefine/>
    <w:qFormat/>
    <w:uiPriority w:val="0"/>
    <w:pPr>
      <w:widowControl/>
      <w:shd w:val="clear" w:color="000000" w:fill="FFEB9C"/>
      <w:spacing w:before="100" w:beforeAutospacing="1" w:after="100" w:afterAutospacing="1"/>
      <w:jc w:val="center"/>
    </w:pPr>
    <w:rPr>
      <w:rFonts w:ascii="宋体" w:hAnsi="宋体" w:cs="宋体"/>
      <w:color w:val="9C6500"/>
      <w:kern w:val="0"/>
    </w:rPr>
  </w:style>
  <w:style w:type="paragraph" w:customStyle="1" w:styleId="347">
    <w:name w:val="2标题"/>
    <w:basedOn w:val="3"/>
    <w:autoRedefine/>
    <w:qFormat/>
    <w:uiPriority w:val="0"/>
    <w:pPr>
      <w:numPr>
        <w:numId w:val="5"/>
      </w:numPr>
    </w:pPr>
    <w:rPr>
      <w:b w:val="0"/>
    </w:rPr>
  </w:style>
  <w:style w:type="paragraph" w:customStyle="1" w:styleId="348">
    <w:name w:val="CM2"/>
    <w:basedOn w:val="23"/>
    <w:next w:val="23"/>
    <w:autoRedefine/>
    <w:qFormat/>
    <w:uiPriority w:val="99"/>
    <w:pPr>
      <w:spacing w:line="468" w:lineRule="atLeast"/>
    </w:pPr>
    <w:rPr>
      <w:rFonts w:ascii="宋体" w:eastAsia="宋体" w:cs="Times New Roman"/>
      <w:color w:val="auto"/>
    </w:rPr>
  </w:style>
  <w:style w:type="paragraph" w:customStyle="1" w:styleId="349">
    <w:name w:val="稿件"/>
    <w:basedOn w:val="1"/>
    <w:autoRedefine/>
    <w:qFormat/>
    <w:uiPriority w:val="0"/>
    <w:pPr>
      <w:spacing w:line="360" w:lineRule="auto"/>
      <w:jc w:val="center"/>
    </w:pPr>
    <w:rPr>
      <w:rFonts w:cs="宋体"/>
      <w:b/>
      <w:bCs/>
      <w:sz w:val="48"/>
      <w:szCs w:val="20"/>
    </w:rPr>
  </w:style>
  <w:style w:type="paragraph" w:customStyle="1" w:styleId="350">
    <w:name w:val="表格头"/>
    <w:autoRedefine/>
    <w:qFormat/>
    <w:uiPriority w:val="0"/>
    <w:pPr>
      <w:spacing w:line="360" w:lineRule="auto"/>
      <w:jc w:val="center"/>
    </w:pPr>
    <w:rPr>
      <w:rFonts w:ascii="Times New Roman" w:hAnsi="Times New Roman" w:eastAsia="宋体" w:cs="Times New Roman"/>
      <w:b/>
      <w:bCs/>
      <w:kern w:val="44"/>
      <w:position w:val="-28"/>
      <w:sz w:val="24"/>
      <w:szCs w:val="24"/>
      <w:lang w:val="en-US" w:eastAsia="zh-CN" w:bidi="ar-SA"/>
    </w:rPr>
  </w:style>
  <w:style w:type="paragraph" w:customStyle="1" w:styleId="351">
    <w:name w:val="样式 5文章(治) + 黑色"/>
    <w:basedOn w:val="142"/>
    <w:autoRedefine/>
    <w:qFormat/>
    <w:uiPriority w:val="99"/>
    <w:rPr>
      <w:color w:val="000000"/>
      <w:szCs w:val="24"/>
    </w:rPr>
  </w:style>
  <w:style w:type="paragraph" w:customStyle="1" w:styleId="352">
    <w:name w:val="表内容"/>
    <w:autoRedefine/>
    <w:qFormat/>
    <w:uiPriority w:val="0"/>
    <w:pPr>
      <w:widowControl w:val="0"/>
      <w:jc w:val="center"/>
    </w:pPr>
    <w:rPr>
      <w:rFonts w:ascii="Times New Roman" w:hAnsi="Times New Roman" w:eastAsia="宋体" w:cs="Times New Roman"/>
      <w:kern w:val="2"/>
      <w:sz w:val="21"/>
      <w:szCs w:val="21"/>
      <w:lang w:val="en-US" w:eastAsia="zh-CN" w:bidi="ar-SA"/>
    </w:rPr>
  </w:style>
  <w:style w:type="paragraph" w:customStyle="1" w:styleId="353">
    <w:name w:val="4标题"/>
    <w:basedOn w:val="5"/>
    <w:next w:val="157"/>
    <w:autoRedefine/>
    <w:qFormat/>
    <w:uiPriority w:val="0"/>
    <w:pPr>
      <w:numPr>
        <w:numId w:val="5"/>
      </w:numPr>
    </w:pPr>
  </w:style>
  <w:style w:type="paragraph" w:customStyle="1" w:styleId="354">
    <w:name w:val="标题一啊"/>
    <w:basedOn w:val="2"/>
    <w:autoRedefine/>
    <w:qFormat/>
    <w:uiPriority w:val="0"/>
    <w:pPr>
      <w:numPr>
        <w:numId w:val="0"/>
      </w:numPr>
      <w:spacing w:before="240" w:after="240"/>
      <w:jc w:val="both"/>
    </w:pPr>
    <w:rPr>
      <w:b w:val="0"/>
      <w:color w:val="000000"/>
      <w:kern w:val="44"/>
      <w:szCs w:val="32"/>
    </w:rPr>
  </w:style>
  <w:style w:type="paragraph" w:customStyle="1" w:styleId="355">
    <w:name w:val="封面时间"/>
    <w:basedOn w:val="1"/>
    <w:autoRedefine/>
    <w:qFormat/>
    <w:uiPriority w:val="0"/>
    <w:pPr>
      <w:spacing w:line="360" w:lineRule="auto"/>
      <w:jc w:val="center"/>
    </w:pPr>
    <w:rPr>
      <w:rFonts w:ascii="宋体" w:hAnsi="宋体" w:cs="宋体"/>
      <w:b/>
      <w:bCs/>
      <w:sz w:val="32"/>
      <w:szCs w:val="20"/>
    </w:rPr>
  </w:style>
  <w:style w:type="paragraph" w:customStyle="1" w:styleId="356">
    <w:name w:val="居中正文"/>
    <w:basedOn w:val="49"/>
    <w:autoRedefine/>
    <w:qFormat/>
    <w:uiPriority w:val="0"/>
    <w:pPr>
      <w:adjustRightInd w:val="0"/>
      <w:spacing w:before="120" w:after="0" w:line="360" w:lineRule="auto"/>
      <w:ind w:firstLine="0" w:firstLineChars="0"/>
      <w:jc w:val="center"/>
      <w:textAlignment w:val="baseline"/>
    </w:pPr>
    <w:rPr>
      <w:rFonts w:ascii="宋体"/>
      <w:kern w:val="28"/>
      <w:szCs w:val="20"/>
    </w:rPr>
  </w:style>
  <w:style w:type="paragraph" w:customStyle="1" w:styleId="357">
    <w:name w:val="Char Char Char Char Char Char Char"/>
    <w:basedOn w:val="1"/>
    <w:autoRedefine/>
    <w:semiHidden/>
    <w:qFormat/>
    <w:uiPriority w:val="0"/>
    <w:pPr>
      <w:adjustRightInd w:val="0"/>
      <w:spacing w:line="360" w:lineRule="auto"/>
    </w:pPr>
    <w:rPr>
      <w:kern w:val="0"/>
      <w:szCs w:val="20"/>
    </w:rPr>
  </w:style>
  <w:style w:type="paragraph" w:customStyle="1" w:styleId="358">
    <w:name w:val="表格五号"/>
    <w:basedOn w:val="1"/>
    <w:autoRedefine/>
    <w:qFormat/>
    <w:uiPriority w:val="0"/>
    <w:pPr>
      <w:tabs>
        <w:tab w:val="right" w:pos="8814"/>
      </w:tabs>
      <w:suppressAutoHyphens/>
      <w:snapToGrid w:val="0"/>
      <w:jc w:val="center"/>
    </w:pPr>
    <w:rPr>
      <w:color w:val="000000"/>
      <w:kern w:val="0"/>
      <w:sz w:val="21"/>
      <w:szCs w:val="21"/>
    </w:rPr>
  </w:style>
  <w:style w:type="paragraph" w:customStyle="1" w:styleId="359">
    <w:name w:val="Char1"/>
    <w:basedOn w:val="1"/>
    <w:autoRedefine/>
    <w:qFormat/>
    <w:uiPriority w:val="0"/>
    <w:rPr>
      <w:rFonts w:ascii="宋体" w:hAnsi="宋体" w:cs="宋体"/>
    </w:rPr>
  </w:style>
  <w:style w:type="paragraph" w:customStyle="1" w:styleId="360">
    <w:name w:val="君邦正文"/>
    <w:autoRedefine/>
    <w:qFormat/>
    <w:uiPriority w:val="0"/>
    <w:pPr>
      <w:spacing w:after="60" w:line="360" w:lineRule="auto"/>
      <w:ind w:firstLine="480" w:firstLineChars="200"/>
      <w:jc w:val="both"/>
    </w:pPr>
    <w:rPr>
      <w:rFonts w:ascii="Times New Roman" w:hAnsi="Times New Roman" w:eastAsia="宋体" w:cs="Times New Roman"/>
      <w:sz w:val="24"/>
      <w:szCs w:val="24"/>
      <w:lang w:val="en-US" w:eastAsia="zh-CN" w:bidi="ar-SA"/>
    </w:rPr>
  </w:style>
  <w:style w:type="paragraph" w:customStyle="1" w:styleId="361">
    <w:name w:val="封面单位名称"/>
    <w:basedOn w:val="1"/>
    <w:autoRedefine/>
    <w:qFormat/>
    <w:uiPriority w:val="0"/>
    <w:pPr>
      <w:jc w:val="center"/>
    </w:pPr>
    <w:rPr>
      <w:rFonts w:cs="宋体"/>
      <w:b/>
      <w:bCs/>
      <w:sz w:val="32"/>
      <w:szCs w:val="20"/>
    </w:rPr>
  </w:style>
  <w:style w:type="paragraph" w:customStyle="1" w:styleId="362">
    <w:name w:val="样式8"/>
    <w:basedOn w:val="6"/>
    <w:autoRedefine/>
    <w:qFormat/>
    <w:uiPriority w:val="0"/>
    <w:pPr>
      <w:widowControl/>
      <w:numPr>
        <w:ilvl w:val="0"/>
        <w:numId w:val="0"/>
      </w:numPr>
      <w:tabs>
        <w:tab w:val="left" w:pos="576"/>
        <w:tab w:val="left" w:pos="4320"/>
        <w:tab w:val="clear" w:pos="1008"/>
      </w:tabs>
      <w:spacing w:beforeLines="50" w:line="240" w:lineRule="auto"/>
      <w:ind w:left="576" w:hanging="1008"/>
      <w:jc w:val="left"/>
    </w:pPr>
    <w:rPr>
      <w:rFonts w:ascii="Plotter" w:hAnsi="Plotter"/>
      <w:b/>
      <w:bCs w:val="0"/>
      <w:kern w:val="0"/>
      <w:sz w:val="20"/>
      <w:szCs w:val="20"/>
    </w:rPr>
  </w:style>
  <w:style w:type="paragraph" w:customStyle="1" w:styleId="363">
    <w:name w:val="0表格"/>
    <w:basedOn w:val="1"/>
    <w:autoRedefine/>
    <w:qFormat/>
    <w:uiPriority w:val="0"/>
    <w:pPr>
      <w:jc w:val="center"/>
    </w:pPr>
    <w:rPr>
      <w:sz w:val="21"/>
      <w:szCs w:val="21"/>
    </w:rPr>
  </w:style>
  <w:style w:type="paragraph" w:customStyle="1" w:styleId="364">
    <w:name w:val="样式1.1.1"/>
    <w:basedOn w:val="1"/>
    <w:autoRedefine/>
    <w:qFormat/>
    <w:uiPriority w:val="0"/>
    <w:pPr>
      <w:spacing w:line="460" w:lineRule="atLeast"/>
    </w:pPr>
    <w:rPr>
      <w:bCs/>
      <w:szCs w:val="21"/>
    </w:rPr>
  </w:style>
  <w:style w:type="paragraph" w:customStyle="1" w:styleId="365">
    <w:name w:val="列表段落1"/>
    <w:basedOn w:val="1"/>
    <w:autoRedefine/>
    <w:qFormat/>
    <w:uiPriority w:val="0"/>
    <w:pPr>
      <w:ind w:firstLine="420" w:firstLineChars="200"/>
    </w:pPr>
    <w:rPr>
      <w:rFonts w:ascii="Calibri" w:hAnsi="Calibri"/>
      <w:sz w:val="21"/>
      <w:szCs w:val="22"/>
    </w:rPr>
  </w:style>
  <w:style w:type="paragraph" w:customStyle="1" w:styleId="366">
    <w:name w:val="样式 标题 3标题 3 Char Char Char Char Char条标题1.1.1h33rd levelH3l...1"/>
    <w:basedOn w:val="4"/>
    <w:autoRedefine/>
    <w:qFormat/>
    <w:uiPriority w:val="0"/>
    <w:pPr>
      <w:jc w:val="both"/>
    </w:pPr>
    <w:rPr>
      <w:rFonts w:cs="宋体"/>
      <w:szCs w:val="20"/>
    </w:rPr>
  </w:style>
  <w:style w:type="paragraph" w:customStyle="1" w:styleId="367">
    <w:name w:val="报告书正文 Char Char Char"/>
    <w:basedOn w:val="1"/>
    <w:autoRedefine/>
    <w:qFormat/>
    <w:uiPriority w:val="0"/>
    <w:pPr>
      <w:spacing w:line="300" w:lineRule="auto"/>
      <w:ind w:firstLine="480" w:firstLineChars="200"/>
    </w:pPr>
    <w:rPr>
      <w:rFonts w:ascii="宋体" w:hAnsi="宋体" w:cs="宋体"/>
    </w:rPr>
  </w:style>
  <w:style w:type="paragraph" w:customStyle="1" w:styleId="368">
    <w:name w:val="xl24"/>
    <w:basedOn w:val="1"/>
    <w:autoRedefine/>
    <w:qFormat/>
    <w:uiPriority w:val="0"/>
    <w:pPr>
      <w:widowControl/>
      <w:spacing w:before="100" w:beforeAutospacing="1" w:after="100" w:afterAutospacing="1"/>
      <w:jc w:val="center"/>
    </w:pPr>
    <w:rPr>
      <w:rFonts w:ascii="宋体" w:hAnsi="宋体"/>
      <w:kern w:val="0"/>
    </w:rPr>
  </w:style>
  <w:style w:type="paragraph" w:customStyle="1" w:styleId="369">
    <w:name w:val="Char3"/>
    <w:basedOn w:val="3"/>
    <w:autoRedefine/>
    <w:qFormat/>
    <w:uiPriority w:val="0"/>
    <w:pPr>
      <w:numPr>
        <w:ilvl w:val="0"/>
        <w:numId w:val="0"/>
      </w:numPr>
      <w:spacing w:beforeLines="50" w:afterLines="50"/>
      <w:jc w:val="both"/>
    </w:pPr>
    <w:rPr>
      <w:b w:val="0"/>
      <w:szCs w:val="30"/>
    </w:rPr>
  </w:style>
  <w:style w:type="paragraph" w:customStyle="1" w:styleId="370">
    <w:name w:val="2"/>
    <w:basedOn w:val="1"/>
    <w:autoRedefine/>
    <w:qFormat/>
    <w:uiPriority w:val="0"/>
    <w:pPr>
      <w:tabs>
        <w:tab w:val="left" w:pos="360"/>
      </w:tabs>
    </w:pPr>
    <w:rPr>
      <w:sz w:val="21"/>
    </w:rPr>
  </w:style>
  <w:style w:type="paragraph" w:customStyle="1" w:styleId="371">
    <w:name w:val="xl3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olor w:val="0000FF"/>
      <w:kern w:val="0"/>
      <w:sz w:val="18"/>
      <w:szCs w:val="18"/>
    </w:rPr>
  </w:style>
  <w:style w:type="paragraph" w:customStyle="1" w:styleId="372">
    <w:name w:val="1标题"/>
    <w:basedOn w:val="2"/>
    <w:next w:val="3"/>
    <w:autoRedefine/>
    <w:qFormat/>
    <w:uiPriority w:val="0"/>
    <w:pPr>
      <w:numPr>
        <w:numId w:val="6"/>
      </w:numPr>
    </w:pPr>
    <w:rPr>
      <w:b w:val="0"/>
    </w:rPr>
  </w:style>
  <w:style w:type="paragraph" w:customStyle="1" w:styleId="373">
    <w:name w:val="WPSOffice手动目录 1"/>
    <w:autoRedefine/>
    <w:qFormat/>
    <w:uiPriority w:val="0"/>
    <w:rPr>
      <w:rFonts w:ascii="Times New Roman" w:hAnsi="Times New Roman" w:eastAsia="宋体" w:cs="Times New Roman"/>
      <w:lang w:val="en-US" w:eastAsia="zh-CN" w:bidi="ar-SA"/>
    </w:rPr>
  </w:style>
  <w:style w:type="paragraph" w:customStyle="1" w:styleId="374">
    <w:name w:val="表格内文字+六号"/>
    <w:basedOn w:val="1"/>
    <w:autoRedefine/>
    <w:qFormat/>
    <w:uiPriority w:val="0"/>
    <w:pPr>
      <w:tabs>
        <w:tab w:val="left" w:pos="1980"/>
        <w:tab w:val="left" w:pos="3825"/>
        <w:tab w:val="left" w:pos="4680"/>
      </w:tabs>
      <w:jc w:val="center"/>
    </w:pPr>
    <w:rPr>
      <w:rFonts w:cs="宋体"/>
      <w:color w:val="000000"/>
      <w:kern w:val="0"/>
      <w:sz w:val="15"/>
    </w:rPr>
  </w:style>
  <w:style w:type="paragraph" w:customStyle="1" w:styleId="375">
    <w:name w:val="ni正文"/>
    <w:basedOn w:val="1"/>
    <w:autoRedefine/>
    <w:qFormat/>
    <w:uiPriority w:val="0"/>
    <w:pPr>
      <w:widowControl/>
      <w:autoSpaceDE w:val="0"/>
      <w:autoSpaceDN w:val="0"/>
      <w:adjustRightInd w:val="0"/>
      <w:snapToGrid w:val="0"/>
      <w:spacing w:line="360" w:lineRule="auto"/>
      <w:ind w:firstLine="560" w:firstLineChars="200"/>
      <w:jc w:val="left"/>
      <w:textAlignment w:val="baseline"/>
    </w:pPr>
    <w:rPr>
      <w:rFonts w:ascii="宋体" w:hAnsi="宋体" w:eastAsia="仿宋_GB2312" w:cs="宋体"/>
      <w:kern w:val="0"/>
      <w:sz w:val="28"/>
      <w:szCs w:val="20"/>
      <w:lang w:bidi="he-IL"/>
    </w:rPr>
  </w:style>
  <w:style w:type="paragraph" w:customStyle="1" w:styleId="376">
    <w:name w:val="样式 样式 表头样式1 + 黑体 非加粗 行距: 最小值 22 磅 + 段前: 0.5 行1"/>
    <w:basedOn w:val="340"/>
    <w:autoRedefine/>
    <w:qFormat/>
    <w:uiPriority w:val="0"/>
    <w:pPr>
      <w:spacing w:before="50"/>
    </w:pPr>
    <w:rPr>
      <w:bCs/>
    </w:rPr>
  </w:style>
  <w:style w:type="paragraph" w:customStyle="1" w:styleId="377">
    <w:name w:val="五级条标题"/>
    <w:basedOn w:val="312"/>
    <w:next w:val="1"/>
    <w:autoRedefine/>
    <w:qFormat/>
    <w:uiPriority w:val="0"/>
    <w:pPr>
      <w:outlineLvl w:val="6"/>
    </w:pPr>
  </w:style>
  <w:style w:type="paragraph" w:customStyle="1" w:styleId="378">
    <w:name w:val="标准正文"/>
    <w:basedOn w:val="1"/>
    <w:autoRedefine/>
    <w:qFormat/>
    <w:uiPriority w:val="0"/>
    <w:pPr>
      <w:spacing w:line="360" w:lineRule="auto"/>
      <w:ind w:firstLine="480" w:firstLineChars="200"/>
    </w:pPr>
    <w:rPr>
      <w:szCs w:val="20"/>
    </w:rPr>
  </w:style>
  <w:style w:type="paragraph" w:customStyle="1" w:styleId="379">
    <w:name w:val="图标"/>
    <w:basedOn w:val="1"/>
    <w:autoRedefine/>
    <w:qFormat/>
    <w:uiPriority w:val="0"/>
    <w:pPr>
      <w:tabs>
        <w:tab w:val="left" w:pos="1920"/>
      </w:tabs>
      <w:spacing w:line="400" w:lineRule="atLeast"/>
      <w:jc w:val="center"/>
    </w:pPr>
    <w:rPr>
      <w:bCs/>
      <w:color w:val="000000"/>
      <w:szCs w:val="21"/>
    </w:rPr>
  </w:style>
  <w:style w:type="paragraph" w:customStyle="1" w:styleId="380">
    <w:name w:val="样式 报告正文 + 首行缩进:  2 字符"/>
    <w:basedOn w:val="1"/>
    <w:autoRedefine/>
    <w:qFormat/>
    <w:uiPriority w:val="0"/>
    <w:pPr>
      <w:widowControl/>
      <w:adjustRightInd w:val="0"/>
      <w:snapToGrid w:val="0"/>
      <w:spacing w:line="360" w:lineRule="auto"/>
      <w:ind w:firstLine="480" w:firstLineChars="200"/>
      <w:jc w:val="left"/>
    </w:pPr>
    <w:rPr>
      <w:rFonts w:ascii="宋体" w:hAnsi="宋体" w:cs="宋体"/>
      <w:kern w:val="0"/>
      <w:szCs w:val="20"/>
    </w:rPr>
  </w:style>
  <w:style w:type="paragraph" w:customStyle="1" w:styleId="381">
    <w:name w:val="样式 [正文格式] + 首行缩进:  2 字符"/>
    <w:basedOn w:val="1"/>
    <w:autoRedefine/>
    <w:qFormat/>
    <w:uiPriority w:val="0"/>
    <w:pPr>
      <w:spacing w:line="360" w:lineRule="auto"/>
      <w:ind w:firstLine="200" w:firstLineChars="200"/>
    </w:pPr>
    <w:rPr>
      <w:rFonts w:cs="宋体"/>
      <w:szCs w:val="20"/>
    </w:rPr>
  </w:style>
  <w:style w:type="paragraph" w:customStyle="1" w:styleId="382">
    <w:name w:val="正文 New New New"/>
    <w:autoRedefine/>
    <w:qFormat/>
    <w:uiPriority w:val="0"/>
    <w:pPr>
      <w:widowControl w:val="0"/>
      <w:jc w:val="both"/>
    </w:pPr>
    <w:rPr>
      <w:rFonts w:hint="eastAsia" w:ascii="Times New Roman" w:hAnsi="Times New Roman" w:eastAsia="宋体" w:cs="Times New Roman"/>
      <w:kern w:val="2"/>
      <w:sz w:val="28"/>
      <w:lang w:val="en-US" w:eastAsia="zh-CN" w:bidi="ar-SA"/>
    </w:rPr>
  </w:style>
  <w:style w:type="paragraph" w:customStyle="1" w:styleId="383">
    <w:name w:val="默认段落字体 Para Char Char Char Char"/>
    <w:basedOn w:val="1"/>
    <w:autoRedefine/>
    <w:qFormat/>
    <w:uiPriority w:val="0"/>
  </w:style>
  <w:style w:type="paragraph" w:customStyle="1" w:styleId="384">
    <w:name w:val="xl36"/>
    <w:basedOn w:val="1"/>
    <w:autoRedefine/>
    <w:qFormat/>
    <w:uiPriority w:val="0"/>
    <w:pPr>
      <w:widowControl/>
      <w:pBdr>
        <w:left w:val="single" w:color="auto" w:sz="8" w:space="0"/>
        <w:bottom w:val="single" w:color="auto" w:sz="4" w:space="0"/>
        <w:right w:val="single" w:color="auto" w:sz="4" w:space="0"/>
      </w:pBdr>
      <w:spacing w:before="100" w:after="100"/>
      <w:jc w:val="center"/>
    </w:pPr>
    <w:rPr>
      <w:rFonts w:ascii="宋体" w:hAnsi="宋体"/>
      <w:kern w:val="0"/>
      <w:szCs w:val="20"/>
    </w:rPr>
  </w:style>
  <w:style w:type="paragraph" w:customStyle="1" w:styleId="385">
    <w:name w:val="题注 New"/>
    <w:basedOn w:val="288"/>
    <w:next w:val="288"/>
    <w:autoRedefine/>
    <w:qFormat/>
    <w:uiPriority w:val="0"/>
    <w:rPr>
      <w:rFonts w:ascii="Arial" w:hAnsi="Arial" w:eastAsia="黑体" w:cs="Arial"/>
    </w:rPr>
  </w:style>
  <w:style w:type="paragraph" w:customStyle="1" w:styleId="386">
    <w:name w:val="表格内容CCW"/>
    <w:basedOn w:val="1"/>
    <w:autoRedefine/>
    <w:qFormat/>
    <w:uiPriority w:val="0"/>
    <w:pPr>
      <w:jc w:val="center"/>
    </w:pPr>
    <w:rPr>
      <w:sz w:val="18"/>
    </w:rPr>
  </w:style>
  <w:style w:type="paragraph" w:customStyle="1" w:styleId="387">
    <w:name w:val="T正文"/>
    <w:autoRedefine/>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paragraph" w:customStyle="1" w:styleId="388">
    <w:name w:val="正文缩2"/>
    <w:basedOn w:val="1"/>
    <w:autoRedefine/>
    <w:qFormat/>
    <w:uiPriority w:val="0"/>
    <w:pPr>
      <w:ind w:firstLine="200" w:firstLineChars="200"/>
    </w:pPr>
    <w:rPr>
      <w:sz w:val="28"/>
    </w:rPr>
  </w:style>
  <w:style w:type="paragraph" w:customStyle="1" w:styleId="389">
    <w:name w:val="正文 + 宋体"/>
    <w:basedOn w:val="1"/>
    <w:autoRedefine/>
    <w:qFormat/>
    <w:uiPriority w:val="0"/>
    <w:pPr>
      <w:snapToGrid w:val="0"/>
      <w:spacing w:line="400" w:lineRule="exact"/>
      <w:ind w:firstLine="480" w:firstLineChars="200"/>
    </w:pPr>
    <w:rPr>
      <w:rFonts w:ascii="宋体" w:hAnsi="宋体"/>
      <w:color w:val="000000"/>
    </w:rPr>
  </w:style>
  <w:style w:type="paragraph" w:customStyle="1" w:styleId="390">
    <w:name w:val="ga"/>
    <w:basedOn w:val="1"/>
    <w:autoRedefine/>
    <w:qFormat/>
    <w:uiPriority w:val="0"/>
    <w:pPr>
      <w:widowControl/>
      <w:spacing w:before="100" w:beforeAutospacing="1" w:after="100" w:afterAutospacing="1" w:line="300" w:lineRule="atLeast"/>
      <w:jc w:val="left"/>
    </w:pPr>
    <w:rPr>
      <w:rFonts w:eastAsia="Arial Unicode MS"/>
      <w:color w:val="999999"/>
      <w:kern w:val="0"/>
      <w:sz w:val="18"/>
      <w:szCs w:val="18"/>
    </w:rPr>
  </w:style>
  <w:style w:type="paragraph" w:customStyle="1" w:styleId="391">
    <w:name w:val="封面字体"/>
    <w:basedOn w:val="1"/>
    <w:autoRedefine/>
    <w:qFormat/>
    <w:uiPriority w:val="0"/>
    <w:pPr>
      <w:widowControl/>
      <w:jc w:val="center"/>
    </w:pPr>
    <w:rPr>
      <w:rFonts w:hint="eastAsia"/>
      <w:color w:val="000000"/>
      <w:sz w:val="28"/>
      <w:szCs w:val="20"/>
    </w:rPr>
  </w:style>
  <w:style w:type="paragraph" w:customStyle="1" w:styleId="392">
    <w:name w:val="样式 题注题注 Char + (西文) Times New Roman (中文) 宋体 四号 居中 段前: 0 磅 ..."/>
    <w:basedOn w:val="15"/>
    <w:autoRedefine/>
    <w:qFormat/>
    <w:uiPriority w:val="0"/>
    <w:pPr>
      <w:widowControl/>
      <w:spacing w:line="360" w:lineRule="auto"/>
      <w:jc w:val="center"/>
    </w:pPr>
    <w:rPr>
      <w:rFonts w:ascii="Times New Roman" w:hAnsi="Times New Roman" w:eastAsia="宋体" w:cs="宋体"/>
      <w:kern w:val="0"/>
      <w:sz w:val="24"/>
      <w:szCs w:val="20"/>
    </w:rPr>
  </w:style>
  <w:style w:type="paragraph" w:customStyle="1" w:styleId="393">
    <w:name w:val="SEK level 1"/>
    <w:basedOn w:val="1"/>
    <w:next w:val="1"/>
    <w:autoRedefine/>
    <w:semiHidden/>
    <w:qFormat/>
    <w:uiPriority w:val="0"/>
    <w:pPr>
      <w:keepNext/>
      <w:widowControl/>
      <w:tabs>
        <w:tab w:val="left" w:pos="1080"/>
      </w:tabs>
      <w:spacing w:before="380" w:line="360" w:lineRule="auto"/>
      <w:ind w:left="1080" w:hanging="1080" w:firstLineChars="200"/>
      <w:jc w:val="left"/>
      <w:outlineLvl w:val="0"/>
    </w:pPr>
    <w:rPr>
      <w:rFonts w:ascii="Arial" w:hAnsi="Arial" w:eastAsia="PMingLiU"/>
      <w:b/>
      <w:caps/>
      <w:kern w:val="0"/>
      <w:szCs w:val="20"/>
      <w:lang w:val="en-GB" w:eastAsia="zh-TW"/>
    </w:rPr>
  </w:style>
  <w:style w:type="paragraph" w:customStyle="1" w:styleId="394">
    <w:name w:val="lily 标题1"/>
    <w:basedOn w:val="2"/>
    <w:autoRedefine/>
    <w:qFormat/>
    <w:uiPriority w:val="0"/>
    <w:pPr>
      <w:numPr>
        <w:numId w:val="0"/>
      </w:numPr>
      <w:tabs>
        <w:tab w:val="left" w:pos="720"/>
      </w:tabs>
      <w:spacing w:before="300" w:after="300"/>
      <w:ind w:left="720" w:hanging="360"/>
      <w:jc w:val="both"/>
    </w:pPr>
    <w:rPr>
      <w:b w:val="0"/>
      <w:kern w:val="44"/>
      <w:sz w:val="32"/>
      <w:szCs w:val="32"/>
    </w:rPr>
  </w:style>
  <w:style w:type="paragraph" w:customStyle="1" w:styleId="395">
    <w:name w:val="表格内容2"/>
    <w:basedOn w:val="189"/>
    <w:autoRedefine/>
    <w:qFormat/>
    <w:uiPriority w:val="0"/>
    <w:pPr>
      <w:spacing w:beforeLines="10" w:afterLines="10" w:line="240" w:lineRule="auto"/>
    </w:pPr>
    <w:rPr>
      <w:snapToGrid w:val="0"/>
      <w:kern w:val="0"/>
    </w:rPr>
  </w:style>
  <w:style w:type="paragraph" w:customStyle="1" w:styleId="396">
    <w:name w:val="xl66"/>
    <w:basedOn w:val="1"/>
    <w:autoRedefine/>
    <w:qFormat/>
    <w:uiPriority w:val="0"/>
    <w:pPr>
      <w:widowControl/>
      <w:shd w:val="clear" w:color="000000" w:fill="C6EFCE"/>
      <w:spacing w:before="100" w:beforeAutospacing="1" w:after="100" w:afterAutospacing="1"/>
      <w:jc w:val="center"/>
    </w:pPr>
    <w:rPr>
      <w:rFonts w:ascii="宋体" w:hAnsi="宋体" w:cs="宋体"/>
      <w:color w:val="006100"/>
      <w:kern w:val="0"/>
    </w:rPr>
  </w:style>
  <w:style w:type="paragraph" w:customStyle="1" w:styleId="397">
    <w:name w:val="lily 标题 3"/>
    <w:basedOn w:val="4"/>
    <w:autoRedefine/>
    <w:qFormat/>
    <w:uiPriority w:val="0"/>
    <w:pPr>
      <w:numPr>
        <w:numId w:val="0"/>
      </w:numPr>
      <w:tabs>
        <w:tab w:val="left" w:pos="1080"/>
      </w:tabs>
      <w:spacing w:before="120" w:after="120"/>
      <w:ind w:left="720" w:hanging="720"/>
    </w:pPr>
    <w:rPr>
      <w:rFonts w:ascii="黑体"/>
      <w:kern w:val="0"/>
      <w:sz w:val="28"/>
      <w:szCs w:val="28"/>
    </w:rPr>
  </w:style>
  <w:style w:type="paragraph" w:customStyle="1" w:styleId="398">
    <w:name w:val="zhang正文 Char"/>
    <w:basedOn w:val="21"/>
    <w:autoRedefine/>
    <w:qFormat/>
    <w:uiPriority w:val="0"/>
    <w:pPr>
      <w:autoSpaceDE w:val="0"/>
      <w:autoSpaceDN w:val="0"/>
      <w:adjustRightInd w:val="0"/>
      <w:snapToGrid w:val="0"/>
      <w:spacing w:after="0" w:line="500" w:lineRule="exact"/>
      <w:ind w:left="0" w:leftChars="0" w:firstLine="539"/>
      <w:textAlignment w:val="baseline"/>
    </w:pPr>
    <w:rPr>
      <w:rFonts w:eastAsia="楷体_GB2312"/>
      <w:kern w:val="0"/>
      <w:sz w:val="28"/>
      <w:szCs w:val="20"/>
    </w:rPr>
  </w:style>
  <w:style w:type="paragraph" w:customStyle="1" w:styleId="399">
    <w:name w:val="公参形式"/>
    <w:basedOn w:val="189"/>
    <w:autoRedefine/>
    <w:qFormat/>
    <w:uiPriority w:val="0"/>
    <w:pPr>
      <w:jc w:val="both"/>
    </w:pPr>
    <w:rPr>
      <w:iCs w:val="0"/>
      <w:szCs w:val="20"/>
    </w:rPr>
  </w:style>
  <w:style w:type="paragraph" w:customStyle="1" w:styleId="400">
    <w:name w:val="公式"/>
    <w:basedOn w:val="1"/>
    <w:autoRedefine/>
    <w:qFormat/>
    <w:uiPriority w:val="0"/>
    <w:pPr>
      <w:jc w:val="center"/>
    </w:pPr>
    <w:rPr>
      <w:rFonts w:cs="宋体"/>
      <w:szCs w:val="20"/>
    </w:rPr>
  </w:style>
  <w:style w:type="paragraph" w:customStyle="1" w:styleId="401">
    <w:name w:val="样式 标题 1一、 + (中文) 黑体 小二 居中 段前: 15 磅 段后: 15 磅 行距: 固定值 26 磅"/>
    <w:basedOn w:val="2"/>
    <w:autoRedefine/>
    <w:qFormat/>
    <w:uiPriority w:val="0"/>
    <w:pPr>
      <w:numPr>
        <w:numId w:val="0"/>
      </w:numPr>
      <w:spacing w:before="120" w:after="120"/>
    </w:pPr>
    <w:rPr>
      <w:rFonts w:cs="宋体"/>
      <w:b w:val="0"/>
      <w:kern w:val="44"/>
      <w:szCs w:val="20"/>
    </w:rPr>
  </w:style>
  <w:style w:type="paragraph" w:customStyle="1" w:styleId="402">
    <w:name w:val="5段落"/>
    <w:basedOn w:val="1"/>
    <w:autoRedefine/>
    <w:qFormat/>
    <w:uiPriority w:val="0"/>
    <w:pPr>
      <w:spacing w:line="360" w:lineRule="auto"/>
      <w:ind w:firstLine="200" w:firstLineChars="200"/>
    </w:pPr>
    <w:rPr>
      <w:szCs w:val="28"/>
    </w:rPr>
  </w:style>
  <w:style w:type="paragraph" w:customStyle="1" w:styleId="403">
    <w:name w:val="参文献正文"/>
    <w:basedOn w:val="1"/>
    <w:autoRedefine/>
    <w:qFormat/>
    <w:uiPriority w:val="0"/>
    <w:pPr>
      <w:spacing w:before="60" w:line="340" w:lineRule="exact"/>
    </w:pPr>
    <w:rPr>
      <w:rFonts w:cs="宋体"/>
      <w:sz w:val="21"/>
      <w:szCs w:val="21"/>
    </w:rPr>
  </w:style>
  <w:style w:type="paragraph" w:customStyle="1" w:styleId="404">
    <w:name w:val="二次公示"/>
    <w:basedOn w:val="321"/>
    <w:autoRedefine/>
    <w:qFormat/>
    <w:uiPriority w:val="0"/>
    <w:pPr>
      <w:spacing w:line="360" w:lineRule="auto"/>
    </w:pPr>
  </w:style>
  <w:style w:type="paragraph" w:customStyle="1" w:styleId="405">
    <w:name w:val="font5"/>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406">
    <w:name w:val="样式 标题 2节标题 1.11.1标题2b2节H2h2第一层条节标题标题 2（修改）二级 标题 21 Ch..."/>
    <w:basedOn w:val="3"/>
    <w:autoRedefine/>
    <w:qFormat/>
    <w:uiPriority w:val="0"/>
    <w:pPr>
      <w:jc w:val="both"/>
    </w:pPr>
    <w:rPr>
      <w:rFonts w:cs="宋体"/>
      <w:szCs w:val="20"/>
    </w:rPr>
  </w:style>
  <w:style w:type="paragraph" w:customStyle="1" w:styleId="407">
    <w:name w:val="lin正文"/>
    <w:basedOn w:val="20"/>
    <w:autoRedefine/>
    <w:qFormat/>
    <w:uiPriority w:val="0"/>
    <w:pPr>
      <w:spacing w:after="0" w:line="360" w:lineRule="auto"/>
      <w:ind w:firstLine="200" w:firstLineChars="200"/>
      <w:jc w:val="left"/>
    </w:pPr>
    <w:rPr>
      <w:rFonts w:cs="Courier New"/>
      <w:color w:val="000000"/>
      <w:kern w:val="0"/>
      <w:lang w:val="zh-TW"/>
    </w:rPr>
  </w:style>
  <w:style w:type="paragraph" w:customStyle="1" w:styleId="408">
    <w:name w:val="表文"/>
    <w:autoRedefine/>
    <w:qFormat/>
    <w:uiPriority w:val="0"/>
    <w:pPr>
      <w:widowControl w:val="0"/>
      <w:adjustRightInd w:val="0"/>
      <w:spacing w:line="0" w:lineRule="atLeast"/>
      <w:jc w:val="center"/>
    </w:pPr>
    <w:rPr>
      <w:rFonts w:ascii="Times" w:hAnsi="Times" w:eastAsia="宋体" w:cs="Times New Roman"/>
      <w:kern w:val="2"/>
      <w:sz w:val="21"/>
      <w:szCs w:val="21"/>
      <w:lang w:val="en-US" w:eastAsia="zh-CN" w:bidi="ar-SA"/>
    </w:rPr>
  </w:style>
  <w:style w:type="paragraph" w:customStyle="1" w:styleId="409">
    <w:name w:val="Char2"/>
    <w:basedOn w:val="1"/>
    <w:autoRedefine/>
    <w:qFormat/>
    <w:uiPriority w:val="0"/>
  </w:style>
  <w:style w:type="paragraph" w:customStyle="1" w:styleId="410">
    <w:name w:val="样式 四号 行距: 1.5 倍行距 首行缩进:  2 字符"/>
    <w:basedOn w:val="1"/>
    <w:autoRedefine/>
    <w:qFormat/>
    <w:uiPriority w:val="0"/>
    <w:pPr>
      <w:spacing w:line="360" w:lineRule="auto"/>
      <w:ind w:firstLine="560" w:firstLineChars="200"/>
    </w:pPr>
    <w:rPr>
      <w:rFonts w:cs="宋体"/>
      <w:sz w:val="28"/>
      <w:szCs w:val="20"/>
    </w:rPr>
  </w:style>
  <w:style w:type="paragraph" w:customStyle="1" w:styleId="411">
    <w:name w:val="a7"/>
    <w:basedOn w:val="1"/>
    <w:autoRedefine/>
    <w:qFormat/>
    <w:uiPriority w:val="0"/>
    <w:pPr>
      <w:widowControl/>
      <w:overflowPunct w:val="0"/>
      <w:snapToGrid w:val="0"/>
      <w:spacing w:line="280" w:lineRule="atLeast"/>
      <w:jc w:val="center"/>
    </w:pPr>
    <w:rPr>
      <w:rFonts w:ascii="宋体" w:hAnsi="宋体"/>
      <w:kern w:val="0"/>
      <w:sz w:val="18"/>
      <w:szCs w:val="18"/>
    </w:rPr>
  </w:style>
  <w:style w:type="paragraph" w:customStyle="1" w:styleId="412">
    <w:name w:val="样式 正文文本缩进正文文字缩进 + (符号) 宋体 首行缩进:  0.99 厘米 段后: 0 磅 行距: 1.5 倍行距"/>
    <w:basedOn w:val="21"/>
    <w:autoRedefine/>
    <w:qFormat/>
    <w:uiPriority w:val="0"/>
    <w:pPr>
      <w:spacing w:after="0" w:line="360" w:lineRule="auto"/>
      <w:ind w:left="0" w:leftChars="0" w:firstLine="560"/>
    </w:pPr>
    <w:rPr>
      <w:rFonts w:ascii="宋体" w:hAnsi="宋体" w:cs="宋体"/>
      <w:szCs w:val="20"/>
    </w:rPr>
  </w:style>
  <w:style w:type="paragraph" w:customStyle="1" w:styleId="413">
    <w:name w:val="封面正文"/>
    <w:autoRedefine/>
    <w:qFormat/>
    <w:uiPriority w:val="0"/>
    <w:pPr>
      <w:jc w:val="both"/>
    </w:pPr>
    <w:rPr>
      <w:rFonts w:ascii="Times New Roman" w:hAnsi="Times New Roman" w:eastAsia="宋体" w:cs="Times New Roman"/>
      <w:lang w:val="en-US" w:eastAsia="zh-CN" w:bidi="ar-SA"/>
    </w:rPr>
  </w:style>
  <w:style w:type="paragraph" w:customStyle="1" w:styleId="414">
    <w:name w:val="样式 Char + 段前: 0.5 行 段后: 0.5 行"/>
    <w:basedOn w:val="369"/>
    <w:autoRedefine/>
    <w:qFormat/>
    <w:uiPriority w:val="0"/>
    <w:pPr>
      <w:spacing w:before="156" w:after="156"/>
    </w:pPr>
    <w:rPr>
      <w:rFonts w:cs="宋体"/>
      <w:szCs w:val="20"/>
    </w:rPr>
  </w:style>
  <w:style w:type="paragraph" w:customStyle="1" w:styleId="415">
    <w:name w:val="表格字体"/>
    <w:basedOn w:val="1"/>
    <w:autoRedefine/>
    <w:qFormat/>
    <w:uiPriority w:val="0"/>
    <w:pPr>
      <w:jc w:val="center"/>
    </w:pPr>
    <w:rPr>
      <w:szCs w:val="21"/>
    </w:rPr>
  </w:style>
  <w:style w:type="paragraph" w:customStyle="1" w:styleId="416">
    <w:name w:val="1文章"/>
    <w:basedOn w:val="1"/>
    <w:autoRedefine/>
    <w:qFormat/>
    <w:uiPriority w:val="0"/>
    <w:pPr>
      <w:adjustRightInd w:val="0"/>
      <w:snapToGrid w:val="0"/>
      <w:spacing w:line="360" w:lineRule="auto"/>
      <w:ind w:firstLine="454"/>
      <w:textAlignment w:val="baseline"/>
      <w:outlineLvl w:val="4"/>
    </w:pPr>
    <w:rPr>
      <w:spacing w:val="4"/>
      <w:szCs w:val="21"/>
    </w:rPr>
  </w:style>
  <w:style w:type="paragraph" w:customStyle="1" w:styleId="417">
    <w:name w:val="Char Char Char Char Char Char1"/>
    <w:basedOn w:val="1"/>
    <w:autoRedefine/>
    <w:qFormat/>
    <w:uiPriority w:val="0"/>
  </w:style>
  <w:style w:type="paragraph" w:customStyle="1" w:styleId="418">
    <w:name w:val="lily 正文"/>
    <w:basedOn w:val="1"/>
    <w:autoRedefine/>
    <w:qFormat/>
    <w:uiPriority w:val="0"/>
    <w:pPr>
      <w:spacing w:line="440" w:lineRule="atLeast"/>
      <w:ind w:firstLine="480" w:firstLineChars="200"/>
    </w:pPr>
  </w:style>
  <w:style w:type="paragraph" w:customStyle="1" w:styleId="419">
    <w:name w:val="小点"/>
    <w:autoRedefine/>
    <w:qFormat/>
    <w:uiPriority w:val="0"/>
    <w:pPr>
      <w:tabs>
        <w:tab w:val="left" w:pos="526"/>
      </w:tabs>
      <w:adjustRightInd w:val="0"/>
      <w:snapToGrid w:val="0"/>
      <w:spacing w:line="360" w:lineRule="auto"/>
      <w:ind w:left="526" w:hanging="360"/>
    </w:pPr>
    <w:rPr>
      <w:rFonts w:ascii="宋体" w:hAnsi="宋体" w:eastAsia="宋体" w:cs="Times New Roman"/>
      <w:sz w:val="24"/>
      <w:szCs w:val="24"/>
      <w:lang w:val="en-US" w:eastAsia="zh-CN" w:bidi="ar-SA"/>
    </w:rPr>
  </w:style>
  <w:style w:type="paragraph" w:customStyle="1" w:styleId="420">
    <w:name w:val="样式 标题 1一、 + 小二 居中"/>
    <w:basedOn w:val="2"/>
    <w:autoRedefine/>
    <w:qFormat/>
    <w:uiPriority w:val="0"/>
    <w:pPr>
      <w:numPr>
        <w:numId w:val="0"/>
      </w:numPr>
      <w:spacing w:before="120" w:after="120"/>
    </w:pPr>
    <w:rPr>
      <w:rFonts w:cs="宋体"/>
      <w:b w:val="0"/>
      <w:kern w:val="44"/>
      <w:szCs w:val="20"/>
    </w:rPr>
  </w:style>
  <w:style w:type="paragraph" w:customStyle="1" w:styleId="421">
    <w:name w:val="样式 居中 首行缩进:  0.85 厘米"/>
    <w:basedOn w:val="1"/>
    <w:autoRedefine/>
    <w:qFormat/>
    <w:uiPriority w:val="0"/>
    <w:pPr>
      <w:jc w:val="center"/>
    </w:pPr>
    <w:rPr>
      <w:rFonts w:cs="宋体"/>
      <w:sz w:val="21"/>
      <w:szCs w:val="20"/>
    </w:rPr>
  </w:style>
  <w:style w:type="paragraph" w:customStyle="1" w:styleId="422">
    <w:name w:val="书名"/>
    <w:basedOn w:val="1"/>
    <w:autoRedefine/>
    <w:qFormat/>
    <w:uiPriority w:val="0"/>
    <w:pPr>
      <w:jc w:val="center"/>
    </w:pPr>
    <w:rPr>
      <w:rFonts w:ascii="宋体" w:hAnsi="宋体" w:cs="宋体"/>
      <w:b/>
      <w:bCs/>
      <w:sz w:val="60"/>
      <w:szCs w:val="20"/>
    </w:rPr>
  </w:style>
  <w:style w:type="paragraph" w:customStyle="1" w:styleId="423">
    <w:name w:val="样式6"/>
    <w:basedOn w:val="1"/>
    <w:autoRedefine/>
    <w:qFormat/>
    <w:uiPriority w:val="0"/>
    <w:pPr>
      <w:autoSpaceDE w:val="0"/>
      <w:autoSpaceDN w:val="0"/>
      <w:spacing w:line="500" w:lineRule="exact"/>
      <w:jc w:val="left"/>
      <w:outlineLvl w:val="0"/>
    </w:pPr>
    <w:rPr>
      <w:rFonts w:eastAsia="仿宋_GB2312"/>
      <w:color w:val="000000"/>
      <w:sz w:val="28"/>
    </w:rPr>
  </w:style>
  <w:style w:type="paragraph" w:customStyle="1" w:styleId="424">
    <w:name w:val="样式1"/>
    <w:basedOn w:val="1"/>
    <w:autoRedefine/>
    <w:qFormat/>
    <w:uiPriority w:val="0"/>
    <w:pPr>
      <w:spacing w:line="440" w:lineRule="exact"/>
      <w:ind w:firstLine="510"/>
    </w:pPr>
    <w:rPr>
      <w:color w:val="000000"/>
      <w:szCs w:val="20"/>
    </w:rPr>
  </w:style>
  <w:style w:type="paragraph" w:customStyle="1" w:styleId="425">
    <w:name w:val="样式 样式 表头样式1 + 黑体 非加粗 行距: 最小值 22 磅 + 段前: 0.5 行"/>
    <w:basedOn w:val="340"/>
    <w:autoRedefine/>
    <w:qFormat/>
    <w:uiPriority w:val="0"/>
    <w:rPr>
      <w:b w:val="0"/>
    </w:rPr>
  </w:style>
  <w:style w:type="paragraph" w:styleId="426">
    <w:name w:val="List Paragraph"/>
    <w:basedOn w:val="1"/>
    <w:autoRedefine/>
    <w:qFormat/>
    <w:uiPriority w:val="34"/>
    <w:pPr>
      <w:ind w:firstLine="420" w:firstLineChars="200"/>
    </w:pPr>
    <w:rPr>
      <w:rFonts w:ascii="Calibri" w:hAnsi="Calibri"/>
      <w:sz w:val="21"/>
      <w:szCs w:val="22"/>
    </w:rPr>
  </w:style>
  <w:style w:type="paragraph" w:customStyle="1" w:styleId="427">
    <w:name w:val="zhang正文"/>
    <w:basedOn w:val="21"/>
    <w:autoRedefine/>
    <w:qFormat/>
    <w:uiPriority w:val="0"/>
    <w:pPr>
      <w:adjustRightInd w:val="0"/>
      <w:spacing w:after="0" w:line="360" w:lineRule="atLeast"/>
      <w:ind w:left="0" w:leftChars="0"/>
      <w:jc w:val="center"/>
      <w:textAlignment w:val="baseline"/>
    </w:pPr>
    <w:rPr>
      <w:rFonts w:eastAsia="仿宋_GB2312"/>
      <w:kern w:val="0"/>
    </w:rPr>
  </w:style>
  <w:style w:type="paragraph" w:customStyle="1" w:styleId="428">
    <w:name w:val="表1"/>
    <w:basedOn w:val="1"/>
    <w:autoRedefine/>
    <w:qFormat/>
    <w:uiPriority w:val="0"/>
    <w:pPr>
      <w:adjustRightInd w:val="0"/>
      <w:spacing w:beforeLines="50" w:afterLines="50" w:line="400" w:lineRule="exact"/>
      <w:jc w:val="center"/>
    </w:pPr>
    <w:rPr>
      <w:rFonts w:eastAsia="黑体"/>
      <w:spacing w:val="10"/>
      <w:szCs w:val="20"/>
    </w:rPr>
  </w:style>
  <w:style w:type="paragraph" w:customStyle="1" w:styleId="429">
    <w:name w:val="表内格式"/>
    <w:basedOn w:val="1"/>
    <w:autoRedefine/>
    <w:qFormat/>
    <w:uiPriority w:val="0"/>
    <w:pPr>
      <w:spacing w:line="280" w:lineRule="exact"/>
      <w:jc w:val="center"/>
    </w:pPr>
    <w:rPr>
      <w:rFonts w:ascii="宋体" w:cs="宋体"/>
      <w:sz w:val="18"/>
      <w:szCs w:val="18"/>
    </w:rPr>
  </w:style>
  <w:style w:type="paragraph" w:customStyle="1" w:styleId="430">
    <w:name w:val="样式 (符号) 宋体 首行缩进:  1.01 厘米"/>
    <w:basedOn w:val="1"/>
    <w:autoRedefine/>
    <w:qFormat/>
    <w:uiPriority w:val="0"/>
    <w:pPr>
      <w:spacing w:line="360" w:lineRule="auto"/>
      <w:ind w:firstLine="480" w:firstLineChars="200"/>
    </w:pPr>
    <w:rPr>
      <w:rFonts w:ascii="宋体" w:hAnsi="宋体" w:cs="宋体"/>
      <w:szCs w:val="20"/>
    </w:rPr>
  </w:style>
  <w:style w:type="paragraph" w:customStyle="1" w:styleId="431">
    <w:name w:val="正文01"/>
    <w:basedOn w:val="1"/>
    <w:autoRedefine/>
    <w:qFormat/>
    <w:uiPriority w:val="0"/>
    <w:pPr>
      <w:spacing w:before="60" w:line="460" w:lineRule="exact"/>
      <w:ind w:firstLine="200" w:firstLineChars="200"/>
    </w:pPr>
    <w:rPr>
      <w:szCs w:val="20"/>
    </w:rPr>
  </w:style>
  <w:style w:type="paragraph" w:customStyle="1" w:styleId="432">
    <w:name w:val="缩进"/>
    <w:basedOn w:val="1"/>
    <w:autoRedefine/>
    <w:qFormat/>
    <w:uiPriority w:val="0"/>
    <w:pPr>
      <w:autoSpaceDE w:val="0"/>
      <w:autoSpaceDN w:val="0"/>
      <w:adjustRightInd w:val="0"/>
      <w:spacing w:line="400" w:lineRule="atLeast"/>
      <w:ind w:firstLine="425"/>
      <w:textAlignment w:val="baseline"/>
    </w:pPr>
    <w:rPr>
      <w:kern w:val="0"/>
      <w:szCs w:val="20"/>
    </w:rPr>
  </w:style>
  <w:style w:type="paragraph" w:customStyle="1" w:styleId="433">
    <w:name w:val="表格2"/>
    <w:basedOn w:val="1"/>
    <w:autoRedefine/>
    <w:qFormat/>
    <w:uiPriority w:val="0"/>
    <w:pPr>
      <w:autoSpaceDE w:val="0"/>
      <w:autoSpaceDN w:val="0"/>
      <w:adjustRightInd w:val="0"/>
      <w:ind w:left="-1" w:leftChars="-16" w:hanging="31" w:hangingChars="15"/>
      <w:jc w:val="center"/>
    </w:pPr>
    <w:rPr>
      <w:kern w:val="0"/>
      <w:sz w:val="21"/>
      <w:szCs w:val="20"/>
    </w:rPr>
  </w:style>
  <w:style w:type="paragraph" w:customStyle="1" w:styleId="434">
    <w:name w:val="样式 样式 标题 2节标题 2 Char1标题 2 Char Char标题 2 Char第一层条H2Heading 2 ...5..."/>
    <w:basedOn w:val="290"/>
    <w:autoRedefine/>
    <w:qFormat/>
    <w:uiPriority w:val="0"/>
    <w:pPr>
      <w:spacing w:before="156" w:after="156"/>
    </w:pPr>
  </w:style>
  <w:style w:type="paragraph" w:customStyle="1" w:styleId="435">
    <w:name w:val="目录题目"/>
    <w:basedOn w:val="403"/>
    <w:autoRedefine/>
    <w:qFormat/>
    <w:uiPriority w:val="0"/>
    <w:pPr>
      <w:spacing w:after="660"/>
      <w:jc w:val="center"/>
      <w:outlineLvl w:val="0"/>
    </w:pPr>
    <w:rPr>
      <w:rFonts w:eastAsia="黑体"/>
      <w:sz w:val="36"/>
      <w:szCs w:val="36"/>
    </w:rPr>
  </w:style>
  <w:style w:type="paragraph" w:customStyle="1" w:styleId="436">
    <w:name w:val="1表格"/>
    <w:basedOn w:val="416"/>
    <w:autoRedefine/>
    <w:qFormat/>
    <w:uiPriority w:val="0"/>
    <w:pPr>
      <w:adjustRightInd/>
      <w:spacing w:line="240" w:lineRule="auto"/>
      <w:ind w:firstLine="0"/>
      <w:jc w:val="center"/>
      <w:textAlignment w:val="auto"/>
    </w:pPr>
    <w:rPr>
      <w:sz w:val="21"/>
      <w:szCs w:val="24"/>
    </w:rPr>
  </w:style>
  <w:style w:type="paragraph" w:customStyle="1" w:styleId="437">
    <w:name w:val="样式 标题 2节标题 2 Char1标题 2 Char Char标题 2 Char第一层条H2Heading 2 ..."/>
    <w:basedOn w:val="3"/>
    <w:autoRedefine/>
    <w:qFormat/>
    <w:uiPriority w:val="0"/>
    <w:pPr>
      <w:numPr>
        <w:ilvl w:val="0"/>
        <w:numId w:val="0"/>
      </w:numPr>
      <w:spacing w:before="156" w:after="156"/>
      <w:jc w:val="both"/>
    </w:pPr>
    <w:rPr>
      <w:rFonts w:cs="宋体"/>
      <w:b w:val="0"/>
      <w:szCs w:val="20"/>
    </w:rPr>
  </w:style>
  <w:style w:type="paragraph" w:customStyle="1" w:styleId="438">
    <w:name w:val="正文文字 21"/>
    <w:basedOn w:val="1"/>
    <w:next w:val="43"/>
    <w:autoRedefine/>
    <w:qFormat/>
    <w:uiPriority w:val="0"/>
    <w:pPr>
      <w:spacing w:line="160" w:lineRule="exact"/>
      <w:jc w:val="center"/>
    </w:pPr>
    <w:rPr>
      <w:sz w:val="18"/>
    </w:rPr>
  </w:style>
  <w:style w:type="paragraph" w:customStyle="1" w:styleId="439">
    <w:name w:val="xl2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hanging="2"/>
      <w:jc w:val="center"/>
    </w:pPr>
    <w:rPr>
      <w:rFonts w:ascii="宋体" w:hAnsi="宋体" w:cs="宋体"/>
      <w:kern w:val="0"/>
      <w:szCs w:val="20"/>
    </w:rPr>
  </w:style>
  <w:style w:type="paragraph" w:customStyle="1" w:styleId="440">
    <w:name w:val="az"/>
    <w:basedOn w:val="1"/>
    <w:autoRedefine/>
    <w:qFormat/>
    <w:uiPriority w:val="0"/>
    <w:pPr>
      <w:widowControl/>
      <w:ind w:firstLine="200" w:firstLineChars="200"/>
      <w:jc w:val="left"/>
      <w:outlineLvl w:val="2"/>
    </w:pPr>
    <w:rPr>
      <w:rFonts w:ascii="宋体" w:hAnsi="宋体" w:cs="宋体"/>
      <w:kern w:val="0"/>
    </w:rPr>
  </w:style>
  <w:style w:type="paragraph" w:customStyle="1" w:styleId="441">
    <w:name w:val="样式 表格 32 + 首行缩进:  2 字符"/>
    <w:basedOn w:val="1"/>
    <w:autoRedefine/>
    <w:qFormat/>
    <w:uiPriority w:val="0"/>
    <w:pPr>
      <w:autoSpaceDE w:val="0"/>
      <w:autoSpaceDN w:val="0"/>
      <w:adjustRightInd w:val="0"/>
      <w:spacing w:line="240" w:lineRule="atLeast"/>
      <w:jc w:val="center"/>
      <w:textAlignment w:val="baseline"/>
    </w:pPr>
    <w:rPr>
      <w:kern w:val="0"/>
      <w:sz w:val="21"/>
      <w:szCs w:val="21"/>
    </w:rPr>
  </w:style>
  <w:style w:type="paragraph" w:customStyle="1" w:styleId="442">
    <w:name w:val="图文框"/>
    <w:basedOn w:val="1"/>
    <w:autoRedefine/>
    <w:qFormat/>
    <w:uiPriority w:val="0"/>
    <w:pPr>
      <w:autoSpaceDE w:val="0"/>
      <w:autoSpaceDN w:val="0"/>
      <w:adjustRightInd w:val="0"/>
      <w:snapToGrid w:val="0"/>
      <w:spacing w:line="360" w:lineRule="exact"/>
      <w:jc w:val="center"/>
      <w:textAlignment w:val="baseline"/>
    </w:pPr>
    <w:rPr>
      <w:rFonts w:ascii="宋体" w:hAnsi="宋体"/>
      <w:sz w:val="21"/>
      <w:szCs w:val="20"/>
    </w:rPr>
  </w:style>
  <w:style w:type="paragraph" w:customStyle="1" w:styleId="443">
    <w:name w:val="法规"/>
    <w:basedOn w:val="1"/>
    <w:autoRedefine/>
    <w:qFormat/>
    <w:uiPriority w:val="0"/>
    <w:pPr>
      <w:tabs>
        <w:tab w:val="left" w:pos="400"/>
      </w:tabs>
      <w:spacing w:line="440" w:lineRule="exact"/>
      <w:ind w:firstLine="400"/>
    </w:pPr>
    <w:rPr>
      <w:sz w:val="25"/>
      <w:szCs w:val="20"/>
    </w:rPr>
  </w:style>
  <w:style w:type="paragraph" w:customStyle="1" w:styleId="444">
    <w:name w:val="_Style 11"/>
    <w:basedOn w:val="1"/>
    <w:next w:val="1"/>
    <w:autoRedefine/>
    <w:qFormat/>
    <w:uiPriority w:val="0"/>
    <w:pPr>
      <w:spacing w:after="120" w:line="480" w:lineRule="auto"/>
    </w:pPr>
    <w:rPr>
      <w:sz w:val="21"/>
      <w:szCs w:val="20"/>
    </w:rPr>
  </w:style>
  <w:style w:type="paragraph" w:customStyle="1" w:styleId="445">
    <w:name w:val="1目录"/>
    <w:basedOn w:val="309"/>
    <w:autoRedefine/>
    <w:qFormat/>
    <w:uiPriority w:val="0"/>
    <w:pPr>
      <w:tabs>
        <w:tab w:val="left" w:leader="middleDot" w:pos="8190"/>
      </w:tabs>
      <w:ind w:left="168" w:leftChars="80"/>
    </w:pPr>
    <w:rPr>
      <w:rFonts w:eastAsia="宋体"/>
      <w:b w:val="0"/>
      <w:bCs/>
      <w:sz w:val="24"/>
    </w:rPr>
  </w:style>
  <w:style w:type="paragraph" w:customStyle="1" w:styleId="446">
    <w:name w:val="样式 加粗 居中"/>
    <w:basedOn w:val="1"/>
    <w:autoRedefine/>
    <w:qFormat/>
    <w:uiPriority w:val="0"/>
    <w:pPr>
      <w:suppressAutoHyphens/>
      <w:spacing w:line="360" w:lineRule="auto"/>
      <w:jc w:val="center"/>
    </w:pPr>
    <w:rPr>
      <w:rFonts w:ascii="宋体" w:hAnsi="宋体" w:cs="宋体"/>
      <w:b/>
      <w:bCs/>
      <w:kern w:val="1"/>
      <w:szCs w:val="20"/>
      <w:lang w:eastAsia="ar-SA"/>
    </w:rPr>
  </w:style>
  <w:style w:type="paragraph" w:customStyle="1" w:styleId="447">
    <w:name w:val="key words"/>
    <w:basedOn w:val="342"/>
    <w:autoRedefine/>
    <w:qFormat/>
    <w:uiPriority w:val="0"/>
    <w:pPr>
      <w:snapToGrid w:val="0"/>
    </w:pPr>
    <w:rPr>
      <w:rFonts w:ascii="Arial Black" w:hAnsi="Arial Black" w:eastAsia="宋体"/>
    </w:rPr>
  </w:style>
  <w:style w:type="paragraph" w:customStyle="1" w:styleId="448">
    <w:name w:val="标题4"/>
    <w:basedOn w:val="1"/>
    <w:autoRedefine/>
    <w:qFormat/>
    <w:uiPriority w:val="0"/>
    <w:pPr>
      <w:spacing w:beforeLines="50" w:afterLines="50" w:line="360" w:lineRule="auto"/>
      <w:ind w:firstLine="200" w:firstLineChars="200"/>
    </w:pPr>
    <w:rPr>
      <w:b/>
      <w:color w:val="000000"/>
    </w:rPr>
  </w:style>
  <w:style w:type="paragraph" w:customStyle="1" w:styleId="449">
    <w:name w:val="TOC 标题1"/>
    <w:basedOn w:val="2"/>
    <w:next w:val="1"/>
    <w:autoRedefine/>
    <w:qFormat/>
    <w:uiPriority w:val="39"/>
    <w:pPr>
      <w:widowControl/>
      <w:numPr>
        <w:numId w:val="0"/>
      </w:numPr>
      <w:spacing w:before="480" w:line="276" w:lineRule="auto"/>
      <w:jc w:val="left"/>
      <w:outlineLvl w:val="9"/>
    </w:pPr>
    <w:rPr>
      <w:rFonts w:ascii="Cambria" w:hAnsi="Cambria"/>
      <w:b w:val="0"/>
      <w:color w:val="365F91"/>
      <w:sz w:val="28"/>
      <w:szCs w:val="28"/>
    </w:rPr>
  </w:style>
  <w:style w:type="paragraph" w:customStyle="1" w:styleId="450">
    <w:name w:val="南正文"/>
    <w:basedOn w:val="1"/>
    <w:autoRedefine/>
    <w:qFormat/>
    <w:uiPriority w:val="0"/>
    <w:pPr>
      <w:tabs>
        <w:tab w:val="left" w:pos="3825"/>
      </w:tabs>
      <w:spacing w:line="360" w:lineRule="auto"/>
      <w:ind w:firstLine="200" w:firstLineChars="200"/>
    </w:pPr>
    <w:rPr>
      <w:color w:val="000000"/>
      <w:sz w:val="28"/>
      <w:szCs w:val="20"/>
    </w:rPr>
  </w:style>
  <w:style w:type="paragraph" w:customStyle="1" w:styleId="451">
    <w:name w:val="6表格标题"/>
    <w:basedOn w:val="1"/>
    <w:next w:val="402"/>
    <w:autoRedefine/>
    <w:qFormat/>
    <w:uiPriority w:val="0"/>
    <w:pPr>
      <w:spacing w:line="360" w:lineRule="auto"/>
      <w:jc w:val="center"/>
    </w:pPr>
    <w:rPr>
      <w:b/>
      <w:szCs w:val="28"/>
    </w:rPr>
  </w:style>
  <w:style w:type="paragraph" w:customStyle="1" w:styleId="452">
    <w:name w:val="统一正文"/>
    <w:basedOn w:val="1"/>
    <w:autoRedefine/>
    <w:qFormat/>
    <w:uiPriority w:val="0"/>
    <w:pPr>
      <w:autoSpaceDE w:val="0"/>
      <w:autoSpaceDN w:val="0"/>
      <w:spacing w:line="360" w:lineRule="auto"/>
      <w:ind w:firstLine="567" w:firstLineChars="200"/>
      <w:jc w:val="left"/>
      <w:textAlignment w:val="baseline"/>
    </w:pPr>
    <w:rPr>
      <w:color w:val="000000"/>
      <w:kern w:val="0"/>
      <w:sz w:val="28"/>
      <w:szCs w:val="20"/>
      <w:lang w:bidi="he-IL"/>
    </w:rPr>
  </w:style>
  <w:style w:type="paragraph" w:customStyle="1" w:styleId="453">
    <w:name w:val="Char Char2"/>
    <w:basedOn w:val="1"/>
    <w:autoRedefine/>
    <w:qFormat/>
    <w:uiPriority w:val="0"/>
    <w:pPr>
      <w:spacing w:beforeLines="100"/>
    </w:pPr>
    <w:rPr>
      <w:sz w:val="21"/>
    </w:rPr>
  </w:style>
  <w:style w:type="paragraph" w:customStyle="1" w:styleId="454">
    <w:name w:val="样式 标题 2节标题 2 Char1标题 2 Char Char标题 2 Char第一层条H2Heading 2 ...4"/>
    <w:basedOn w:val="3"/>
    <w:autoRedefine/>
    <w:qFormat/>
    <w:uiPriority w:val="0"/>
    <w:pPr>
      <w:numPr>
        <w:ilvl w:val="0"/>
        <w:numId w:val="0"/>
      </w:numPr>
      <w:spacing w:before="120" w:after="120"/>
      <w:jc w:val="both"/>
    </w:pPr>
    <w:rPr>
      <w:b w:val="0"/>
    </w:rPr>
  </w:style>
  <w:style w:type="paragraph" w:customStyle="1" w:styleId="455">
    <w:name w:val="CM6"/>
    <w:basedOn w:val="23"/>
    <w:next w:val="23"/>
    <w:autoRedefine/>
    <w:qFormat/>
    <w:uiPriority w:val="99"/>
    <w:pPr>
      <w:spacing w:after="345"/>
    </w:pPr>
    <w:rPr>
      <w:rFonts w:ascii="宋体" w:eastAsia="宋体" w:cs="Times New Roman"/>
      <w:color w:val="auto"/>
    </w:rPr>
  </w:style>
  <w:style w:type="paragraph" w:customStyle="1" w:styleId="456">
    <w:name w:val="a2"/>
    <w:basedOn w:val="1"/>
    <w:autoRedefine/>
    <w:semiHidden/>
    <w:qFormat/>
    <w:uiPriority w:val="0"/>
    <w:pPr>
      <w:spacing w:beforeLines="100"/>
      <w:jc w:val="left"/>
      <w:outlineLvl w:val="1"/>
    </w:pPr>
    <w:rPr>
      <w:rFonts w:eastAsia="楷体_GB2312"/>
      <w:b/>
      <w:sz w:val="32"/>
    </w:rPr>
  </w:style>
  <w:style w:type="paragraph" w:customStyle="1" w:styleId="457">
    <w:name w:val="公式编辑器"/>
    <w:basedOn w:val="13"/>
    <w:autoRedefine/>
    <w:qFormat/>
    <w:uiPriority w:val="0"/>
    <w:pPr>
      <w:ind w:firstLine="200" w:firstLineChars="200"/>
    </w:pPr>
    <w:rPr>
      <w:rFonts w:ascii="Times New Roman" w:hAnsi="Times New Roman"/>
      <w:color w:val="auto"/>
      <w:sz w:val="25"/>
    </w:rPr>
  </w:style>
  <w:style w:type="paragraph" w:customStyle="1" w:styleId="458">
    <w:name w:val="3"/>
    <w:basedOn w:val="1"/>
    <w:next w:val="29"/>
    <w:autoRedefine/>
    <w:qFormat/>
    <w:uiPriority w:val="0"/>
    <w:rPr>
      <w:rFonts w:ascii="宋体" w:hAnsi="Courier New" w:cs="Courier New"/>
      <w:sz w:val="21"/>
      <w:szCs w:val="21"/>
    </w:rPr>
  </w:style>
  <w:style w:type="paragraph" w:customStyle="1" w:styleId="459">
    <w:name w:val="正文改"/>
    <w:basedOn w:val="1"/>
    <w:next w:val="1"/>
    <w:autoRedefine/>
    <w:qFormat/>
    <w:uiPriority w:val="0"/>
    <w:pPr>
      <w:spacing w:line="360" w:lineRule="auto"/>
      <w:ind w:firstLine="200" w:firstLineChars="200"/>
    </w:pPr>
    <w:rPr>
      <w:szCs w:val="20"/>
    </w:rPr>
  </w:style>
  <w:style w:type="paragraph" w:customStyle="1" w:styleId="460">
    <w:name w:val="a3"/>
    <w:basedOn w:val="1"/>
    <w:autoRedefine/>
    <w:qFormat/>
    <w:uiPriority w:val="0"/>
    <w:pPr>
      <w:spacing w:beforeLines="50"/>
      <w:jc w:val="left"/>
      <w:outlineLvl w:val="2"/>
    </w:pPr>
    <w:rPr>
      <w:rFonts w:eastAsia="楷体_GB2312"/>
      <w:b/>
      <w:sz w:val="30"/>
    </w:rPr>
  </w:style>
  <w:style w:type="paragraph" w:customStyle="1" w:styleId="461">
    <w:name w:val="1标题1级"/>
    <w:basedOn w:val="1"/>
    <w:autoRedefine/>
    <w:qFormat/>
    <w:uiPriority w:val="0"/>
    <w:pPr>
      <w:keepNext/>
      <w:adjustRightInd w:val="0"/>
      <w:snapToGrid w:val="0"/>
      <w:spacing w:line="420" w:lineRule="auto"/>
      <w:textAlignment w:val="baseline"/>
      <w:outlineLvl w:val="0"/>
    </w:pPr>
    <w:rPr>
      <w:rFonts w:eastAsia="黑体"/>
      <w:b/>
      <w:sz w:val="30"/>
      <w:szCs w:val="21"/>
    </w:rPr>
  </w:style>
  <w:style w:type="paragraph" w:customStyle="1" w:styleId="462">
    <w:name w:val="k正文"/>
    <w:basedOn w:val="1"/>
    <w:autoRedefine/>
    <w:qFormat/>
    <w:uiPriority w:val="0"/>
    <w:pPr>
      <w:adjustRightInd w:val="0"/>
      <w:snapToGrid w:val="0"/>
      <w:spacing w:line="360" w:lineRule="auto"/>
      <w:ind w:firstLine="539"/>
    </w:pPr>
    <w:rPr>
      <w:rFonts w:eastAsia="仿宋_GB2312"/>
      <w:sz w:val="28"/>
      <w:szCs w:val="20"/>
    </w:rPr>
  </w:style>
  <w:style w:type="paragraph" w:customStyle="1" w:styleId="463">
    <w:name w:val="样式 表格标题文本条款 + 行距: 最小值 12 磅"/>
    <w:basedOn w:val="10"/>
    <w:autoRedefine/>
    <w:qFormat/>
    <w:uiPriority w:val="0"/>
    <w:pPr>
      <w:keepNext w:val="0"/>
      <w:keepLines w:val="0"/>
      <w:widowControl/>
      <w:numPr>
        <w:ilvl w:val="0"/>
        <w:numId w:val="0"/>
      </w:numPr>
      <w:tabs>
        <w:tab w:val="left" w:pos="360"/>
        <w:tab w:val="left" w:pos="2700"/>
        <w:tab w:val="clear" w:pos="1584"/>
      </w:tabs>
      <w:adjustRightInd w:val="0"/>
      <w:snapToGrid w:val="0"/>
      <w:spacing w:before="0" w:after="0" w:line="240" w:lineRule="atLeast"/>
      <w:jc w:val="center"/>
      <w:outlineLvl w:val="9"/>
    </w:pPr>
    <w:rPr>
      <w:rFonts w:ascii="Times New Roman" w:hAnsi="Times New Roman" w:cs="宋体"/>
      <w:snapToGrid w:val="0"/>
      <w:kern w:val="0"/>
      <w:szCs w:val="20"/>
    </w:rPr>
  </w:style>
  <w:style w:type="paragraph" w:customStyle="1" w:styleId="464">
    <w:name w:val="样式 表格内容 +"/>
    <w:basedOn w:val="189"/>
    <w:autoRedefine/>
    <w:qFormat/>
    <w:uiPriority w:val="0"/>
    <w:rPr>
      <w:iCs w:val="0"/>
      <w:color w:val="000000"/>
      <w:kern w:val="0"/>
    </w:rPr>
  </w:style>
  <w:style w:type="paragraph" w:customStyle="1" w:styleId="465">
    <w:name w:val="z正文"/>
    <w:basedOn w:val="21"/>
    <w:autoRedefine/>
    <w:qFormat/>
    <w:uiPriority w:val="0"/>
    <w:pPr>
      <w:autoSpaceDE w:val="0"/>
      <w:autoSpaceDN w:val="0"/>
      <w:adjustRightInd w:val="0"/>
      <w:snapToGrid w:val="0"/>
      <w:spacing w:after="0" w:line="360" w:lineRule="auto"/>
      <w:ind w:left="0" w:leftChars="0" w:firstLine="200" w:firstLineChars="200"/>
      <w:textAlignment w:val="baseline"/>
    </w:pPr>
    <w:rPr>
      <w:kern w:val="0"/>
    </w:rPr>
  </w:style>
  <w:style w:type="paragraph" w:customStyle="1" w:styleId="466">
    <w:name w:val="样式 标题 3标题 3 Char Char Char标题 3 Char Char标题 3 Char标题 3 Char1 ..."/>
    <w:basedOn w:val="4"/>
    <w:autoRedefine/>
    <w:qFormat/>
    <w:uiPriority w:val="0"/>
    <w:pPr>
      <w:numPr>
        <w:ilvl w:val="0"/>
        <w:numId w:val="0"/>
      </w:numPr>
      <w:spacing w:before="120" w:after="120"/>
    </w:pPr>
    <w:rPr>
      <w:b w:val="0"/>
      <w:color w:val="000000"/>
      <w:szCs w:val="32"/>
    </w:rPr>
  </w:style>
  <w:style w:type="paragraph" w:customStyle="1" w:styleId="467">
    <w:name w:val="正文文本缩进1"/>
    <w:basedOn w:val="1"/>
    <w:autoRedefine/>
    <w:qFormat/>
    <w:uiPriority w:val="0"/>
    <w:pPr>
      <w:widowControl/>
      <w:spacing w:line="360" w:lineRule="auto"/>
      <w:ind w:left="88" w:firstLine="467"/>
    </w:pPr>
    <w:rPr>
      <w:rFonts w:ascii="仿宋_GB2312" w:eastAsia="仿宋_GB2312"/>
      <w:kern w:val="0"/>
      <w:sz w:val="28"/>
      <w:szCs w:val="20"/>
    </w:rPr>
  </w:style>
  <w:style w:type="paragraph" w:customStyle="1" w:styleId="468">
    <w:name w:val="Body Text Indent1"/>
    <w:basedOn w:val="1"/>
    <w:autoRedefine/>
    <w:qFormat/>
    <w:uiPriority w:val="0"/>
    <w:pPr>
      <w:widowControl/>
      <w:spacing w:line="360" w:lineRule="auto"/>
      <w:ind w:left="88" w:firstLine="467"/>
    </w:pPr>
    <w:rPr>
      <w:rFonts w:ascii="仿宋_GB2312" w:eastAsia="仿宋_GB2312"/>
      <w:kern w:val="0"/>
      <w:sz w:val="28"/>
      <w:szCs w:val="20"/>
    </w:rPr>
  </w:style>
  <w:style w:type="paragraph" w:customStyle="1" w:styleId="469">
    <w:name w:val="南风正文"/>
    <w:basedOn w:val="1"/>
    <w:next w:val="1"/>
    <w:autoRedefine/>
    <w:qFormat/>
    <w:uiPriority w:val="0"/>
    <w:pPr>
      <w:widowControl/>
      <w:spacing w:line="360" w:lineRule="auto"/>
      <w:ind w:firstLine="472" w:firstLineChars="200"/>
      <w:jc w:val="left"/>
    </w:pPr>
    <w:rPr>
      <w:spacing w:val="-2"/>
    </w:rPr>
  </w:style>
  <w:style w:type="paragraph" w:customStyle="1" w:styleId="470">
    <w:name w:val="qqq"/>
    <w:basedOn w:val="1"/>
    <w:next w:val="1"/>
    <w:autoRedefine/>
    <w:qFormat/>
    <w:uiPriority w:val="0"/>
    <w:pPr>
      <w:adjustRightInd w:val="0"/>
      <w:spacing w:line="360" w:lineRule="auto"/>
      <w:ind w:firstLine="200" w:firstLineChars="200"/>
      <w:textAlignment w:val="baseline"/>
    </w:pPr>
    <w:rPr>
      <w:rFonts w:ascii="宋体" w:hAnsi="宋体"/>
      <w:kern w:val="0"/>
      <w:szCs w:val="28"/>
    </w:rPr>
  </w:style>
  <w:style w:type="paragraph" w:customStyle="1" w:styleId="471">
    <w:name w:val="Body text|1"/>
    <w:basedOn w:val="1"/>
    <w:autoRedefine/>
    <w:qFormat/>
    <w:uiPriority w:val="0"/>
    <w:pPr>
      <w:spacing w:after="100" w:line="406" w:lineRule="auto"/>
      <w:ind w:firstLine="400"/>
    </w:pPr>
    <w:rPr>
      <w:rFonts w:ascii="宋体" w:hAnsi="宋体" w:cs="宋体"/>
      <w:lang w:val="zh-TW" w:eastAsia="zh-TW" w:bidi="zh-TW"/>
    </w:rPr>
  </w:style>
  <w:style w:type="paragraph" w:customStyle="1" w:styleId="472">
    <w:name w:val="Table caption|1"/>
    <w:basedOn w:val="1"/>
    <w:autoRedefine/>
    <w:qFormat/>
    <w:uiPriority w:val="0"/>
    <w:rPr>
      <w:rFonts w:ascii="宋体" w:hAnsi="宋体" w:cs="宋体"/>
      <w:b/>
      <w:bCs/>
      <w:lang w:val="zh-TW" w:eastAsia="zh-TW" w:bidi="zh-TW"/>
    </w:rPr>
  </w:style>
  <w:style w:type="paragraph" w:customStyle="1" w:styleId="473">
    <w:name w:val="Other|1"/>
    <w:basedOn w:val="1"/>
    <w:autoRedefine/>
    <w:qFormat/>
    <w:uiPriority w:val="0"/>
    <w:pPr>
      <w:spacing w:after="30" w:line="425" w:lineRule="auto"/>
      <w:ind w:firstLine="400"/>
    </w:pPr>
    <w:rPr>
      <w:rFonts w:ascii="宋体" w:hAnsi="宋体" w:cs="宋体"/>
      <w:lang w:val="zh-TW" w:eastAsia="zh-TW" w:bidi="zh-TW"/>
    </w:rPr>
  </w:style>
  <w:style w:type="paragraph" w:customStyle="1" w:styleId="474">
    <w:name w:val="Body text|2"/>
    <w:basedOn w:val="1"/>
    <w:autoRedefine/>
    <w:qFormat/>
    <w:uiPriority w:val="0"/>
    <w:pPr>
      <w:spacing w:after="260" w:line="466" w:lineRule="exact"/>
      <w:ind w:firstLine="500"/>
    </w:pPr>
  </w:style>
  <w:style w:type="table" w:customStyle="1" w:styleId="475">
    <w:name w:val="表格样式1"/>
    <w:basedOn w:val="50"/>
    <w:autoRedefine/>
    <w:qFormat/>
    <w:uiPriority w:val="0"/>
    <w:pPr>
      <w:jc w:val="center"/>
    </w:pPr>
    <w:rPr>
      <w:rFonts w:ascii="Times New Roman" w:hAnsi="Times New Roman" w:eastAsia="宋体" w:cs="Times New Roman"/>
    </w:rPr>
    <w:tblPr>
      <w:jc w:val="center"/>
      <w:tblBorders>
        <w:top w:val="single" w:color="auto" w:sz="18" w:space="0"/>
        <w:bottom w:val="single" w:color="auto" w:sz="18" w:space="0"/>
        <w:insideH w:val="single" w:color="auto" w:sz="4" w:space="0"/>
        <w:insideV w:val="single" w:color="auto" w:sz="4" w:space="0"/>
      </w:tblBorders>
      <w:tblCellMar>
        <w:top w:w="0" w:type="dxa"/>
        <w:left w:w="108" w:type="dxa"/>
        <w:bottom w:w="0" w:type="dxa"/>
        <w:right w:w="108" w:type="dxa"/>
      </w:tblCellMar>
    </w:tblPr>
    <w:trPr>
      <w:jc w:val="center"/>
    </w:trPr>
    <w:tcPr>
      <w:vAlign w:val="center"/>
    </w:tcPr>
  </w:style>
  <w:style w:type="paragraph" w:customStyle="1" w:styleId="476">
    <w:name w:val="颜表文"/>
    <w:basedOn w:val="1"/>
    <w:autoRedefine/>
    <w:qFormat/>
    <w:uiPriority w:val="0"/>
    <w:pPr>
      <w:jc w:val="center"/>
    </w:pPr>
    <w:rPr>
      <w:sz w:val="21"/>
    </w:rPr>
  </w:style>
  <w:style w:type="paragraph" w:customStyle="1" w:styleId="477">
    <w:name w:val="列出段落1"/>
    <w:basedOn w:val="1"/>
    <w:autoRedefine/>
    <w:qFormat/>
    <w:uiPriority w:val="1"/>
    <w:pPr>
      <w:ind w:left="1438" w:hanging="602"/>
    </w:pPr>
  </w:style>
  <w:style w:type="paragraph" w:customStyle="1" w:styleId="478">
    <w:name w:val="段落"/>
    <w:basedOn w:val="1"/>
    <w:autoRedefine/>
    <w:qFormat/>
    <w:uiPriority w:val="0"/>
    <w:pPr>
      <w:spacing w:line="360" w:lineRule="auto"/>
      <w:ind w:firstLine="480" w:firstLineChars="200"/>
    </w:pPr>
    <w:rPr>
      <w:rFonts w:ascii="宋体" w:hAnsi="宋体"/>
    </w:rPr>
  </w:style>
  <w:style w:type="paragraph" w:customStyle="1" w:styleId="479">
    <w:name w:val="表中正文"/>
    <w:basedOn w:val="1"/>
    <w:autoRedefine/>
    <w:qFormat/>
    <w:uiPriority w:val="0"/>
    <w:pPr>
      <w:tabs>
        <w:tab w:val="left" w:pos="958"/>
        <w:tab w:val="left" w:pos="7320"/>
        <w:tab w:val="left" w:pos="8160"/>
      </w:tabs>
      <w:adjustRightInd w:val="0"/>
      <w:spacing w:line="360" w:lineRule="atLeast"/>
      <w:ind w:right="113"/>
      <w:jc w:val="center"/>
      <w:textAlignment w:val="baseline"/>
    </w:pPr>
    <w:rPr>
      <w:rFonts w:ascii="宋体" w:hAnsi="宋体"/>
      <w:spacing w:val="6"/>
      <w:kern w:val="20"/>
    </w:rPr>
  </w:style>
  <w:style w:type="paragraph" w:customStyle="1" w:styleId="480">
    <w:name w:val="111正文格式111"/>
    <w:basedOn w:val="481"/>
    <w:autoRedefine/>
    <w:qFormat/>
    <w:uiPriority w:val="0"/>
    <w:pPr>
      <w:adjustRightInd w:val="0"/>
      <w:snapToGrid w:val="0"/>
    </w:pPr>
    <w:rPr>
      <w:bCs/>
    </w:rPr>
  </w:style>
  <w:style w:type="paragraph" w:customStyle="1" w:styleId="481">
    <w:name w:val="正文的格式"/>
    <w:basedOn w:val="1"/>
    <w:autoRedefine/>
    <w:qFormat/>
    <w:uiPriority w:val="0"/>
    <w:pPr>
      <w:spacing w:line="360" w:lineRule="auto"/>
      <w:ind w:firstLine="200" w:firstLineChars="200"/>
    </w:pPr>
  </w:style>
  <w:style w:type="paragraph" w:customStyle="1" w:styleId="482">
    <w:name w:val="Table Paragraph"/>
    <w:basedOn w:val="1"/>
    <w:autoRedefine/>
    <w:qFormat/>
    <w:uiPriority w:val="1"/>
    <w:pPr>
      <w:jc w:val="center"/>
    </w:pPr>
    <w:rPr>
      <w:rFonts w:ascii="宋体" w:hAnsi="宋体" w:cs="宋体"/>
      <w:lang w:val="zh-CN" w:bidi="zh-CN"/>
    </w:rPr>
  </w:style>
  <w:style w:type="paragraph" w:customStyle="1" w:styleId="483">
    <w:name w:val="正文内容"/>
    <w:basedOn w:val="1"/>
    <w:autoRedefine/>
    <w:qFormat/>
    <w:uiPriority w:val="0"/>
    <w:pPr>
      <w:ind w:firstLine="200"/>
    </w:pPr>
    <w:rPr>
      <w:szCs w:val="20"/>
    </w:rPr>
  </w:style>
  <w:style w:type="character" w:customStyle="1" w:styleId="484">
    <w:name w:val="font31"/>
    <w:autoRedefine/>
    <w:qFormat/>
    <w:uiPriority w:val="0"/>
    <w:rPr>
      <w:rFonts w:hint="eastAsia" w:ascii="MingLiU" w:hAnsi="MingLiU" w:eastAsia="MingLiU" w:cs="MingLiU"/>
      <w:color w:val="000000"/>
      <w:sz w:val="22"/>
      <w:szCs w:val="22"/>
      <w:u w:val="none"/>
    </w:rPr>
  </w:style>
  <w:style w:type="paragraph" w:customStyle="1" w:styleId="485">
    <w:name w:val="Char Char Char Char Char Char1 Char"/>
    <w:basedOn w:val="1"/>
    <w:autoRedefine/>
    <w:qFormat/>
    <w:uiPriority w:val="0"/>
    <w:pPr>
      <w:spacing w:line="360" w:lineRule="auto"/>
      <w:ind w:firstLine="200" w:firstLineChars="200"/>
    </w:pPr>
    <w:rPr>
      <w:rFonts w:ascii="宋体" w:hAnsi="宋体" w:eastAsia="仿宋_GB2312" w:cs="宋体"/>
      <w:szCs w:val="20"/>
    </w:rPr>
  </w:style>
  <w:style w:type="paragraph" w:customStyle="1" w:styleId="486">
    <w:name w:val="7表格（治）"/>
    <w:autoRedefine/>
    <w:qFormat/>
    <w:uiPriority w:val="0"/>
    <w:pPr>
      <w:widowControl w:val="0"/>
      <w:adjustRightInd w:val="0"/>
      <w:snapToGrid w:val="0"/>
      <w:jc w:val="center"/>
    </w:pPr>
    <w:rPr>
      <w:rFonts w:ascii="Times New Roman" w:hAnsi="Times New Roman" w:eastAsia="宋体" w:cs="Times New Roman"/>
      <w:color w:val="000000"/>
      <w:sz w:val="21"/>
      <w:szCs w:val="21"/>
      <w:lang w:val="en-US" w:eastAsia="zh-CN" w:bidi="ar-SA"/>
    </w:rPr>
  </w:style>
  <w:style w:type="character" w:customStyle="1" w:styleId="487">
    <w:name w:val="普通(网站) Char"/>
    <w:link w:val="45"/>
    <w:autoRedefine/>
    <w:qFormat/>
    <w:locked/>
    <w:uiPriority w:val="0"/>
    <w:rPr>
      <w:rFonts w:ascii="Times New Roman" w:hAnsi="Times New Roman" w:eastAsia="宋体" w:cs="Times New Roman"/>
      <w:kern w:val="2"/>
      <w:sz w:val="24"/>
      <w:szCs w:val="24"/>
    </w:rPr>
  </w:style>
  <w:style w:type="paragraph" w:customStyle="1" w:styleId="488">
    <w:name w:val="彪哥文本"/>
    <w:basedOn w:val="1"/>
    <w:next w:val="1"/>
    <w:autoRedefine/>
    <w:qFormat/>
    <w:uiPriority w:val="0"/>
    <w:pPr>
      <w:adjustRightInd w:val="0"/>
      <w:snapToGrid w:val="0"/>
      <w:spacing w:before="10" w:beforeLines="10" w:after="10" w:afterLines="10" w:line="240" w:lineRule="auto"/>
      <w:jc w:val="center"/>
    </w:pPr>
    <w:rPr>
      <w:rFonts w:ascii="Times New Roman" w:hAnsi="Times New Roman" w:eastAsia="宋体"/>
      <w:kern w:val="0"/>
      <w:szCs w:val="20"/>
    </w:rPr>
  </w:style>
  <w:style w:type="character" w:customStyle="1" w:styleId="489">
    <w:name w:val="font11"/>
    <w:basedOn w:val="52"/>
    <w:autoRedefine/>
    <w:qFormat/>
    <w:uiPriority w:val="0"/>
    <w:rPr>
      <w:rFonts w:hint="default" w:ascii="Times New Roman" w:hAnsi="Times New Roman" w:cs="Times New Roman"/>
      <w:color w:val="000000"/>
      <w:sz w:val="21"/>
      <w:szCs w:val="21"/>
      <w:u w:val="none"/>
    </w:rPr>
  </w:style>
  <w:style w:type="paragraph" w:customStyle="1" w:styleId="490">
    <w:name w:val="正文-2"/>
    <w:basedOn w:val="1"/>
    <w:qFormat/>
    <w:uiPriority w:val="0"/>
    <w:pPr>
      <w:wordWrap w:val="0"/>
      <w:autoSpaceDE w:val="0"/>
      <w:autoSpaceDN w:val="0"/>
      <w:adjustRightInd w:val="0"/>
      <w:snapToGrid w:val="0"/>
      <w:spacing w:line="360" w:lineRule="auto"/>
      <w:ind w:firstLine="720" w:firstLineChars="200"/>
      <w:jc w:val="left"/>
    </w:pPr>
    <w:rPr>
      <w:rFonts w:hint="eastAsia" w:cs="宋体"/>
      <w:kern w:val="0"/>
      <w:szCs w:val="21"/>
    </w:rPr>
  </w:style>
  <w:style w:type="paragraph" w:customStyle="1" w:styleId="491">
    <w:name w:val="表格的字"/>
    <w:basedOn w:val="1"/>
    <w:next w:val="1"/>
    <w:autoRedefine/>
    <w:qFormat/>
    <w:uiPriority w:val="0"/>
    <w:pPr>
      <w:adjustRightInd/>
      <w:spacing w:line="240" w:lineRule="auto"/>
      <w:ind w:firstLine="0" w:firstLineChars="0"/>
      <w:jc w:val="center"/>
    </w:pPr>
    <w:rPr>
      <w:sz w:val="21"/>
      <w:szCs w:val="24"/>
    </w:rPr>
  </w:style>
  <w:style w:type="paragraph" w:customStyle="1" w:styleId="492">
    <w:name w:val="样式35"/>
    <w:next w:val="1"/>
    <w:autoRedefine/>
    <w:qFormat/>
    <w:uiPriority w:val="0"/>
    <w:pPr>
      <w:widowControl w:val="0"/>
      <w:spacing w:line="312" w:lineRule="auto"/>
      <w:ind w:firstLine="567"/>
      <w:jc w:val="both"/>
    </w:pPr>
    <w:rPr>
      <w:rFonts w:ascii="宋体" w:hAnsi="Calibri" w:eastAsia="宋体" w:cs="宋体"/>
      <w:kern w:val="2"/>
      <w:sz w:val="28"/>
      <w:lang w:val="en-US" w:eastAsia="zh-CN" w:bidi="ar-SA"/>
    </w:rPr>
  </w:style>
  <w:style w:type="character" w:customStyle="1" w:styleId="493">
    <w:name w:val="font21"/>
    <w:basedOn w:val="52"/>
    <w:qFormat/>
    <w:uiPriority w:val="0"/>
    <w:rPr>
      <w:rFonts w:hint="eastAsia" w:ascii="宋体" w:hAnsi="宋体" w:eastAsia="宋体" w:cs="宋体"/>
      <w:color w:val="000000"/>
      <w:sz w:val="24"/>
      <w:szCs w:val="24"/>
      <w:u w:val="none"/>
    </w:rPr>
  </w:style>
  <w:style w:type="paragraph" w:customStyle="1" w:styleId="494">
    <w:name w:val="一、建设项目基本情况"/>
    <w:basedOn w:val="1"/>
    <w:qFormat/>
    <w:uiPriority w:val="0"/>
    <w:pPr>
      <w:adjustRightInd w:val="0"/>
      <w:snapToGrid w:val="0"/>
      <w:jc w:val="center"/>
    </w:pPr>
    <w:rPr>
      <w:rFonts w:ascii="Times New Roman" w:hAnsi="Times New Roman"/>
      <w:color w:val="auto"/>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43.png"/><Relationship Id="rId6" Type="http://schemas.openxmlformats.org/officeDocument/2006/relationships/footer" Target="footer3.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jpeg"/><Relationship Id="rId56" Type="http://schemas.openxmlformats.org/officeDocument/2006/relationships/image" Target="media/image39.jpe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png"/><Relationship Id="rId51" Type="http://schemas.openxmlformats.org/officeDocument/2006/relationships/image" Target="media/image34.jpeg"/><Relationship Id="rId50" Type="http://schemas.openxmlformats.org/officeDocument/2006/relationships/image" Target="media/image33.jpeg"/><Relationship Id="rId5" Type="http://schemas.openxmlformats.org/officeDocument/2006/relationships/footer" Target="footer2.xml"/><Relationship Id="rId49" Type="http://schemas.openxmlformats.org/officeDocument/2006/relationships/image" Target="media/image32.jpeg"/><Relationship Id="rId48" Type="http://schemas.openxmlformats.org/officeDocument/2006/relationships/image" Target="media/image31.jpe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jpeg"/><Relationship Id="rId42" Type="http://schemas.openxmlformats.org/officeDocument/2006/relationships/image" Target="media/image25.jpeg"/><Relationship Id="rId41" Type="http://schemas.openxmlformats.org/officeDocument/2006/relationships/image" Target="media/image24.jpeg"/><Relationship Id="rId40" Type="http://schemas.openxmlformats.org/officeDocument/2006/relationships/image" Target="media/image23.png"/><Relationship Id="rId4" Type="http://schemas.openxmlformats.org/officeDocument/2006/relationships/footer" Target="footer1.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header" Target="header1.xml"/><Relationship Id="rId29" Type="http://schemas.openxmlformats.org/officeDocument/2006/relationships/image" Target="media/image12.pn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pn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png"/><Relationship Id="rId21" Type="http://schemas.openxmlformats.org/officeDocument/2006/relationships/image" Target="media/image4.png"/><Relationship Id="rId20" Type="http://schemas.openxmlformats.org/officeDocument/2006/relationships/image" Target="media/image3.png"/><Relationship Id="rId2" Type="http://schemas.openxmlformats.org/officeDocument/2006/relationships/settings" Target="settings.xml"/><Relationship Id="rId19" Type="http://schemas.openxmlformats.org/officeDocument/2006/relationships/image" Target="media/image2.pn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12.xml"/><Relationship Id="rId15" Type="http://schemas.openxmlformats.org/officeDocument/2006/relationships/header" Target="header2.xml"/><Relationship Id="rId14" Type="http://schemas.openxmlformats.org/officeDocument/2006/relationships/footer" Target="footer11.xml"/><Relationship Id="rId13" Type="http://schemas.openxmlformats.org/officeDocument/2006/relationships/footer" Target="footer10.xml"/><Relationship Id="rId12" Type="http://schemas.openxmlformats.org/officeDocument/2006/relationships/footer" Target="footer9.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daohangxitong.com</Company>
  <Pages>73</Pages>
  <Words>27668</Words>
  <Characters>31740</Characters>
  <Lines>264</Lines>
  <Paragraphs>74</Paragraphs>
  <TotalTime>13</TotalTime>
  <ScaleCrop>false</ScaleCrop>
  <LinksUpToDate>false</LinksUpToDate>
  <CharactersWithSpaces>32112</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2023-05-07T02:55:00Z</dcterms:created>
  <dc:creator>FH6898</dc:creator>
  <cp:lastModifiedBy>Linnux</cp:lastModifiedBy>
  <cp:lastPrinted>2023-07-17T06:47:00Z</cp:lastPrinted>
  <dcterms:modified xsi:type="dcterms:W3CDTF">2024-08-30T01:06:05Z</dcterms:modified>
  <cp:revision>171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22F142804F524348A4C3FBD6F6757CA5_13</vt:lpwstr>
  </property>
</Properties>
</file>