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3" w:tblpY="1913"/>
        <w:tblOverlap w:val="never"/>
        <w:tblW w:w="1497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65"/>
        <w:gridCol w:w="2766"/>
        <w:gridCol w:w="2135"/>
        <w:gridCol w:w="2801"/>
        <w:gridCol w:w="2520"/>
        <w:gridCol w:w="2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晋安区卫生健康局行政处罚案件（2021年9月29日）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当事人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违法行为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行政处罚内容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行政处罚决定下达日期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晋安河福中医内科诊所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使用非卫生技术人员开展诊疗活动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  <w:t>《医疗机构管理条例》第四十八条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  <w:t>榕晋卫医罚﹝2021﹞023号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罚款壹仟元整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2021.09.29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福州星享悦林酒店管理有点公司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安排未取得有效健康证明的从业人员从事直接为顾客服务的工作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《公共场所卫生管理条例》第十四条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《公共场所卫生管理条例实施细则》第三十六条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《公共场所卫生管理条例实施细则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&gt;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第三十八条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榕晋卫公罚﹝2021﹞003号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1、警告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2、罚款伍仟元整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2021.09.29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E09DB"/>
    <w:rsid w:val="061A4953"/>
    <w:rsid w:val="2B1E09DB"/>
    <w:rsid w:val="2C79468E"/>
    <w:rsid w:val="3C9B495B"/>
    <w:rsid w:val="3F6730EA"/>
    <w:rsid w:val="7F13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2021-11-14T06:50:00Z</dcterms:created>
  <dc:creator>寒岩晰</dc:creator>
  <cp:lastModifiedBy>淡淡风</cp:lastModifiedBy>
  <dcterms:modified xsi:type="dcterms:W3CDTF">2021-11-19T03:14:27Z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EA528356A0874CCD92F5E3368F6B44B3</vt:lpwstr>
  </property>
</Properties>
</file>