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ascii="宋体" w:hAnsi="宋体" w:eastAsia="宋体" w:cs="宋体"/>
          <w:color w:val="444444"/>
          <w:szCs w:val="21"/>
        </w:rPr>
      </w:pPr>
      <w:r>
        <w:rPr>
          <w:rFonts w:hint="eastAsia" w:ascii="宋体" w:hAnsi="宋体" w:eastAsia="宋体" w:cs="宋体"/>
          <w:b/>
          <w:bCs/>
          <w:color w:val="444444"/>
          <w:szCs w:val="21"/>
          <w:lang w:eastAsia="zh-CN"/>
        </w:rPr>
        <w:t>福州市</w:t>
      </w:r>
      <w:r>
        <w:rPr>
          <w:rFonts w:hint="eastAsia" w:ascii="宋体" w:hAnsi="宋体" w:eastAsia="宋体" w:cs="宋体"/>
          <w:b/>
          <w:bCs/>
          <w:color w:val="444444"/>
          <w:szCs w:val="21"/>
        </w:rPr>
        <w:t>晋安区</w:t>
      </w:r>
      <w:r>
        <w:rPr>
          <w:rFonts w:hint="eastAsia" w:ascii="宋体" w:hAnsi="宋体" w:eastAsia="宋体" w:cs="宋体"/>
          <w:b/>
          <w:bCs/>
          <w:color w:val="444444"/>
          <w:szCs w:val="21"/>
          <w:lang w:eastAsia="zh-CN"/>
        </w:rPr>
        <w:t>发展改革科和科技局（物价）</w:t>
      </w:r>
      <w:r>
        <w:rPr>
          <w:rFonts w:hint="eastAsia" w:ascii="宋体" w:hAnsi="宋体" w:eastAsia="宋体" w:cs="宋体"/>
          <w:b/>
          <w:bCs/>
          <w:color w:val="444444"/>
          <w:szCs w:val="21"/>
        </w:rPr>
        <w:t>随机抽查事项清单</w:t>
      </w:r>
      <w:r>
        <w:rPr>
          <w:rFonts w:hint="eastAsia" w:ascii="宋体" w:hAnsi="宋体" w:eastAsia="宋体" w:cs="宋体"/>
          <w:color w:val="444444"/>
          <w:kern w:val="0"/>
          <w:szCs w:val="21"/>
          <w:lang w:bidi="ar"/>
        </w:rPr>
        <w:t> </w:t>
      </w:r>
    </w:p>
    <w:tbl>
      <w:tblPr>
        <w:tblStyle w:val="7"/>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8"/>
        <w:gridCol w:w="468"/>
        <w:gridCol w:w="3631"/>
        <w:gridCol w:w="446"/>
        <w:gridCol w:w="2118"/>
        <w:gridCol w:w="1047"/>
        <w:gridCol w:w="4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blHeader/>
          <w:jc w:val="center"/>
        </w:trPr>
        <w:tc>
          <w:tcPr>
            <w:tcW w:w="37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序号</w:t>
            </w:r>
          </w:p>
        </w:tc>
        <w:tc>
          <w:tcPr>
            <w:tcW w:w="4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抽查事项</w:t>
            </w:r>
          </w:p>
        </w:tc>
        <w:tc>
          <w:tcPr>
            <w:tcW w:w="36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抽查依据</w:t>
            </w:r>
          </w:p>
        </w:tc>
        <w:tc>
          <w:tcPr>
            <w:tcW w:w="44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抽查主体</w:t>
            </w:r>
          </w:p>
        </w:tc>
        <w:tc>
          <w:tcPr>
            <w:tcW w:w="21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抽查对象</w:t>
            </w:r>
          </w:p>
        </w:tc>
        <w:tc>
          <w:tcPr>
            <w:tcW w:w="104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抽查内容</w:t>
            </w:r>
          </w:p>
        </w:tc>
        <w:tc>
          <w:tcPr>
            <w:tcW w:w="4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抽查方式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255" w:hRule="atLeast"/>
          <w:jc w:val="center"/>
        </w:trPr>
        <w:tc>
          <w:tcPr>
            <w:tcW w:w="3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1</w:t>
            </w:r>
          </w:p>
        </w:tc>
        <w:tc>
          <w:tcPr>
            <w:tcW w:w="46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对价格活动的监督检 查</w:t>
            </w:r>
          </w:p>
        </w:tc>
        <w:tc>
          <w:tcPr>
            <w:tcW w:w="363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00" w:lineRule="atLeast"/>
              <w:ind w:firstLine="480"/>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1.《价格法》</w:t>
            </w:r>
          </w:p>
          <w:p>
            <w:pPr>
              <w:widowControl/>
              <w:spacing w:line="300" w:lineRule="atLeast"/>
              <w:ind w:firstLine="480"/>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第三十三条  县级以上各级人民政府价格主管部门，依法对价格活动进行监督检查，并依照本法的规定对价格违法行为实施行政处罚。</w:t>
            </w:r>
          </w:p>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   2.《价格违法行为行政处罚规定》（国务院令第585号）</w:t>
            </w:r>
          </w:p>
          <w:p>
            <w:pPr>
              <w:widowControl/>
              <w:spacing w:line="300" w:lineRule="atLeast"/>
              <w:ind w:firstLine="480"/>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第二条 县级以上各级人民政府价格主管部门依法对价格活动进行监督检查，并决定对价格违法行为的行政处罚。</w:t>
            </w:r>
          </w:p>
          <w:p>
            <w:pPr>
              <w:widowControl/>
              <w:spacing w:line="300" w:lineRule="atLeast"/>
              <w:ind w:firstLine="321" w:firstLineChars="200"/>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3.《福建省价格管理条例》(1998年福建省九届人民代表大会常务委员会第二次会议通过)</w:t>
            </w:r>
          </w:p>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  第三条 县级以上人民政府价格主管部门(简称价格主管部门)统一负责本行政区域内的价格监督管理工作，其他有关部门依法在各自的职责范围内，负责有关的价格工作。</w:t>
            </w:r>
          </w:p>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第十九条 价格主管部门应依法对价格活动进行监督、检查，支持消费者和各类社会组织及新闻单位依法对价格行为进行社会监督或舆论监督，及时受理投诉和举报，查处价格违法行为。</w:t>
            </w:r>
          </w:p>
        </w:tc>
        <w:tc>
          <w:tcPr>
            <w:tcW w:w="44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hint="eastAsia" w:ascii="宋体" w:hAnsi="宋体" w:eastAsia="宋体" w:cs="宋体"/>
                <w:b/>
                <w:bCs w:val="0"/>
                <w:color w:val="444444"/>
                <w:sz w:val="16"/>
                <w:szCs w:val="16"/>
                <w:lang w:eastAsia="zh-CN"/>
              </w:rPr>
            </w:pPr>
            <w:r>
              <w:rPr>
                <w:rFonts w:hint="eastAsia" w:ascii="宋体" w:hAnsi="宋体" w:eastAsia="宋体" w:cs="宋体"/>
                <w:b/>
                <w:bCs w:val="0"/>
                <w:color w:val="444444"/>
                <w:sz w:val="16"/>
                <w:szCs w:val="16"/>
                <w:lang w:eastAsia="zh-CN"/>
              </w:rPr>
              <w:t>区发改局</w:t>
            </w:r>
          </w:p>
        </w:tc>
        <w:tc>
          <w:tcPr>
            <w:tcW w:w="21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在本辖区内的属于本级管理的经营单位</w:t>
            </w:r>
          </w:p>
          <w:p>
            <w:pPr>
              <w:widowControl/>
              <w:spacing w:line="300" w:lineRule="atLeast"/>
              <w:ind w:firstLine="448"/>
              <w:jc w:val="left"/>
              <w:rPr>
                <w:rFonts w:ascii="宋体" w:hAnsi="宋体" w:eastAsia="宋体" w:cs="宋体"/>
                <w:b/>
                <w:bCs w:val="0"/>
                <w:color w:val="444444"/>
                <w:sz w:val="16"/>
                <w:szCs w:val="16"/>
              </w:rPr>
            </w:pPr>
          </w:p>
        </w:tc>
        <w:tc>
          <w:tcPr>
            <w:tcW w:w="104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1.是否不执行政府指导价、政府定价行为</w:t>
            </w:r>
          </w:p>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2.是否不执行法定价格干预措施、紧急措施</w:t>
            </w:r>
          </w:p>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3.是否存在低价倾销行为</w:t>
            </w:r>
          </w:p>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4.是否存在价格歧视、哄抬价格、价格欺诈、变相提价或压价和牟取暴利等行为</w:t>
            </w:r>
          </w:p>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5.是否存在价格串通行为</w:t>
            </w:r>
          </w:p>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6.是否违反明码标价规定</w:t>
            </w:r>
          </w:p>
        </w:tc>
        <w:tc>
          <w:tcPr>
            <w:tcW w:w="43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比例抽查和条件抽查相结合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28" w:hRule="atLeast"/>
          <w:jc w:val="center"/>
        </w:trPr>
        <w:tc>
          <w:tcPr>
            <w:tcW w:w="3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2</w:t>
            </w:r>
          </w:p>
        </w:tc>
        <w:tc>
          <w:tcPr>
            <w:tcW w:w="46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对行政事业性收费的监督检查</w:t>
            </w:r>
          </w:p>
        </w:tc>
        <w:tc>
          <w:tcPr>
            <w:tcW w:w="363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ind w:firstLine="321" w:firstLineChars="200"/>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《福建省行政事业性收费管理条例》（1996年福建省八届人民代表大会常务委员会第二十三次会议通过）</w:t>
            </w:r>
          </w:p>
          <w:p>
            <w:pPr>
              <w:widowControl/>
              <w:spacing w:line="300" w:lineRule="atLeast"/>
              <w:ind w:firstLine="480"/>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第十六条 各收费单位必须主动接受各级财政、物价主管部门对其行政、事业性收费项目、标准、范围、票证、收支及征收管理工作进行的日常稽查和年度审验。</w:t>
            </w:r>
          </w:p>
        </w:tc>
        <w:tc>
          <w:tcPr>
            <w:tcW w:w="44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hint="eastAsia" w:ascii="宋体" w:hAnsi="宋体" w:eastAsia="宋体" w:cs="宋体"/>
                <w:b/>
                <w:bCs w:val="0"/>
                <w:color w:val="444444"/>
                <w:sz w:val="16"/>
                <w:szCs w:val="16"/>
                <w:lang w:eastAsia="zh-CN"/>
              </w:rPr>
            </w:pPr>
            <w:r>
              <w:rPr>
                <w:rFonts w:hint="eastAsia" w:ascii="宋体" w:hAnsi="宋体" w:eastAsia="宋体" w:cs="宋体"/>
                <w:b/>
                <w:bCs w:val="0"/>
                <w:color w:val="444444"/>
                <w:kern w:val="0"/>
                <w:sz w:val="16"/>
                <w:szCs w:val="16"/>
                <w:lang w:bidi="ar"/>
              </w:rPr>
              <w:t>区</w:t>
            </w:r>
            <w:r>
              <w:rPr>
                <w:rFonts w:hint="eastAsia" w:ascii="宋体" w:hAnsi="宋体" w:eastAsia="宋体" w:cs="宋体"/>
                <w:b/>
                <w:bCs w:val="0"/>
                <w:color w:val="444444"/>
                <w:kern w:val="0"/>
                <w:sz w:val="16"/>
                <w:szCs w:val="16"/>
                <w:lang w:eastAsia="zh-CN" w:bidi="ar"/>
              </w:rPr>
              <w:t>发改局</w:t>
            </w:r>
          </w:p>
        </w:tc>
        <w:tc>
          <w:tcPr>
            <w:tcW w:w="21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在本辖区内属于本级管理的行政事业单位</w:t>
            </w:r>
          </w:p>
          <w:p>
            <w:pPr>
              <w:widowControl/>
              <w:spacing w:line="300" w:lineRule="atLeast"/>
              <w:ind w:firstLine="480"/>
              <w:jc w:val="left"/>
              <w:rPr>
                <w:rFonts w:ascii="宋体" w:hAnsi="宋体" w:eastAsia="宋体" w:cs="宋体"/>
                <w:b/>
                <w:bCs w:val="0"/>
                <w:color w:val="444444"/>
                <w:sz w:val="16"/>
                <w:szCs w:val="16"/>
              </w:rPr>
            </w:pPr>
          </w:p>
        </w:tc>
        <w:tc>
          <w:tcPr>
            <w:tcW w:w="104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spacing w:val="-8"/>
                <w:kern w:val="0"/>
                <w:sz w:val="16"/>
                <w:szCs w:val="16"/>
                <w:lang w:bidi="ar"/>
              </w:rPr>
              <w:t>1.是否存在违法收费行为</w:t>
            </w:r>
          </w:p>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spacing w:val="-8"/>
                <w:kern w:val="0"/>
                <w:sz w:val="16"/>
                <w:szCs w:val="16"/>
                <w:lang w:bidi="ar"/>
              </w:rPr>
              <w:t>2.对收费单位年度报告的抽查</w:t>
            </w:r>
          </w:p>
        </w:tc>
        <w:tc>
          <w:tcPr>
            <w:tcW w:w="43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比例抽查和条件抽查相结合</w:t>
            </w:r>
          </w:p>
        </w:tc>
      </w:tr>
    </w:tbl>
    <w:p/>
    <w:p/>
    <w:p/>
    <w:tbl>
      <w:tblPr>
        <w:tblStyle w:val="7"/>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8"/>
        <w:gridCol w:w="468"/>
        <w:gridCol w:w="3631"/>
        <w:gridCol w:w="446"/>
        <w:gridCol w:w="2118"/>
        <w:gridCol w:w="1047"/>
        <w:gridCol w:w="4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53" w:hRule="atLeast"/>
          <w:tblHeader/>
          <w:jc w:val="center"/>
        </w:trPr>
        <w:tc>
          <w:tcPr>
            <w:tcW w:w="37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序号</w:t>
            </w:r>
          </w:p>
        </w:tc>
        <w:tc>
          <w:tcPr>
            <w:tcW w:w="4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抽查事项</w:t>
            </w:r>
          </w:p>
        </w:tc>
        <w:tc>
          <w:tcPr>
            <w:tcW w:w="36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抽查依据</w:t>
            </w:r>
          </w:p>
        </w:tc>
        <w:tc>
          <w:tcPr>
            <w:tcW w:w="44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抽查主体</w:t>
            </w:r>
          </w:p>
        </w:tc>
        <w:tc>
          <w:tcPr>
            <w:tcW w:w="21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抽查对象</w:t>
            </w:r>
          </w:p>
        </w:tc>
        <w:tc>
          <w:tcPr>
            <w:tcW w:w="104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抽查内容</w:t>
            </w:r>
          </w:p>
        </w:tc>
        <w:tc>
          <w:tcPr>
            <w:tcW w:w="4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抽查方式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255" w:hRule="atLeast"/>
          <w:jc w:val="center"/>
        </w:trPr>
        <w:tc>
          <w:tcPr>
            <w:tcW w:w="3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hint="eastAsia" w:ascii="宋体" w:hAnsi="宋体" w:eastAsia="宋体" w:cs="宋体"/>
                <w:b/>
                <w:bCs w:val="0"/>
                <w:color w:val="444444"/>
                <w:sz w:val="16"/>
                <w:szCs w:val="16"/>
                <w:lang w:eastAsia="zh-CN"/>
              </w:rPr>
            </w:pPr>
            <w:r>
              <w:rPr>
                <w:rFonts w:hint="eastAsia" w:ascii="宋体" w:hAnsi="宋体" w:eastAsia="宋体" w:cs="宋体"/>
                <w:b/>
                <w:bCs w:val="0"/>
                <w:color w:val="444444"/>
                <w:kern w:val="0"/>
                <w:sz w:val="16"/>
                <w:szCs w:val="16"/>
                <w:lang w:val="en-US" w:eastAsia="zh-CN" w:bidi="ar"/>
              </w:rPr>
              <w:t>3</w:t>
            </w:r>
          </w:p>
        </w:tc>
        <w:tc>
          <w:tcPr>
            <w:tcW w:w="46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对我局职责范围内和受上级委托的项目、资金执行情况的监督检查</w:t>
            </w:r>
          </w:p>
        </w:tc>
        <w:tc>
          <w:tcPr>
            <w:tcW w:w="363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300" w:lineRule="atLeast"/>
              <w:jc w:val="left"/>
              <w:rPr>
                <w:rFonts w:hint="eastAsia" w:ascii="宋体" w:hAnsi="宋体" w:eastAsia="宋体" w:cs="宋体"/>
                <w:b/>
                <w:bCs w:val="0"/>
                <w:color w:val="444444"/>
                <w:kern w:val="0"/>
                <w:sz w:val="16"/>
                <w:szCs w:val="16"/>
                <w:lang w:bidi="ar"/>
              </w:rPr>
            </w:pPr>
            <w:r>
              <w:rPr>
                <w:rFonts w:hint="eastAsia" w:ascii="宋体" w:hAnsi="宋体" w:eastAsia="宋体" w:cs="宋体"/>
                <w:b/>
                <w:bCs w:val="0"/>
                <w:color w:val="444444"/>
                <w:kern w:val="0"/>
                <w:sz w:val="16"/>
                <w:szCs w:val="16"/>
                <w:lang w:bidi="ar"/>
              </w:rPr>
              <w:t>1.《企业投资项目核准和备案管理办法》（2017年国家发展改革委令第2号）</w:t>
            </w:r>
          </w:p>
          <w:p>
            <w:pPr>
              <w:widowControl/>
              <w:spacing w:line="300" w:lineRule="atLeast"/>
              <w:jc w:val="left"/>
              <w:rPr>
                <w:rFonts w:hint="eastAsia" w:ascii="宋体" w:hAnsi="宋体" w:eastAsia="宋体" w:cs="宋体"/>
                <w:b/>
                <w:bCs w:val="0"/>
                <w:color w:val="444444"/>
                <w:kern w:val="0"/>
                <w:sz w:val="16"/>
                <w:szCs w:val="16"/>
                <w:lang w:bidi="ar"/>
              </w:rPr>
            </w:pPr>
            <w:r>
              <w:rPr>
                <w:rFonts w:hint="eastAsia" w:ascii="宋体" w:hAnsi="宋体" w:eastAsia="宋体" w:cs="宋体"/>
                <w:b/>
                <w:bCs w:val="0"/>
                <w:color w:val="444444"/>
                <w:kern w:val="0"/>
                <w:sz w:val="16"/>
                <w:szCs w:val="16"/>
                <w:lang w:bidi="ar"/>
              </w:rPr>
              <w:t xml:space="preserve">   第四十六条第一款 项目核准和备案机关、行业管理、城乡规划（建设）、国家安全、国土（海洋）资源、环境保护、节能审查、金融监管、安全生产监管、审计等部门，应当按照谁审批谁监管、谁主管谁监管的原则，采取在线监测、现场核查等方式，依法加强对项目的事中事后监管。</w:t>
            </w:r>
          </w:p>
          <w:p>
            <w:pPr>
              <w:widowControl/>
              <w:spacing w:line="300" w:lineRule="atLeast"/>
              <w:jc w:val="left"/>
              <w:rPr>
                <w:rFonts w:hint="eastAsia" w:ascii="宋体" w:hAnsi="宋体" w:eastAsia="宋体" w:cs="宋体"/>
                <w:b/>
                <w:bCs w:val="0"/>
                <w:color w:val="444444"/>
                <w:kern w:val="0"/>
                <w:sz w:val="16"/>
                <w:szCs w:val="16"/>
                <w:lang w:bidi="ar"/>
              </w:rPr>
            </w:pPr>
            <w:r>
              <w:rPr>
                <w:rFonts w:hint="eastAsia" w:ascii="宋体" w:hAnsi="宋体" w:eastAsia="宋体" w:cs="宋体"/>
                <w:b/>
                <w:bCs w:val="0"/>
                <w:color w:val="444444"/>
                <w:kern w:val="0"/>
                <w:sz w:val="16"/>
                <w:szCs w:val="16"/>
                <w:lang w:bidi="ar"/>
              </w:rPr>
              <w:t xml:space="preserve">   第二款 项目核准、备案机关应当根据法律法规和发展规划、产业政策、总量控制目标、技术政策、准入标准及相关环保要求等，对项目进行监管。</w:t>
            </w:r>
          </w:p>
          <w:p>
            <w:pPr>
              <w:widowControl/>
              <w:spacing w:line="300" w:lineRule="atLeast"/>
              <w:jc w:val="left"/>
              <w:rPr>
                <w:rFonts w:hint="eastAsia" w:ascii="宋体" w:hAnsi="宋体" w:eastAsia="宋体" w:cs="宋体"/>
                <w:b/>
                <w:bCs w:val="0"/>
                <w:color w:val="444444"/>
                <w:kern w:val="0"/>
                <w:sz w:val="16"/>
                <w:szCs w:val="16"/>
                <w:lang w:bidi="ar"/>
              </w:rPr>
            </w:pPr>
            <w:r>
              <w:rPr>
                <w:rFonts w:hint="eastAsia" w:ascii="宋体" w:hAnsi="宋体" w:eastAsia="宋体" w:cs="宋体"/>
                <w:b/>
                <w:bCs w:val="0"/>
                <w:color w:val="444444"/>
                <w:kern w:val="0"/>
                <w:sz w:val="16"/>
                <w:szCs w:val="16"/>
                <w:lang w:bidi="ar"/>
              </w:rPr>
              <w:t xml:space="preserve">    2.《国家高技术产业发展项目管理暂行办法》（2006年国家发展改革委令第43号）</w:t>
            </w:r>
          </w:p>
          <w:p>
            <w:pPr>
              <w:widowControl/>
              <w:spacing w:line="300" w:lineRule="atLeast"/>
              <w:jc w:val="left"/>
              <w:rPr>
                <w:rFonts w:hint="eastAsia" w:ascii="宋体" w:hAnsi="宋体" w:eastAsia="宋体" w:cs="宋体"/>
                <w:b/>
                <w:bCs w:val="0"/>
                <w:color w:val="444444"/>
                <w:kern w:val="0"/>
                <w:sz w:val="16"/>
                <w:szCs w:val="16"/>
                <w:lang w:bidi="ar"/>
              </w:rPr>
            </w:pPr>
            <w:r>
              <w:rPr>
                <w:rFonts w:hint="eastAsia" w:ascii="宋体" w:hAnsi="宋体" w:eastAsia="宋体" w:cs="宋体"/>
                <w:b/>
                <w:bCs w:val="0"/>
                <w:color w:val="444444"/>
                <w:kern w:val="0"/>
                <w:sz w:val="16"/>
                <w:szCs w:val="16"/>
                <w:lang w:bidi="ar"/>
              </w:rPr>
              <w:t xml:space="preserve">  第六条 （二）项目主管部门负责国家高技术产业发展项目的管理工作和项目实施中重大问题的协调、处理，确保项目按期完成并组织项目验收工作；（三）项目主管部门配合国家有关部门进行稽查、审计和检查工作。</w:t>
            </w:r>
          </w:p>
          <w:p>
            <w:pPr>
              <w:widowControl/>
              <w:spacing w:line="300" w:lineRule="atLeast"/>
              <w:jc w:val="left"/>
              <w:rPr>
                <w:rFonts w:hint="eastAsia" w:ascii="宋体" w:hAnsi="宋体" w:eastAsia="宋体" w:cs="宋体"/>
                <w:b/>
                <w:bCs w:val="0"/>
                <w:color w:val="444444"/>
                <w:kern w:val="0"/>
                <w:sz w:val="16"/>
                <w:szCs w:val="16"/>
                <w:lang w:bidi="ar"/>
              </w:rPr>
            </w:pPr>
            <w:r>
              <w:rPr>
                <w:rFonts w:hint="eastAsia" w:ascii="宋体" w:hAnsi="宋体" w:eastAsia="宋体" w:cs="宋体"/>
                <w:b/>
                <w:bCs w:val="0"/>
                <w:color w:val="444444"/>
                <w:kern w:val="0"/>
                <w:sz w:val="16"/>
                <w:szCs w:val="16"/>
                <w:lang w:bidi="ar"/>
              </w:rPr>
              <w:t xml:space="preserve">   3.《国家发展改革委关于对取消和下放行政审批事项加强后续监管的指导意见》（发改政研【2013】2091号）地方发展改革部门要切实履行监管责任，发现违法违规行为，职责权限内的要及时查处，超出职责权限的要主动上报。</w:t>
            </w:r>
          </w:p>
          <w:p>
            <w:pPr>
              <w:widowControl/>
              <w:spacing w:line="300" w:lineRule="atLeast"/>
              <w:jc w:val="left"/>
              <w:rPr>
                <w:rFonts w:hint="eastAsia" w:ascii="宋体" w:hAnsi="宋体" w:eastAsia="宋体" w:cs="宋体"/>
                <w:b/>
                <w:bCs w:val="0"/>
                <w:color w:val="444444"/>
                <w:kern w:val="0"/>
                <w:sz w:val="16"/>
                <w:szCs w:val="16"/>
                <w:lang w:bidi="ar"/>
              </w:rPr>
            </w:pPr>
            <w:r>
              <w:rPr>
                <w:rFonts w:hint="eastAsia" w:ascii="宋体" w:hAnsi="宋体" w:eastAsia="宋体" w:cs="宋体"/>
                <w:b/>
                <w:bCs w:val="0"/>
                <w:color w:val="444444"/>
                <w:kern w:val="0"/>
                <w:sz w:val="16"/>
                <w:szCs w:val="16"/>
                <w:lang w:bidi="ar"/>
              </w:rPr>
              <w:t xml:space="preserve">   4.《国家发展改革委关于对取消和下放行政审批事项加强后续监管的指导意见》（发改政研【2013】2091号）地方发展改革部门要切实履行监管责任，发现违法违规行为，职责权限内的要及时查处，超出职责权限的要主动上报。</w:t>
            </w:r>
          </w:p>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 xml:space="preserve">   5.《福建省省级预算内基建资金安排使用管理办法》（闽政【2001】22号）第十二条 省发展计划委员会、财政厅、审计厅及项目单位的纪检监察派驻机构应当加强对省级预算内基建资金安排使用管理情况的监督检查，发现违反财经纪律等违法行为的要纪依法及时调查处理。</w:t>
            </w:r>
          </w:p>
        </w:tc>
        <w:tc>
          <w:tcPr>
            <w:tcW w:w="44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hint="eastAsia" w:ascii="宋体" w:hAnsi="宋体" w:eastAsia="宋体" w:cs="宋体"/>
                <w:b/>
                <w:bCs w:val="0"/>
                <w:color w:val="444444"/>
                <w:sz w:val="16"/>
                <w:szCs w:val="16"/>
                <w:lang w:eastAsia="zh-CN"/>
              </w:rPr>
            </w:pPr>
            <w:r>
              <w:rPr>
                <w:rFonts w:hint="eastAsia" w:ascii="宋体" w:hAnsi="宋体" w:eastAsia="宋体" w:cs="宋体"/>
                <w:b/>
                <w:bCs w:val="0"/>
                <w:color w:val="444444"/>
                <w:sz w:val="16"/>
                <w:szCs w:val="16"/>
                <w:lang w:eastAsia="zh-CN"/>
              </w:rPr>
              <w:t>区发改局</w:t>
            </w:r>
          </w:p>
        </w:tc>
        <w:tc>
          <w:tcPr>
            <w:tcW w:w="21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列入审批项目、资金执行情况检查对象</w:t>
            </w:r>
          </w:p>
        </w:tc>
        <w:tc>
          <w:tcPr>
            <w:tcW w:w="104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职责范围内和受上级委托的审批（核准、备案）项目、资金执行情况</w:t>
            </w:r>
          </w:p>
        </w:tc>
        <w:tc>
          <w:tcPr>
            <w:tcW w:w="43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比例抽查和条件抽查相结合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941" w:hRule="atLeast"/>
          <w:jc w:val="center"/>
        </w:trPr>
        <w:tc>
          <w:tcPr>
            <w:tcW w:w="3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hint="eastAsia" w:ascii="宋体" w:hAnsi="宋体" w:eastAsia="宋体" w:cs="宋体"/>
                <w:b/>
                <w:bCs w:val="0"/>
                <w:color w:val="444444"/>
                <w:sz w:val="16"/>
                <w:szCs w:val="16"/>
                <w:lang w:eastAsia="zh-CN"/>
              </w:rPr>
            </w:pPr>
            <w:r>
              <w:rPr>
                <w:rFonts w:hint="eastAsia" w:ascii="宋体" w:hAnsi="宋体" w:eastAsia="宋体" w:cs="宋体"/>
                <w:b/>
                <w:bCs w:val="0"/>
                <w:color w:val="444444"/>
                <w:kern w:val="0"/>
                <w:sz w:val="16"/>
                <w:szCs w:val="16"/>
                <w:lang w:val="en-US" w:eastAsia="zh-CN" w:bidi="ar"/>
              </w:rPr>
              <w:t>4</w:t>
            </w:r>
          </w:p>
        </w:tc>
        <w:tc>
          <w:tcPr>
            <w:tcW w:w="46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left"/>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配合省市重点办对省市重点项监督检查和考评，对全</w:t>
            </w:r>
            <w:r>
              <w:rPr>
                <w:rFonts w:hint="eastAsia" w:ascii="宋体" w:hAnsi="宋体" w:eastAsia="宋体" w:cs="宋体"/>
                <w:b/>
                <w:bCs w:val="0"/>
                <w:color w:val="444444"/>
                <w:kern w:val="0"/>
                <w:sz w:val="16"/>
                <w:szCs w:val="16"/>
                <w:lang w:eastAsia="zh-CN" w:bidi="ar"/>
              </w:rPr>
              <w:t>区</w:t>
            </w:r>
            <w:r>
              <w:rPr>
                <w:rFonts w:hint="eastAsia" w:ascii="宋体" w:hAnsi="宋体" w:eastAsia="宋体" w:cs="宋体"/>
                <w:b/>
                <w:bCs w:val="0"/>
                <w:color w:val="444444"/>
                <w:kern w:val="0"/>
                <w:sz w:val="16"/>
                <w:szCs w:val="16"/>
                <w:lang w:bidi="ar"/>
              </w:rPr>
              <w:t>重点项目建设情况开展督查考核</w:t>
            </w:r>
          </w:p>
        </w:tc>
        <w:tc>
          <w:tcPr>
            <w:tcW w:w="363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ind w:firstLine="321" w:firstLineChars="200"/>
              <w:jc w:val="left"/>
              <w:rPr>
                <w:rFonts w:hint="eastAsia" w:ascii="宋体" w:hAnsi="宋体" w:eastAsia="宋体" w:cs="宋体"/>
                <w:b/>
                <w:bCs w:val="0"/>
                <w:color w:val="444444"/>
                <w:kern w:val="0"/>
                <w:sz w:val="16"/>
                <w:szCs w:val="16"/>
                <w:lang w:bidi="ar"/>
              </w:rPr>
            </w:pPr>
            <w:r>
              <w:rPr>
                <w:rFonts w:hint="eastAsia" w:ascii="宋体" w:hAnsi="宋体" w:eastAsia="宋体" w:cs="宋体"/>
                <w:b/>
                <w:bCs w:val="0"/>
                <w:color w:val="444444"/>
                <w:kern w:val="0"/>
                <w:sz w:val="16"/>
                <w:szCs w:val="16"/>
                <w:lang w:val="en-US" w:eastAsia="zh-CN" w:bidi="ar"/>
              </w:rPr>
              <w:t>1.《福建省人民政府办公厅印发省重点项目分级分类管理办法的通知》（闽政办〔2013〕4号）</w:t>
            </w:r>
          </w:p>
          <w:p>
            <w:pPr>
              <w:widowControl/>
              <w:spacing w:line="300" w:lineRule="atLeast"/>
              <w:jc w:val="left"/>
              <w:rPr>
                <w:rFonts w:hint="eastAsia" w:ascii="宋体" w:hAnsi="宋体" w:eastAsia="宋体" w:cs="宋体"/>
                <w:b/>
                <w:bCs w:val="0"/>
                <w:color w:val="444444"/>
                <w:kern w:val="0"/>
                <w:sz w:val="16"/>
                <w:szCs w:val="16"/>
                <w:lang w:bidi="ar"/>
              </w:rPr>
            </w:pPr>
            <w:r>
              <w:rPr>
                <w:rFonts w:hint="default" w:ascii="宋体" w:hAnsi="宋体" w:eastAsia="宋体" w:cs="宋体"/>
                <w:b/>
                <w:bCs w:val="0"/>
                <w:color w:val="444444"/>
                <w:kern w:val="0"/>
                <w:sz w:val="16"/>
                <w:szCs w:val="16"/>
                <w:lang w:val="en-US" w:eastAsia="zh-CN" w:bidi="ar"/>
              </w:rPr>
              <w:t xml:space="preserve">    三、落实省重点项目年度工作目标任务</w:t>
            </w:r>
          </w:p>
          <w:p>
            <w:pPr>
              <w:widowControl/>
              <w:spacing w:line="300" w:lineRule="atLeast"/>
              <w:jc w:val="left"/>
              <w:rPr>
                <w:rFonts w:hint="eastAsia" w:ascii="宋体" w:hAnsi="宋体" w:eastAsia="宋体" w:cs="宋体"/>
                <w:b/>
                <w:bCs w:val="0"/>
                <w:color w:val="444444"/>
                <w:kern w:val="0"/>
                <w:sz w:val="16"/>
                <w:szCs w:val="16"/>
                <w:lang w:bidi="ar"/>
              </w:rPr>
            </w:pPr>
            <w:r>
              <w:rPr>
                <w:rFonts w:hint="default" w:ascii="宋体" w:hAnsi="宋体" w:eastAsia="宋体" w:cs="宋体"/>
                <w:b/>
                <w:bCs w:val="0"/>
                <w:color w:val="444444"/>
                <w:kern w:val="0"/>
                <w:sz w:val="16"/>
                <w:szCs w:val="16"/>
                <w:lang w:val="en-US" w:eastAsia="zh-CN" w:bidi="ar"/>
              </w:rPr>
              <w:t xml:space="preserve">（三）考核评价。区重点办定期或不定期组织乡镇（街道）和有关部门，对省市重点项目建设进度、质量、安全等进行检查督促，对项目建设单位的年度目标任务完成情况进行考评并通报考评结果。                                     </w:t>
            </w:r>
          </w:p>
          <w:p>
            <w:pPr>
              <w:widowControl/>
              <w:spacing w:line="300" w:lineRule="atLeast"/>
              <w:ind w:firstLine="480"/>
              <w:jc w:val="left"/>
              <w:rPr>
                <w:rFonts w:ascii="宋体" w:hAnsi="宋体" w:eastAsia="宋体" w:cs="宋体"/>
                <w:b/>
                <w:bCs w:val="0"/>
                <w:color w:val="444444"/>
                <w:sz w:val="16"/>
                <w:szCs w:val="16"/>
              </w:rPr>
            </w:pPr>
          </w:p>
        </w:tc>
        <w:tc>
          <w:tcPr>
            <w:tcW w:w="44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hint="eastAsia" w:ascii="宋体" w:hAnsi="宋体" w:eastAsia="宋体" w:cs="宋体"/>
                <w:b/>
                <w:bCs w:val="0"/>
                <w:color w:val="444444"/>
                <w:sz w:val="16"/>
                <w:szCs w:val="16"/>
                <w:lang w:eastAsia="zh-CN"/>
              </w:rPr>
            </w:pPr>
            <w:r>
              <w:rPr>
                <w:rFonts w:hint="eastAsia" w:ascii="宋体" w:hAnsi="宋体" w:eastAsia="宋体" w:cs="宋体"/>
                <w:b/>
                <w:bCs w:val="0"/>
                <w:color w:val="444444"/>
                <w:kern w:val="0"/>
                <w:sz w:val="16"/>
                <w:szCs w:val="16"/>
                <w:lang w:bidi="ar"/>
              </w:rPr>
              <w:t>区</w:t>
            </w:r>
            <w:r>
              <w:rPr>
                <w:rFonts w:hint="eastAsia" w:ascii="宋体" w:hAnsi="宋体" w:eastAsia="宋体" w:cs="宋体"/>
                <w:b/>
                <w:bCs w:val="0"/>
                <w:color w:val="444444"/>
                <w:kern w:val="0"/>
                <w:sz w:val="16"/>
                <w:szCs w:val="16"/>
                <w:lang w:eastAsia="zh-CN" w:bidi="ar"/>
              </w:rPr>
              <w:t>发改局</w:t>
            </w:r>
          </w:p>
        </w:tc>
        <w:tc>
          <w:tcPr>
            <w:tcW w:w="21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ind w:firstLine="480"/>
              <w:jc w:val="left"/>
              <w:rPr>
                <w:rFonts w:ascii="宋体" w:hAnsi="宋体" w:eastAsia="宋体" w:cs="宋体"/>
                <w:b/>
                <w:bCs w:val="0"/>
                <w:color w:val="444444"/>
                <w:sz w:val="16"/>
                <w:szCs w:val="16"/>
              </w:rPr>
            </w:pPr>
            <w:bookmarkStart w:id="0" w:name="_GoBack"/>
            <w:bookmarkEnd w:id="0"/>
            <w:r>
              <w:rPr>
                <w:rFonts w:hint="eastAsia" w:ascii="宋体" w:hAnsi="宋体" w:eastAsia="宋体" w:cs="宋体"/>
                <w:b/>
                <w:bCs w:val="0"/>
                <w:color w:val="444444"/>
                <w:kern w:val="0"/>
                <w:sz w:val="16"/>
                <w:szCs w:val="16"/>
                <w:lang w:bidi="ar"/>
              </w:rPr>
              <w:t>全</w:t>
            </w:r>
            <w:r>
              <w:rPr>
                <w:rFonts w:hint="eastAsia" w:ascii="宋体" w:hAnsi="宋体" w:eastAsia="宋体" w:cs="宋体"/>
                <w:b/>
                <w:bCs w:val="0"/>
                <w:color w:val="444444"/>
                <w:kern w:val="0"/>
                <w:sz w:val="16"/>
                <w:szCs w:val="16"/>
                <w:lang w:eastAsia="zh-CN" w:bidi="ar"/>
              </w:rPr>
              <w:t>区</w:t>
            </w:r>
            <w:r>
              <w:rPr>
                <w:rFonts w:hint="eastAsia" w:ascii="宋体" w:hAnsi="宋体" w:eastAsia="宋体" w:cs="宋体"/>
                <w:b/>
                <w:bCs w:val="0"/>
                <w:color w:val="444444"/>
                <w:kern w:val="0"/>
                <w:sz w:val="16"/>
                <w:szCs w:val="16"/>
                <w:lang w:bidi="ar"/>
              </w:rPr>
              <w:t>重点项目</w:t>
            </w:r>
          </w:p>
        </w:tc>
        <w:tc>
          <w:tcPr>
            <w:tcW w:w="104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left"/>
              <w:rPr>
                <w:rFonts w:hint="eastAsia" w:ascii="宋体" w:hAnsi="宋体" w:eastAsia="宋体" w:cs="宋体"/>
                <w:b/>
                <w:bCs w:val="0"/>
                <w:color w:val="444444"/>
                <w:kern w:val="0"/>
                <w:sz w:val="16"/>
                <w:szCs w:val="16"/>
                <w:lang w:bidi="ar"/>
              </w:rPr>
            </w:pPr>
            <w:r>
              <w:rPr>
                <w:rFonts w:hint="eastAsia" w:ascii="宋体" w:hAnsi="宋体" w:eastAsia="宋体" w:cs="宋体"/>
                <w:b/>
                <w:bCs w:val="0"/>
                <w:color w:val="444444"/>
                <w:kern w:val="0"/>
                <w:sz w:val="16"/>
                <w:szCs w:val="16"/>
                <w:lang w:val="en-US" w:eastAsia="zh-CN" w:bidi="ar"/>
              </w:rPr>
              <w:t>对考核类项目建设进度、质量、安全等进行检查督促，对项目建设单位的年度目标任务完成情况和参加单位的业绩信誉情况进行考评</w:t>
            </w:r>
          </w:p>
          <w:p>
            <w:pPr>
              <w:widowControl/>
              <w:spacing w:line="300" w:lineRule="atLeast"/>
              <w:jc w:val="left"/>
              <w:rPr>
                <w:rFonts w:ascii="宋体" w:hAnsi="宋体" w:eastAsia="宋体" w:cs="宋体"/>
                <w:b/>
                <w:bCs w:val="0"/>
                <w:color w:val="444444"/>
                <w:sz w:val="16"/>
                <w:szCs w:val="16"/>
              </w:rPr>
            </w:pPr>
          </w:p>
        </w:tc>
        <w:tc>
          <w:tcPr>
            <w:tcW w:w="43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b/>
                <w:bCs w:val="0"/>
                <w:color w:val="444444"/>
                <w:sz w:val="16"/>
                <w:szCs w:val="16"/>
              </w:rPr>
            </w:pPr>
            <w:r>
              <w:rPr>
                <w:rFonts w:hint="eastAsia" w:ascii="宋体" w:hAnsi="宋体" w:eastAsia="宋体" w:cs="宋体"/>
                <w:b/>
                <w:bCs w:val="0"/>
                <w:color w:val="444444"/>
                <w:kern w:val="0"/>
                <w:sz w:val="16"/>
                <w:szCs w:val="16"/>
                <w:lang w:bidi="ar"/>
              </w:rPr>
              <w:t>比例抽查和条件抽查相结合</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25E46"/>
    <w:rsid w:val="4E83439D"/>
    <w:rsid w:val="4FB12DAB"/>
    <w:rsid w:val="645E7EE2"/>
    <w:rsid w:val="69E9349D"/>
    <w:rsid w:val="6AC140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侍飞</cp:lastModifiedBy>
  <dcterms:modified xsi:type="dcterms:W3CDTF">2018-07-27T03:01:38Z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