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行政强制流程图</w:t>
      </w:r>
      <w:r>
        <w:rPr>
          <w:rFonts w:ascii="黑体" w:hAnsi="黑体" w:eastAsia="黑体"/>
          <w:b/>
          <w:sz w:val="30"/>
          <w:szCs w:val="30"/>
        </w:rPr>
        <w:t>FZ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JA</w:t>
      </w:r>
      <w:r>
        <w:rPr>
          <w:rFonts w:ascii="黑体" w:hAnsi="黑体" w:eastAsia="黑体"/>
          <w:b/>
          <w:sz w:val="30"/>
          <w:szCs w:val="30"/>
        </w:rPr>
        <w:t>01NY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NC</w:t>
      </w:r>
      <w:r>
        <w:rPr>
          <w:rFonts w:ascii="黑体" w:hAnsi="黑体" w:eastAsia="黑体"/>
          <w:b/>
          <w:sz w:val="30"/>
          <w:szCs w:val="30"/>
        </w:rPr>
        <w:t>-QZ-0001</w:t>
      </w:r>
      <w:r>
        <w:rPr>
          <w:rFonts w:hint="eastAsia" w:ascii="黑体" w:hAnsi="黑体" w:eastAsia="黑体"/>
          <w:b/>
          <w:sz w:val="30"/>
          <w:szCs w:val="30"/>
        </w:rPr>
        <w:t>至</w:t>
      </w:r>
      <w:r>
        <w:rPr>
          <w:rFonts w:ascii="黑体" w:hAnsi="黑体" w:eastAsia="黑体"/>
          <w:b/>
          <w:sz w:val="30"/>
          <w:szCs w:val="30"/>
        </w:rPr>
        <w:t>FZ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JA</w:t>
      </w:r>
      <w:r>
        <w:rPr>
          <w:rFonts w:ascii="黑体" w:hAnsi="黑体" w:eastAsia="黑体"/>
          <w:b/>
          <w:sz w:val="30"/>
          <w:szCs w:val="30"/>
        </w:rPr>
        <w:t>01NY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NC</w:t>
      </w:r>
      <w:r>
        <w:rPr>
          <w:rFonts w:ascii="黑体" w:hAnsi="黑体" w:eastAsia="黑体"/>
          <w:b/>
          <w:sz w:val="30"/>
          <w:szCs w:val="30"/>
        </w:rPr>
        <w:t>-QZ-0004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pict>
          <v:group id="_x0000_s1026" o:spid="_x0000_s1026" o:spt="203" style="height:593.6pt;width:414pt;" coordorigin="2362,4257" coordsize="7200,10340" editas="canvas">
            <o:lock v:ext="edit"/>
            <v:shape id="_x0000_s1027" o:spid="_x0000_s1027" o:spt="75" type="#_x0000_t75" style="position:absolute;left:2362;top:4257;height:10340;width:7200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shape id="_x0000_s1028" o:spid="_x0000_s1028" o:spt="202" type="#_x0000_t202" style="position:absolute;left:2519;top:4393;height:692;width:673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向行政机关负责人报批（情况紧急，需当场实施强制措施的，应当在二十四小时内向行政机关负责人报告，并补办批准手续）</w:t>
                    </w:r>
                  </w:p>
                  <w:p>
                    <w:pPr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</w:p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</w:p>
                </w:txbxContent>
              </v:textbox>
            </v:shape>
            <v:shape id="_x0000_s1029" o:spid="_x0000_s1029" o:spt="202" type="#_x0000_t202" style="position:absolute;left:2675;top:6988;height:408;width:203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依法作出其他处理</w:t>
                    </w:r>
                  </w:p>
                  <w:p>
                    <w:pPr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</w:p>
                </w:txbxContent>
              </v:textbox>
            </v:shape>
            <v:shape id="_x0000_s1030" o:spid="_x0000_s1030" o:spt="202" type="#_x0000_t202" style="position:absolute;left:3301;top:11064;height:545;width:547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当场做笔录、交付《行政强制决定书》及相关清单、说明等</w:t>
                    </w:r>
                  </w:p>
                </w:txbxContent>
              </v:textbox>
            </v:shape>
            <v:shape id="_x0000_s1031" o:spid="_x0000_s1031" o:spt="202" type="#_x0000_t202" style="position:absolute;left:7058;top:12953;height:408;width:2503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依法解除封存（查封、扣押）</w:t>
                    </w:r>
                  </w:p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</w:p>
                </w:txbxContent>
              </v:textbox>
            </v:shape>
            <v:shape id="_x0000_s1032" o:spid="_x0000_s1032" o:spt="202" type="#_x0000_t202" style="position:absolute;left:3771;top:12953;height:1644;width:469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依法予以没收</w:t>
                    </w:r>
                  </w:p>
                </w:txbxContent>
              </v:textbox>
            </v:shape>
            <v:shape id="_x0000_s1033" o:spid="_x0000_s1033" o:spt="202" type="#_x0000_t202" style="position:absolute;left:2519;top:11880;height:676;width:672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ascii="仿宋" w:hAnsi="仿宋" w:eastAsia="仿宋"/>
                        <w:szCs w:val="21"/>
                      </w:rPr>
                      <w:t>30</w:t>
                    </w:r>
                    <w:r>
                      <w:rPr>
                        <w:rFonts w:hint="eastAsia" w:ascii="仿宋" w:hAnsi="仿宋" w:eastAsia="仿宋"/>
                        <w:szCs w:val="21"/>
                      </w:rPr>
                      <w:t>日内查清事实，作出处理决定；情况复杂的经行政机关负责人批准，可以延长，但是延长期限不得超过</w:t>
                    </w:r>
                    <w:r>
                      <w:rPr>
                        <w:rFonts w:ascii="仿宋" w:hAnsi="仿宋" w:eastAsia="仿宋"/>
                        <w:szCs w:val="21"/>
                      </w:rPr>
                      <w:t>30</w:t>
                    </w:r>
                    <w:r>
                      <w:rPr>
                        <w:rFonts w:hint="eastAsia" w:ascii="仿宋" w:hAnsi="仿宋" w:eastAsia="仿宋"/>
                        <w:szCs w:val="21"/>
                      </w:rPr>
                      <w:t>日。法律、行政法规另有规定的除外</w:t>
                    </w:r>
                  </w:p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</w:p>
                </w:txbxContent>
              </v:textbox>
            </v:shape>
            <v:shape id="_x0000_s1034" o:spid="_x0000_s1034" o:spt="202" type="#_x0000_t202" style="position:absolute;left:2675;top:6037;height:408;width:203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不符合采取强制措施条件的</w:t>
                    </w:r>
                  </w:p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</w:p>
                </w:txbxContent>
              </v:textbox>
            </v:shape>
            <v:shape id="_x0000_s1035" o:spid="_x0000_s1035" o:spt="202" type="#_x0000_t202" style="position:absolute;left:5492;top:6445;height:408;width:328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符合采取强制措施条件的</w:t>
                    </w:r>
                  </w:p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</w:p>
                </w:txbxContent>
              </v:textbox>
            </v:shape>
            <v:line id="_x0000_s1036" o:spid="_x0000_s1036" o:spt="20" style="position:absolute;left:5805;top:5086;flip:x;height:408;width:2;" coordsize="21600,21600">
              <v:path arrowok="t"/>
              <v:fill focussize="0,0"/>
              <v:stroke/>
              <v:imagedata o:title=""/>
              <o:lock v:ext="edit"/>
            </v:line>
            <v:line id="_x0000_s1037" o:spid="_x0000_s1037" o:spt="20" style="position:absolute;left:3771;top:5494;height:1;width:3600;" coordsize="21600,21600">
              <v:path arrowok="t"/>
              <v:fill focussize="0,0"/>
              <v:stroke/>
              <v:imagedata o:title=""/>
              <o:lock v:ext="edit"/>
            </v:line>
            <v:line id="_x0000_s1038" o:spid="_x0000_s1038" o:spt="20" style="position:absolute;left:3771;top:5494;height:54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39" o:spid="_x0000_s1039" o:spt="20" style="position:absolute;left:7371;top:5494;height:951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40" o:spid="_x0000_s1040" o:spt="20" style="position:absolute;left:3771;top:6445;height:543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41" o:spid="_x0000_s1041" o:spt="20" style="position:absolute;left:6901;top:6853;height:543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42" o:spid="_x0000_s1042" o:spt="20" style="position:absolute;left:5649;top:11608;height:27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43" o:spid="_x0000_s1043" o:spt="20" style="position:absolute;left:2832;top:12681;height:16;width:4539;" coordsize="21600,21600">
              <v:path arrowok="t"/>
              <v:fill focussize="0,0"/>
              <v:stroke/>
              <v:imagedata o:title=""/>
              <o:lock v:ext="edit"/>
            </v:line>
            <v:line id="_x0000_s1044" o:spid="_x0000_s1044" o:spt="20" style="position:absolute;left:4084;top:12681;height:272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45" o:spid="_x0000_s1045" o:spt="20" style="position:absolute;left:7371;top:12695;height:273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46" o:spid="_x0000_s1046" o:spt="20" style="position:absolute;left:4710;top:12681;flip:x;height:272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47" o:spid="_x0000_s1047" o:spt="202" type="#_x0000_t202" style="position:absolute;left:2362;top:12953;height:1494;width:109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依法予以处理（销毁、消毒、无害化处理</w:t>
                    </w:r>
                  </w:p>
                </w:txbxContent>
              </v:textbox>
            </v:shape>
            <v:shape id="_x0000_s1048" o:spid="_x0000_s1048" o:spt="202" type="#_x0000_t202" style="position:absolute;left:5179;top:7396;height:408;width:4226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出示执法证，通知当事人到场（至少</w:t>
                    </w:r>
                    <w:r>
                      <w:rPr>
                        <w:rFonts w:ascii="仿宋" w:hAnsi="仿宋" w:eastAsia="仿宋"/>
                        <w:szCs w:val="21"/>
                      </w:rPr>
                      <w:t>2</w:t>
                    </w:r>
                    <w:r>
                      <w:rPr>
                        <w:rFonts w:hint="eastAsia" w:ascii="仿宋" w:hAnsi="仿宋" w:eastAsia="仿宋"/>
                        <w:szCs w:val="21"/>
                      </w:rPr>
                      <w:t>名执法人员）</w:t>
                    </w:r>
                  </w:p>
                </w:txbxContent>
              </v:textbox>
            </v:shape>
            <v:line id="_x0000_s1049" o:spid="_x0000_s1049" o:spt="20" style="position:absolute;left:6901;top:7804;height:271;width:0;" coordsize="21600,21600">
              <v:path arrowok="t"/>
              <v:fill focussize="0,0"/>
              <v:stroke/>
              <v:imagedata o:title=""/>
              <o:lock v:ext="edit"/>
            </v:line>
            <v:line id="_x0000_s1050" o:spid="_x0000_s1050" o:spt="20" style="position:absolute;left:5179;top:8075;height:1;width:3287;" coordsize="21600,21600">
              <v:path arrowok="t"/>
              <v:fill focussize="0,0"/>
              <v:stroke/>
              <v:imagedata o:title=""/>
              <o:lock v:ext="edit"/>
            </v:line>
            <v:line id="_x0000_s1051" o:spid="_x0000_s1051" o:spt="20" style="position:absolute;left:5179;top:8075;height:408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2" o:spid="_x0000_s1052" o:spt="20" style="position:absolute;left:8466;top:8075;height:408;width: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53" o:spid="_x0000_s1053" o:spt="202" type="#_x0000_t202" style="position:absolute;left:4397;top:8483;height:408;width:140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当事人到场的</w:t>
                    </w:r>
                  </w:p>
                </w:txbxContent>
              </v:textbox>
            </v:shape>
            <v:shape id="_x0000_s1054" o:spid="_x0000_s1054" o:spt="202" type="#_x0000_t202" style="position:absolute;left:6901;top:8483;height:1224;width:2504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当事人不到场的，邀请见证人到场，由见证人和行政执法人员在现场笔录上签名或盖章</w:t>
                    </w:r>
                  </w:p>
                </w:txbxContent>
              </v:textbox>
            </v:shape>
            <v:line id="_x0000_s1055" o:spid="_x0000_s1055" o:spt="20" style="position:absolute;left:5179;top:8891;height:271;width:0;" coordsize="21600,21600">
              <v:path arrowok="t"/>
              <v:fill focussize="0,0"/>
              <v:stroke/>
              <v:imagedata o:title=""/>
              <o:lock v:ext="edit"/>
            </v:line>
            <v:line id="_x0000_s1056" o:spid="_x0000_s1056" o:spt="20" style="position:absolute;left:5179;top:9162;height:273;width:2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57" o:spid="_x0000_s1057" o:spt="202" type="#_x0000_t202" style="position:absolute;left:3301;top:9434;height:950;width:3285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告知当事人采取行政强制措施的理由、依据及依法享有的权利、救济途径，并听取当事人的陈述和申辩</w:t>
                    </w:r>
                  </w:p>
                  <w:p>
                    <w:pPr>
                      <w:rPr>
                        <w:rFonts w:ascii="仿宋" w:hAnsi="仿宋" w:eastAsia="仿宋"/>
                        <w:szCs w:val="21"/>
                      </w:rPr>
                    </w:pPr>
                  </w:p>
                </w:txbxContent>
              </v:textbox>
            </v:shape>
            <v:line id="_x0000_s1058" o:spid="_x0000_s1058" o:spt="20" style="position:absolute;left:5179;top:10385;height:679;width:1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9" o:spid="_x0000_s1059" o:spt="20" style="position:absolute;left:5649;top:12559;height:136;width:1;" coordsize="21600,21600">
              <v:path arrowok="t"/>
              <v:fill focussize="0,0"/>
              <v:stroke/>
              <v:imagedata o:title=""/>
              <o:lock v:ext="edit"/>
            </v:line>
            <v:line id="_x0000_s1060" o:spid="_x0000_s1060" o:spt="20" style="position:absolute;left:7371;top:13374;height:136;width:0;" coordsize="21600,21600">
              <v:path arrowok="t"/>
              <v:fill focussize="0,0"/>
              <v:stroke/>
              <v:imagedata o:title=""/>
              <o:lock v:ext="edit"/>
            </v:line>
            <v:line id="_x0000_s1061" o:spid="_x0000_s1061" o:spt="20" style="position:absolute;left:6745;top:13510;height:0;width:1565;" coordsize="21600,21600">
              <v:path arrowok="t"/>
              <v:fill focussize="0,0"/>
              <v:stroke/>
              <v:imagedata o:title=""/>
              <o:lock v:ext="edit"/>
            </v:line>
            <v:line id="_x0000_s1062" o:spid="_x0000_s1062" o:spt="20" style="position:absolute;left:6745;top:13510;height:272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3" o:spid="_x0000_s1063" o:spt="20" style="position:absolute;left:8310;top:13510;height:272;width: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4" o:spid="_x0000_s1064" o:spt="202" type="#_x0000_t202" style="position:absolute;left:6119;top:13768;height:679;width:140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退还财物</w:t>
                    </w:r>
                  </w:p>
                </w:txbxContent>
              </v:textbox>
            </v:shape>
            <v:shape id="_x0000_s1065" o:spid="_x0000_s1065" o:spt="202" type="#_x0000_t202" style="position:absolute;left:7684;top:13768;height:679;width:187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依法拍卖并退还当事人所变卖款项</w:t>
                    </w:r>
                  </w:p>
                </w:txbxContent>
              </v:textbox>
            </v:shape>
            <v:line id="_x0000_s1066" o:spid="_x0000_s1066" o:spt="20" style="position:absolute;left:7527;top:9706;height:1358;width: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67" o:spid="_x0000_s1067" o:spt="202" type="#_x0000_t202" style="position:absolute;left:4397;top:12953;height:1630;width:469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依法解除隔离</w:t>
                    </w:r>
                  </w:p>
                </w:txbxContent>
              </v:textbox>
            </v:shape>
            <v:line id="_x0000_s1068" o:spid="_x0000_s1068" o:spt="20" style="position:absolute;left:2832;top:12681;height:272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9" o:spid="_x0000_s1069" o:spt="20" style="position:absolute;left:5492;top:12681;flip:x;height:272;width:1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070" o:spid="_x0000_s1070" o:spt="202" type="#_x0000_t202" style="position:absolute;left:5023;top:12953;height:1630;width:939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rPr>
                        <w:rFonts w:ascii="仿宋" w:hAnsi="仿宋" w:eastAsia="仿宋"/>
                        <w:szCs w:val="21"/>
                      </w:rPr>
                    </w:pPr>
                    <w:r>
                      <w:rPr>
                        <w:rFonts w:hint="eastAsia" w:ascii="仿宋" w:hAnsi="仿宋" w:eastAsia="仿宋"/>
                        <w:szCs w:val="21"/>
                      </w:rPr>
                      <w:t>对动物、动物产品按照规定采样、留验、抽检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pict>
          <v:shape id="_x0000_s1071" o:spid="_x0000_s1071" o:spt="202" type="#_x0000_t202" style="position:absolute;left:0pt;margin-left:288pt;margin-top:0pt;height:23.4pt;width:126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default" w:ascii="仿宋" w:hAnsi="仿宋" w:eastAsia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监督电话：</w:t>
                  </w:r>
                  <w:r>
                    <w:rPr>
                      <w:rFonts w:ascii="仿宋" w:hAnsi="仿宋" w:eastAsia="仿宋"/>
                      <w:sz w:val="24"/>
                    </w:rPr>
                    <w:t>83</w:t>
                  </w:r>
                  <w:r>
                    <w:rPr>
                      <w:rFonts w:hint="eastAsia" w:ascii="仿宋" w:hAnsi="仿宋" w:eastAsia="仿宋"/>
                      <w:sz w:val="24"/>
                      <w:lang w:val="en-US" w:eastAsia="zh-CN"/>
                    </w:rPr>
                    <w:t>640440</w:t>
                  </w:r>
                </w:p>
              </w:txbxContent>
            </v:textbox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FBD"/>
    <w:rsid w:val="000373ED"/>
    <w:rsid w:val="00042B8E"/>
    <w:rsid w:val="00051167"/>
    <w:rsid w:val="00117A5B"/>
    <w:rsid w:val="001838E7"/>
    <w:rsid w:val="00244A77"/>
    <w:rsid w:val="002E4170"/>
    <w:rsid w:val="00333D33"/>
    <w:rsid w:val="00336C86"/>
    <w:rsid w:val="00365C84"/>
    <w:rsid w:val="00455181"/>
    <w:rsid w:val="00483FC7"/>
    <w:rsid w:val="004A6FBD"/>
    <w:rsid w:val="005A3772"/>
    <w:rsid w:val="005A7EB0"/>
    <w:rsid w:val="005D081C"/>
    <w:rsid w:val="005D4BE9"/>
    <w:rsid w:val="00692754"/>
    <w:rsid w:val="006B2827"/>
    <w:rsid w:val="00712047"/>
    <w:rsid w:val="008F3699"/>
    <w:rsid w:val="00961F9F"/>
    <w:rsid w:val="009C6864"/>
    <w:rsid w:val="009C6AEA"/>
    <w:rsid w:val="009E16CA"/>
    <w:rsid w:val="00A13724"/>
    <w:rsid w:val="00A449BC"/>
    <w:rsid w:val="00A6577B"/>
    <w:rsid w:val="00A81A9A"/>
    <w:rsid w:val="00AC4095"/>
    <w:rsid w:val="00B20EF5"/>
    <w:rsid w:val="00B467C8"/>
    <w:rsid w:val="00B7367F"/>
    <w:rsid w:val="00BA4C48"/>
    <w:rsid w:val="00C003F4"/>
    <w:rsid w:val="00C44459"/>
    <w:rsid w:val="00C61744"/>
    <w:rsid w:val="00C86733"/>
    <w:rsid w:val="00C94319"/>
    <w:rsid w:val="00D17309"/>
    <w:rsid w:val="00D43025"/>
    <w:rsid w:val="00E14CA2"/>
    <w:rsid w:val="00E172A4"/>
    <w:rsid w:val="00E7556B"/>
    <w:rsid w:val="00EA2FF0"/>
    <w:rsid w:val="00F002DA"/>
    <w:rsid w:val="00F64332"/>
    <w:rsid w:val="00F76A9C"/>
    <w:rsid w:val="00FD34D7"/>
    <w:rsid w:val="00FF1550"/>
    <w:rsid w:val="1DD4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26"/>
    <customShpInfo spid="_x0000_s107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10</Words>
  <Characters>60</Characters>
  <Lines>0</Lines>
  <Paragraphs>0</Paragraphs>
  <TotalTime>91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2012-08-16T04:20:00Z</dcterms:created>
  <dc:creator>微软用户</dc:creator>
  <cp:lastModifiedBy>86159</cp:lastModifiedBy>
  <cp:lastPrinted>2012-08-16T03:29:00Z</cp:lastPrinted>
  <dcterms:modified xsi:type="dcterms:W3CDTF">2019-09-24T01:24:09Z</dcterms:modified>
  <dc:title>行政强制流程图 （查封、扣押）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