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204329">
      <w:pPr>
        <w:pStyle w:val="16"/>
        <w:rPr>
          <w:sz w:val="48"/>
          <w:szCs w:val="48"/>
        </w:rPr>
      </w:pPr>
    </w:p>
    <w:p w14:paraId="456E0FE5">
      <w:pPr>
        <w:pStyle w:val="16"/>
        <w:rPr>
          <w:sz w:val="48"/>
          <w:szCs w:val="48"/>
        </w:rPr>
      </w:pPr>
    </w:p>
    <w:p w14:paraId="69000B3E">
      <w:pPr>
        <w:pStyle w:val="16"/>
        <w:rPr>
          <w:sz w:val="48"/>
          <w:szCs w:val="48"/>
        </w:rPr>
      </w:pPr>
      <w:r>
        <w:rPr>
          <w:rFonts w:hint="eastAsia"/>
          <w:sz w:val="48"/>
          <w:szCs w:val="48"/>
        </w:rPr>
        <w:t>福州市晋安区噪声敏感建筑物集中区域</w:t>
      </w:r>
    </w:p>
    <w:p w14:paraId="6FB7EDE5">
      <w:pPr>
        <w:pStyle w:val="16"/>
        <w:rPr>
          <w:rFonts w:eastAsia="宋体"/>
          <w:kern w:val="2"/>
          <w:sz w:val="22"/>
          <w:szCs w:val="22"/>
        </w:rPr>
      </w:pPr>
      <w:r>
        <w:rPr>
          <w:rFonts w:hint="eastAsia"/>
          <w:sz w:val="48"/>
          <w:szCs w:val="48"/>
        </w:rPr>
        <w:t>划</w:t>
      </w:r>
      <w:r>
        <w:rPr>
          <w:rFonts w:hint="eastAsia"/>
          <w:sz w:val="48"/>
          <w:szCs w:val="48"/>
          <w:lang w:eastAsia="zh-CN"/>
        </w:rPr>
        <w:t>分</w:t>
      </w:r>
      <w:r>
        <w:rPr>
          <w:rFonts w:hint="eastAsia"/>
          <w:sz w:val="48"/>
          <w:szCs w:val="48"/>
        </w:rPr>
        <w:t>方案</w:t>
      </w:r>
    </w:p>
    <w:p w14:paraId="6D71587E"/>
    <w:p w14:paraId="305CC8BE"/>
    <w:p w14:paraId="728DFB4F">
      <w:pPr>
        <w:pStyle w:val="16"/>
      </w:pPr>
    </w:p>
    <w:p w14:paraId="4BEF012E">
      <w:pPr>
        <w:ind w:firstLine="560"/>
        <w:rPr>
          <w:sz w:val="28"/>
          <w:szCs w:val="24"/>
        </w:rPr>
      </w:pPr>
    </w:p>
    <w:p w14:paraId="00A3110C">
      <w:pPr>
        <w:ind w:firstLine="560"/>
        <w:rPr>
          <w:sz w:val="28"/>
          <w:szCs w:val="24"/>
        </w:rPr>
      </w:pPr>
    </w:p>
    <w:p w14:paraId="0AD198C2">
      <w:pPr>
        <w:ind w:firstLine="560"/>
        <w:rPr>
          <w:sz w:val="28"/>
          <w:szCs w:val="24"/>
        </w:rPr>
      </w:pPr>
    </w:p>
    <w:p w14:paraId="25DE0214">
      <w:pPr>
        <w:ind w:firstLine="560"/>
        <w:rPr>
          <w:sz w:val="28"/>
          <w:szCs w:val="24"/>
        </w:rPr>
      </w:pPr>
    </w:p>
    <w:p w14:paraId="51026FB3">
      <w:pPr>
        <w:ind w:firstLine="560"/>
        <w:rPr>
          <w:sz w:val="28"/>
          <w:szCs w:val="24"/>
        </w:rPr>
      </w:pPr>
    </w:p>
    <w:p w14:paraId="65841196">
      <w:pPr>
        <w:ind w:firstLine="560"/>
        <w:rPr>
          <w:sz w:val="28"/>
          <w:szCs w:val="24"/>
        </w:rPr>
      </w:pPr>
    </w:p>
    <w:p w14:paraId="16A38AB3">
      <w:pPr>
        <w:ind w:firstLine="560"/>
        <w:rPr>
          <w:sz w:val="28"/>
          <w:szCs w:val="24"/>
        </w:rPr>
      </w:pPr>
    </w:p>
    <w:p w14:paraId="01D41B32">
      <w:pPr>
        <w:ind w:firstLine="0" w:firstLineChars="0"/>
        <w:jc w:val="center"/>
        <w:rPr>
          <w:b/>
          <w:bCs/>
          <w:sz w:val="32"/>
          <w:szCs w:val="28"/>
        </w:rPr>
      </w:pPr>
      <w:r>
        <w:rPr>
          <w:rFonts w:hint="eastAsia"/>
          <w:b/>
          <w:bCs/>
          <w:sz w:val="32"/>
          <w:szCs w:val="28"/>
        </w:rPr>
        <w:t>晋安区人民政府</w:t>
      </w:r>
    </w:p>
    <w:p w14:paraId="2F2C3CAF">
      <w:pPr>
        <w:ind w:firstLine="0" w:firstLineChars="0"/>
        <w:jc w:val="center"/>
        <w:rPr>
          <w:sz w:val="28"/>
          <w:szCs w:val="24"/>
        </w:rPr>
        <w:sectPr>
          <w:footerReference r:id="rId7" w:type="first"/>
          <w:footerReference r:id="rId5" w:type="default"/>
          <w:footerReference r:id="rId6" w:type="even"/>
          <w:pgSz w:w="11906" w:h="16838"/>
          <w:pgMar w:top="1440" w:right="1800" w:bottom="1440" w:left="1800" w:header="851" w:footer="992" w:gutter="0"/>
          <w:pgNumType w:start="1" w:chapStyle="1"/>
          <w:cols w:space="425" w:num="1"/>
          <w:docGrid w:type="lines" w:linePitch="312" w:charSpace="0"/>
        </w:sectPr>
      </w:pPr>
      <w:r>
        <w:rPr>
          <w:rFonts w:hint="eastAsia"/>
          <w:b/>
          <w:bCs/>
          <w:sz w:val="32"/>
          <w:szCs w:val="28"/>
        </w:rPr>
        <w:t>2</w:t>
      </w:r>
      <w:r>
        <w:rPr>
          <w:b/>
          <w:bCs/>
          <w:sz w:val="32"/>
          <w:szCs w:val="28"/>
        </w:rPr>
        <w:t>025</w:t>
      </w:r>
      <w:r>
        <w:rPr>
          <w:rFonts w:hint="eastAsia"/>
          <w:b/>
          <w:bCs/>
          <w:sz w:val="32"/>
          <w:szCs w:val="28"/>
        </w:rPr>
        <w:t>年</w:t>
      </w:r>
      <w:r>
        <w:rPr>
          <w:b/>
          <w:bCs/>
          <w:sz w:val="32"/>
          <w:szCs w:val="28"/>
        </w:rPr>
        <w:t>6</w:t>
      </w:r>
      <w:r>
        <w:rPr>
          <w:rFonts w:hint="eastAsia"/>
          <w:b/>
          <w:bCs/>
          <w:sz w:val="32"/>
          <w:szCs w:val="28"/>
        </w:rPr>
        <w:t>月</w:t>
      </w:r>
    </w:p>
    <w:p w14:paraId="4B23F27D">
      <w:pPr>
        <w:pStyle w:val="2"/>
        <w:rPr>
          <w:sz w:val="40"/>
          <w:szCs w:val="40"/>
        </w:rPr>
      </w:pPr>
      <w:r>
        <w:rPr>
          <w:rFonts w:hint="eastAsia"/>
          <w:sz w:val="40"/>
          <w:szCs w:val="40"/>
        </w:rPr>
        <w:t>前言</w:t>
      </w:r>
    </w:p>
    <w:p w14:paraId="0F2B0942">
      <w:pPr>
        <w:ind w:firstLine="560"/>
      </w:pPr>
      <w:r>
        <w:rPr>
          <w:rFonts w:hint="eastAsia"/>
          <w:sz w:val="28"/>
          <w:szCs w:val="24"/>
        </w:rPr>
        <w:t>为建立健全我区噪声污染防治管理体系，进一步改善和提高声环境质量，依据《中华人民共和国噪声污染防治法》等有关法律、标准和规范，按照《福州市噪声敏感建筑物集中区域划定工作指南（试行）》要求，结合我区实际，制定本方案。</w:t>
      </w:r>
    </w:p>
    <w:p w14:paraId="53ADAA66">
      <w:pPr>
        <w:pStyle w:val="2"/>
        <w:rPr>
          <w:sz w:val="40"/>
          <w:szCs w:val="40"/>
        </w:rPr>
      </w:pPr>
      <w:r>
        <w:rPr>
          <w:rFonts w:hint="eastAsia"/>
          <w:sz w:val="40"/>
          <w:szCs w:val="40"/>
        </w:rPr>
        <w:t>适用范围</w:t>
      </w:r>
    </w:p>
    <w:p w14:paraId="5D3E1476">
      <w:pPr>
        <w:ind w:firstLine="560"/>
        <w:rPr>
          <w:sz w:val="28"/>
          <w:szCs w:val="24"/>
        </w:rPr>
      </w:pPr>
      <w:r>
        <w:rPr>
          <w:rFonts w:hint="eastAsia"/>
          <w:sz w:val="28"/>
          <w:szCs w:val="24"/>
        </w:rPr>
        <w:t>本方案适用于福州市中心城区范围内晋安区辖区范围，四至范围为：东与连江县、马尾区，南与台江区和仓山区分别隔光明港和闽江相望，西南、西与鼓楼区毗邻，西北接闽侯县，北侧为晋安区新店镇行政区域边界。总面积</w:t>
      </w:r>
      <w:r>
        <w:rPr>
          <w:sz w:val="28"/>
          <w:szCs w:val="24"/>
        </w:rPr>
        <w:t>117.29</w:t>
      </w:r>
      <w:r>
        <w:rPr>
          <w:rFonts w:hint="eastAsia"/>
          <w:sz w:val="28"/>
          <w:szCs w:val="24"/>
        </w:rPr>
        <w:t>平方千米。</w:t>
      </w:r>
    </w:p>
    <w:p w14:paraId="6FD82E82">
      <w:pPr>
        <w:pStyle w:val="2"/>
        <w:ind w:left="0" w:firstLine="0"/>
        <w:rPr>
          <w:sz w:val="40"/>
          <w:szCs w:val="40"/>
        </w:rPr>
      </w:pPr>
      <w:r>
        <w:rPr>
          <w:rFonts w:hint="eastAsia"/>
          <w:sz w:val="40"/>
          <w:szCs w:val="40"/>
        </w:rPr>
        <w:t>划分依据</w:t>
      </w:r>
    </w:p>
    <w:p w14:paraId="7CB2C9F4">
      <w:pPr>
        <w:spacing w:line="580" w:lineRule="exact"/>
        <w:ind w:firstLine="560"/>
        <w:rPr>
          <w:sz w:val="28"/>
          <w:szCs w:val="24"/>
        </w:rPr>
      </w:pPr>
      <w:r>
        <w:rPr>
          <w:rFonts w:hint="eastAsia"/>
          <w:sz w:val="28"/>
          <w:szCs w:val="24"/>
        </w:rPr>
        <w:t>（1）《中华人民共和国噪声污染防治法》</w:t>
      </w:r>
    </w:p>
    <w:p w14:paraId="71FA8967">
      <w:pPr>
        <w:spacing w:line="580" w:lineRule="exact"/>
        <w:ind w:firstLine="560"/>
        <w:rPr>
          <w:sz w:val="28"/>
          <w:szCs w:val="24"/>
        </w:rPr>
      </w:pPr>
      <w:r>
        <w:rPr>
          <w:rFonts w:hint="eastAsia"/>
          <w:sz w:val="28"/>
          <w:szCs w:val="24"/>
        </w:rPr>
        <w:t>（2）《“十四五”噪声污染防治行动计划》（环大气〔2023〕1号）</w:t>
      </w:r>
    </w:p>
    <w:p w14:paraId="337626AF">
      <w:pPr>
        <w:spacing w:line="580" w:lineRule="exact"/>
        <w:ind w:firstLine="560"/>
        <w:rPr>
          <w:sz w:val="28"/>
          <w:szCs w:val="24"/>
        </w:rPr>
      </w:pPr>
      <w:r>
        <w:rPr>
          <w:rFonts w:hint="eastAsia"/>
          <w:sz w:val="28"/>
          <w:szCs w:val="24"/>
        </w:rPr>
        <w:t>（3）《声环境质量标准》（GB</w:t>
      </w:r>
      <w:r>
        <w:rPr>
          <w:sz w:val="28"/>
          <w:szCs w:val="24"/>
        </w:rPr>
        <w:t xml:space="preserve"> </w:t>
      </w:r>
      <w:r>
        <w:rPr>
          <w:rFonts w:hint="eastAsia"/>
          <w:sz w:val="28"/>
          <w:szCs w:val="24"/>
        </w:rPr>
        <w:t>3096</w:t>
      </w:r>
      <w:r>
        <w:rPr>
          <w:sz w:val="28"/>
          <w:szCs w:val="24"/>
        </w:rPr>
        <w:t>-2008</w:t>
      </w:r>
      <w:r>
        <w:rPr>
          <w:rFonts w:hint="eastAsia"/>
          <w:sz w:val="28"/>
          <w:szCs w:val="24"/>
        </w:rPr>
        <w:t>）</w:t>
      </w:r>
    </w:p>
    <w:p w14:paraId="56B6E190">
      <w:pPr>
        <w:spacing w:line="580" w:lineRule="exact"/>
        <w:ind w:firstLine="560"/>
        <w:rPr>
          <w:sz w:val="28"/>
          <w:szCs w:val="24"/>
        </w:rPr>
      </w:pPr>
      <w:r>
        <w:rPr>
          <w:rFonts w:hint="eastAsia"/>
          <w:sz w:val="28"/>
          <w:szCs w:val="24"/>
        </w:rPr>
        <w:t>（4）《声环境功能区划分技术规范》（GB/T 15190</w:t>
      </w:r>
      <w:r>
        <w:rPr>
          <w:sz w:val="28"/>
          <w:szCs w:val="24"/>
        </w:rPr>
        <w:t>-2014</w:t>
      </w:r>
      <w:r>
        <w:rPr>
          <w:rFonts w:hint="eastAsia"/>
          <w:sz w:val="28"/>
          <w:szCs w:val="24"/>
        </w:rPr>
        <w:t>）</w:t>
      </w:r>
    </w:p>
    <w:p w14:paraId="40F830EC">
      <w:pPr>
        <w:spacing w:line="580" w:lineRule="exact"/>
        <w:ind w:firstLine="560"/>
        <w:rPr>
          <w:sz w:val="28"/>
          <w:szCs w:val="24"/>
        </w:rPr>
      </w:pPr>
      <w:r>
        <w:rPr>
          <w:rFonts w:hint="eastAsia"/>
          <w:sz w:val="28"/>
          <w:szCs w:val="24"/>
        </w:rPr>
        <w:t>（5）《第三次全国国土调查技术规程》（TD/T 1055</w:t>
      </w:r>
      <w:r>
        <w:rPr>
          <w:sz w:val="28"/>
          <w:szCs w:val="24"/>
        </w:rPr>
        <w:t>-2019</w:t>
      </w:r>
      <w:r>
        <w:rPr>
          <w:rFonts w:hint="eastAsia"/>
          <w:sz w:val="28"/>
          <w:szCs w:val="24"/>
        </w:rPr>
        <w:t>）</w:t>
      </w:r>
    </w:p>
    <w:p w14:paraId="08922431">
      <w:pPr>
        <w:ind w:firstLine="560"/>
        <w:rPr>
          <w:sz w:val="28"/>
          <w:szCs w:val="24"/>
        </w:rPr>
      </w:pPr>
      <w:r>
        <w:rPr>
          <w:rFonts w:hint="eastAsia"/>
          <w:sz w:val="28"/>
          <w:szCs w:val="24"/>
        </w:rPr>
        <w:t>（6）《土地利用现状分类》（GB/T 21010</w:t>
      </w:r>
      <w:r>
        <w:rPr>
          <w:sz w:val="28"/>
          <w:szCs w:val="24"/>
        </w:rPr>
        <w:t>-2017</w:t>
      </w:r>
      <w:r>
        <w:rPr>
          <w:rFonts w:hint="eastAsia"/>
          <w:sz w:val="28"/>
          <w:szCs w:val="24"/>
        </w:rPr>
        <w:t>）</w:t>
      </w:r>
    </w:p>
    <w:p w14:paraId="4510ABE8">
      <w:pPr>
        <w:ind w:firstLine="560"/>
      </w:pPr>
      <w:r>
        <w:rPr>
          <w:rFonts w:hint="eastAsia"/>
          <w:sz w:val="28"/>
          <w:szCs w:val="24"/>
        </w:rPr>
        <w:t>（7）《福州市噪声敏感建筑物集中区域划定工作指南（试行）》</w:t>
      </w:r>
    </w:p>
    <w:p w14:paraId="631A3359">
      <w:pPr>
        <w:pStyle w:val="2"/>
        <w:ind w:left="0" w:firstLine="0"/>
        <w:rPr>
          <w:sz w:val="40"/>
          <w:szCs w:val="40"/>
        </w:rPr>
      </w:pPr>
      <w:r>
        <w:rPr>
          <w:rFonts w:hint="eastAsia"/>
          <w:sz w:val="40"/>
          <w:szCs w:val="40"/>
        </w:rPr>
        <w:t>划分原则</w:t>
      </w:r>
    </w:p>
    <w:p w14:paraId="241493E5">
      <w:pPr>
        <w:ind w:firstLine="560"/>
        <w:rPr>
          <w:sz w:val="28"/>
          <w:szCs w:val="24"/>
        </w:rPr>
      </w:pPr>
      <w:r>
        <w:rPr>
          <w:rFonts w:hint="eastAsia"/>
          <w:sz w:val="28"/>
          <w:szCs w:val="24"/>
        </w:rPr>
        <w:t>按照《中华人民共和国噪声污染防治法》第十四条的规定，噪声敏感区域是指用于居住、科学研究、医疗卫生、文化教育、机关团体办公、社会福利等的建筑物为主的区域。本报告划分原则如下：</w:t>
      </w:r>
    </w:p>
    <w:p w14:paraId="447A8D9C">
      <w:pPr>
        <w:ind w:firstLine="560"/>
        <w:rPr>
          <w:sz w:val="28"/>
          <w:szCs w:val="24"/>
        </w:rPr>
      </w:pPr>
      <w:r>
        <w:rPr>
          <w:rFonts w:hint="eastAsia"/>
          <w:sz w:val="28"/>
          <w:szCs w:val="24"/>
        </w:rPr>
        <w:t>（1）现状优先。以用地、建筑物分类和分布现状为优先依据，结合国土空间规划和年度国土调查成果等确定噪声敏感建筑物集中区域。</w:t>
      </w:r>
    </w:p>
    <w:p w14:paraId="2C977636">
      <w:pPr>
        <w:ind w:firstLine="560"/>
        <w:rPr>
          <w:sz w:val="28"/>
          <w:szCs w:val="24"/>
        </w:rPr>
      </w:pPr>
      <w:r>
        <w:rPr>
          <w:rFonts w:hint="eastAsia"/>
          <w:sz w:val="28"/>
          <w:szCs w:val="24"/>
        </w:rPr>
        <w:t>（2）边界清晰。充分利用行政区边界、交通线路、地形边界等划分噪声敏感建筑物集中区域边界。</w:t>
      </w:r>
    </w:p>
    <w:p w14:paraId="499EB59B">
      <w:pPr>
        <w:ind w:firstLine="560"/>
        <w:rPr>
          <w:sz w:val="28"/>
          <w:szCs w:val="24"/>
        </w:rPr>
      </w:pPr>
      <w:r>
        <w:rPr>
          <w:rFonts w:hint="eastAsia"/>
          <w:sz w:val="28"/>
          <w:szCs w:val="24"/>
        </w:rPr>
        <w:t>（3）便于管理。噪声敏感建筑物集中区域划定应便于城市噪声污染防治管理。</w:t>
      </w:r>
    </w:p>
    <w:p w14:paraId="6731E81F">
      <w:pPr>
        <w:ind w:firstLine="560"/>
      </w:pPr>
      <w:r>
        <w:rPr>
          <w:rFonts w:hint="eastAsia"/>
          <w:sz w:val="28"/>
          <w:szCs w:val="24"/>
        </w:rPr>
        <w:t>（4）适时调整。根据区域城建开发、建筑物实际使用功能调整等情况，适时进行噪声敏感建筑物集中区域调整。</w:t>
      </w:r>
    </w:p>
    <w:p w14:paraId="0DBE76C8">
      <w:pPr>
        <w:pStyle w:val="2"/>
        <w:ind w:left="0" w:firstLine="0"/>
        <w:rPr>
          <w:sz w:val="40"/>
          <w:szCs w:val="40"/>
        </w:rPr>
      </w:pPr>
      <w:r>
        <w:rPr>
          <w:rFonts w:hint="eastAsia"/>
          <w:sz w:val="40"/>
          <w:szCs w:val="40"/>
        </w:rPr>
        <w:t>划分结果</w:t>
      </w:r>
    </w:p>
    <w:p w14:paraId="276788CA">
      <w:pPr>
        <w:ind w:firstLine="560"/>
        <w:rPr>
          <w:sz w:val="28"/>
          <w:szCs w:val="24"/>
        </w:rPr>
      </w:pPr>
      <w:r>
        <w:rPr>
          <w:rFonts w:hint="eastAsia"/>
          <w:sz w:val="28"/>
          <w:szCs w:val="24"/>
        </w:rPr>
        <w:t>按照《福州市噪声敏感建筑物集中区域划定工作指南（试行）》，确定晋安区噪声敏感建筑物集中区域5</w:t>
      </w:r>
      <w:r>
        <w:rPr>
          <w:sz w:val="28"/>
          <w:szCs w:val="24"/>
        </w:rPr>
        <w:t>8</w:t>
      </w:r>
      <w:r>
        <w:rPr>
          <w:rFonts w:hint="eastAsia"/>
          <w:sz w:val="28"/>
          <w:szCs w:val="24"/>
        </w:rPr>
        <w:t>个，划</w:t>
      </w:r>
      <w:r>
        <w:rPr>
          <w:rFonts w:hint="eastAsia"/>
          <w:sz w:val="28"/>
          <w:szCs w:val="24"/>
          <w:lang w:eastAsia="zh-CN"/>
        </w:rPr>
        <w:t>定</w:t>
      </w:r>
      <w:r>
        <w:rPr>
          <w:rFonts w:hint="eastAsia"/>
          <w:sz w:val="28"/>
          <w:szCs w:val="24"/>
        </w:rPr>
        <w:t>结果见附图和附表。</w:t>
      </w:r>
    </w:p>
    <w:p w14:paraId="7BFD5B61">
      <w:pPr>
        <w:pStyle w:val="2"/>
        <w:ind w:left="0" w:firstLine="0"/>
        <w:rPr>
          <w:sz w:val="40"/>
          <w:szCs w:val="40"/>
        </w:rPr>
      </w:pPr>
      <w:r>
        <w:rPr>
          <w:rFonts w:hint="eastAsia"/>
          <w:sz w:val="40"/>
          <w:szCs w:val="40"/>
        </w:rPr>
        <w:t>划分说明</w:t>
      </w:r>
    </w:p>
    <w:p w14:paraId="504418E9">
      <w:pPr>
        <w:ind w:firstLine="560"/>
        <w:rPr>
          <w:sz w:val="28"/>
          <w:szCs w:val="24"/>
        </w:rPr>
      </w:pPr>
      <w:r>
        <w:rPr>
          <w:sz w:val="28"/>
          <w:szCs w:val="24"/>
        </w:rPr>
        <w:t>1</w:t>
      </w:r>
      <w:r>
        <w:rPr>
          <w:rFonts w:hint="eastAsia"/>
          <w:sz w:val="28"/>
          <w:szCs w:val="24"/>
        </w:rPr>
        <w:t>、交通干线划入噪声敏感建筑物集中区域</w:t>
      </w:r>
    </w:p>
    <w:p w14:paraId="5F7C75E3">
      <w:pPr>
        <w:ind w:firstLine="560"/>
        <w:rPr>
          <w:sz w:val="28"/>
          <w:szCs w:val="24"/>
        </w:rPr>
      </w:pPr>
      <w:r>
        <w:rPr>
          <w:rFonts w:hint="eastAsia"/>
          <w:sz w:val="28"/>
          <w:szCs w:val="24"/>
        </w:rPr>
        <w:t>在晋安区行政区域内，存在两个紧密分布的小区被交通干线分隔成小面积（&lt;</w:t>
      </w:r>
      <w:r>
        <w:rPr>
          <w:sz w:val="28"/>
          <w:szCs w:val="24"/>
        </w:rPr>
        <w:t>0.1km</w:t>
      </w:r>
      <w:r>
        <w:rPr>
          <w:sz w:val="28"/>
          <w:szCs w:val="24"/>
          <w:vertAlign w:val="superscript"/>
        </w:rPr>
        <w:t>2</w:t>
      </w:r>
      <w:r>
        <w:rPr>
          <w:rFonts w:hint="eastAsia"/>
          <w:sz w:val="28"/>
          <w:szCs w:val="24"/>
        </w:rPr>
        <w:t>）区域，将该类交通干线划入集中区域内，此类情况主要出现在D</w:t>
      </w:r>
      <w:r>
        <w:rPr>
          <w:sz w:val="28"/>
          <w:szCs w:val="24"/>
        </w:rPr>
        <w:t>Y27</w:t>
      </w:r>
      <w:r>
        <w:rPr>
          <w:rFonts w:hint="eastAsia"/>
          <w:sz w:val="28"/>
          <w:szCs w:val="24"/>
        </w:rPr>
        <w:t>、D</w:t>
      </w:r>
      <w:r>
        <w:rPr>
          <w:sz w:val="28"/>
          <w:szCs w:val="24"/>
        </w:rPr>
        <w:t>Y28</w:t>
      </w:r>
      <w:r>
        <w:rPr>
          <w:rFonts w:hint="eastAsia"/>
          <w:sz w:val="28"/>
          <w:szCs w:val="24"/>
        </w:rPr>
        <w:t>、D</w:t>
      </w:r>
      <w:r>
        <w:rPr>
          <w:sz w:val="28"/>
          <w:szCs w:val="24"/>
        </w:rPr>
        <w:t>Y035</w:t>
      </w:r>
      <w:r>
        <w:rPr>
          <w:rFonts w:hint="eastAsia"/>
          <w:sz w:val="28"/>
          <w:szCs w:val="24"/>
        </w:rPr>
        <w:t>、D</w:t>
      </w:r>
      <w:r>
        <w:rPr>
          <w:sz w:val="28"/>
          <w:szCs w:val="24"/>
        </w:rPr>
        <w:t>Y037</w:t>
      </w:r>
      <w:r>
        <w:rPr>
          <w:rFonts w:hint="eastAsia"/>
          <w:sz w:val="28"/>
          <w:szCs w:val="24"/>
        </w:rPr>
        <w:t>。</w:t>
      </w:r>
    </w:p>
    <w:p w14:paraId="44C37E19">
      <w:pPr>
        <w:ind w:firstLine="560"/>
        <w:rPr>
          <w:sz w:val="28"/>
          <w:szCs w:val="24"/>
        </w:rPr>
      </w:pPr>
      <w:r>
        <w:rPr>
          <w:rFonts w:hint="eastAsia"/>
          <w:sz w:val="28"/>
          <w:szCs w:val="24"/>
        </w:rPr>
        <w:t>因现状实际建设情况与三调数据存在差异，结合卫星影像图、走访调查等方式确认实际道路建设情况，以现状道路情况划定单元和集中区边界，此类情况主要出现在J</w:t>
      </w:r>
      <w:r>
        <w:rPr>
          <w:sz w:val="28"/>
          <w:szCs w:val="24"/>
        </w:rPr>
        <w:t>ZQ43</w:t>
      </w:r>
      <w:r>
        <w:rPr>
          <w:rFonts w:hint="eastAsia"/>
          <w:sz w:val="28"/>
          <w:szCs w:val="24"/>
        </w:rPr>
        <w:t>、J</w:t>
      </w:r>
      <w:r>
        <w:rPr>
          <w:sz w:val="28"/>
          <w:szCs w:val="24"/>
        </w:rPr>
        <w:t>ZQ44</w:t>
      </w:r>
      <w:r>
        <w:rPr>
          <w:rFonts w:hint="eastAsia"/>
          <w:sz w:val="28"/>
          <w:szCs w:val="24"/>
        </w:rPr>
        <w:t>、J</w:t>
      </w:r>
      <w:r>
        <w:rPr>
          <w:sz w:val="28"/>
          <w:szCs w:val="24"/>
        </w:rPr>
        <w:t>ZQ48</w:t>
      </w:r>
      <w:r>
        <w:rPr>
          <w:rFonts w:hint="eastAsia"/>
          <w:sz w:val="28"/>
          <w:szCs w:val="24"/>
        </w:rPr>
        <w:t>。</w:t>
      </w:r>
    </w:p>
    <w:p w14:paraId="1AC96FDC">
      <w:pPr>
        <w:ind w:firstLine="560"/>
        <w:rPr>
          <w:sz w:val="28"/>
          <w:szCs w:val="24"/>
        </w:rPr>
      </w:pPr>
      <w:r>
        <w:rPr>
          <w:rFonts w:hint="eastAsia"/>
          <w:sz w:val="28"/>
          <w:szCs w:val="24"/>
        </w:rPr>
        <w:t>因划定区域内东北侧靠近山体区域面积过大，部分交通干线存在地下部分无法合理切割单元，以交通干线地面延伸段作为单元切割边界。</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2"/>
        <w:gridCol w:w="4151"/>
      </w:tblGrid>
      <w:tr w14:paraId="64274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3" w:type="dxa"/>
            <w:vAlign w:val="center"/>
          </w:tcPr>
          <w:p w14:paraId="3CD4F82E">
            <w:pPr>
              <w:spacing w:line="276" w:lineRule="auto"/>
              <w:ind w:firstLine="0" w:firstLineChars="0"/>
              <w:jc w:val="center"/>
              <w:rPr>
                <w:rFonts w:cs="Times New Roman"/>
                <w:szCs w:val="24"/>
              </w:rPr>
            </w:pPr>
            <w:r>
              <w:rPr>
                <w:rFonts w:cs="Times New Roman"/>
                <w:szCs w:val="24"/>
              </w:rPr>
              <w:drawing>
                <wp:inline distT="0" distB="0" distL="0" distR="0">
                  <wp:extent cx="2484755" cy="1823720"/>
                  <wp:effectExtent l="0" t="0" r="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
                          <a:stretch>
                            <a:fillRect/>
                          </a:stretch>
                        </pic:blipFill>
                        <pic:spPr>
                          <a:xfrm>
                            <a:off x="0" y="0"/>
                            <a:ext cx="2496867" cy="1833120"/>
                          </a:xfrm>
                          <a:prstGeom prst="rect">
                            <a:avLst/>
                          </a:prstGeom>
                        </pic:spPr>
                      </pic:pic>
                    </a:graphicData>
                  </a:graphic>
                </wp:inline>
              </w:drawing>
            </w:r>
          </w:p>
        </w:tc>
        <w:tc>
          <w:tcPr>
            <w:tcW w:w="4133" w:type="dxa"/>
            <w:vAlign w:val="center"/>
          </w:tcPr>
          <w:p w14:paraId="5141CB76">
            <w:pPr>
              <w:spacing w:line="276" w:lineRule="auto"/>
              <w:ind w:firstLine="0" w:firstLineChars="0"/>
              <w:jc w:val="center"/>
              <w:rPr>
                <w:rFonts w:cs="Times New Roman"/>
                <w:szCs w:val="24"/>
              </w:rPr>
            </w:pPr>
            <w:r>
              <w:rPr>
                <w:rFonts w:cs="Times New Roman"/>
                <w:szCs w:val="24"/>
              </w:rPr>
              <w:drawing>
                <wp:inline distT="0" distB="0" distL="0" distR="0">
                  <wp:extent cx="2498725" cy="18097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0"/>
                          <a:stretch>
                            <a:fillRect/>
                          </a:stretch>
                        </pic:blipFill>
                        <pic:spPr>
                          <a:xfrm>
                            <a:off x="0" y="0"/>
                            <a:ext cx="2510444" cy="1818002"/>
                          </a:xfrm>
                          <a:prstGeom prst="rect">
                            <a:avLst/>
                          </a:prstGeom>
                        </pic:spPr>
                      </pic:pic>
                    </a:graphicData>
                  </a:graphic>
                </wp:inline>
              </w:drawing>
            </w:r>
          </w:p>
        </w:tc>
      </w:tr>
      <w:tr w14:paraId="6F8AB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3" w:type="dxa"/>
            <w:vAlign w:val="center"/>
          </w:tcPr>
          <w:p w14:paraId="5169E2C3">
            <w:pPr>
              <w:spacing w:line="276" w:lineRule="auto"/>
              <w:ind w:firstLine="0" w:firstLineChars="0"/>
              <w:jc w:val="center"/>
              <w:rPr>
                <w:rFonts w:cs="Times New Roman"/>
                <w:szCs w:val="24"/>
              </w:rPr>
            </w:pPr>
            <w:r>
              <w:rPr>
                <w:rFonts w:hint="eastAsia" w:cs="Times New Roman"/>
                <w:szCs w:val="24"/>
              </w:rPr>
              <w:t>D</w:t>
            </w:r>
            <w:r>
              <w:rPr>
                <w:rFonts w:cs="Times New Roman"/>
                <w:szCs w:val="24"/>
              </w:rPr>
              <w:t>Y35</w:t>
            </w:r>
            <w:r>
              <w:rPr>
                <w:rFonts w:hint="eastAsia" w:cs="Times New Roman"/>
                <w:szCs w:val="24"/>
              </w:rPr>
              <w:t>和D</w:t>
            </w:r>
            <w:r>
              <w:rPr>
                <w:rFonts w:cs="Times New Roman"/>
                <w:szCs w:val="24"/>
              </w:rPr>
              <w:t>Y37</w:t>
            </w:r>
            <w:r>
              <w:rPr>
                <w:rFonts w:hint="eastAsia" w:cs="Times New Roman"/>
                <w:szCs w:val="24"/>
              </w:rPr>
              <w:t>被沁河南路分隔，在划分集中区域时并入同一敏感建筑物集中区域</w:t>
            </w:r>
          </w:p>
        </w:tc>
        <w:tc>
          <w:tcPr>
            <w:tcW w:w="4133" w:type="dxa"/>
            <w:vAlign w:val="center"/>
          </w:tcPr>
          <w:p w14:paraId="662D3658">
            <w:pPr>
              <w:spacing w:line="276" w:lineRule="auto"/>
              <w:ind w:firstLine="0" w:firstLineChars="0"/>
              <w:jc w:val="center"/>
              <w:rPr>
                <w:rFonts w:cs="Times New Roman"/>
                <w:szCs w:val="24"/>
              </w:rPr>
            </w:pPr>
            <w:r>
              <w:rPr>
                <w:rFonts w:hint="eastAsia" w:cs="Times New Roman"/>
                <w:szCs w:val="24"/>
              </w:rPr>
              <w:t>D</w:t>
            </w:r>
            <w:r>
              <w:rPr>
                <w:rFonts w:cs="Times New Roman"/>
                <w:szCs w:val="24"/>
              </w:rPr>
              <w:t>Y27</w:t>
            </w:r>
            <w:r>
              <w:rPr>
                <w:rFonts w:hint="eastAsia" w:cs="Times New Roman"/>
                <w:szCs w:val="24"/>
              </w:rPr>
              <w:t>和D</w:t>
            </w:r>
            <w:r>
              <w:rPr>
                <w:rFonts w:cs="Times New Roman"/>
                <w:szCs w:val="24"/>
              </w:rPr>
              <w:t>Y28</w:t>
            </w:r>
            <w:r>
              <w:rPr>
                <w:rFonts w:hint="eastAsia" w:cs="Times New Roman"/>
                <w:szCs w:val="24"/>
              </w:rPr>
              <w:t>被安亭路分隔，在划分集中区域时并入同一敏感建筑物集中区域</w:t>
            </w:r>
          </w:p>
        </w:tc>
      </w:tr>
      <w:tr w14:paraId="4C021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3" w:type="dxa"/>
            <w:vAlign w:val="center"/>
          </w:tcPr>
          <w:p w14:paraId="36967363">
            <w:pPr>
              <w:spacing w:line="276" w:lineRule="auto"/>
              <w:ind w:firstLine="0" w:firstLineChars="0"/>
              <w:jc w:val="center"/>
              <w:rPr>
                <w:rFonts w:cs="Times New Roman"/>
                <w:szCs w:val="24"/>
              </w:rPr>
            </w:pPr>
            <w:r>
              <w:rPr>
                <w:rFonts w:cs="Times New Roman"/>
                <w:szCs w:val="24"/>
              </w:rPr>
              <w:drawing>
                <wp:inline distT="0" distB="0" distL="0" distR="0">
                  <wp:extent cx="2465070" cy="179451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1"/>
                          <a:stretch>
                            <a:fillRect/>
                          </a:stretch>
                        </pic:blipFill>
                        <pic:spPr>
                          <a:xfrm>
                            <a:off x="0" y="0"/>
                            <a:ext cx="2475570" cy="1801986"/>
                          </a:xfrm>
                          <a:prstGeom prst="rect">
                            <a:avLst/>
                          </a:prstGeom>
                        </pic:spPr>
                      </pic:pic>
                    </a:graphicData>
                  </a:graphic>
                </wp:inline>
              </w:drawing>
            </w:r>
          </w:p>
        </w:tc>
        <w:tc>
          <w:tcPr>
            <w:tcW w:w="4133" w:type="dxa"/>
            <w:vAlign w:val="center"/>
          </w:tcPr>
          <w:p w14:paraId="44D5754E">
            <w:pPr>
              <w:spacing w:line="276" w:lineRule="auto"/>
              <w:ind w:firstLine="0" w:firstLineChars="0"/>
              <w:jc w:val="center"/>
              <w:rPr>
                <w:rFonts w:cs="Times New Roman"/>
                <w:szCs w:val="24"/>
              </w:rPr>
            </w:pPr>
            <w:r>
              <w:rPr>
                <w:rFonts w:cs="Times New Roman"/>
                <w:szCs w:val="24"/>
              </w:rPr>
              <w:drawing>
                <wp:inline distT="0" distB="0" distL="0" distR="0">
                  <wp:extent cx="2471420" cy="1772920"/>
                  <wp:effectExtent l="0" t="0" r="508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rcRect l="8723"/>
                          <a:stretch>
                            <a:fillRect/>
                          </a:stretch>
                        </pic:blipFill>
                        <pic:spPr>
                          <a:xfrm>
                            <a:off x="0" y="0"/>
                            <a:ext cx="2481844" cy="1780169"/>
                          </a:xfrm>
                          <a:prstGeom prst="rect">
                            <a:avLst/>
                          </a:prstGeom>
                          <a:ln>
                            <a:noFill/>
                          </a:ln>
                        </pic:spPr>
                      </pic:pic>
                    </a:graphicData>
                  </a:graphic>
                </wp:inline>
              </w:drawing>
            </w:r>
          </w:p>
        </w:tc>
      </w:tr>
      <w:tr w14:paraId="41965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3" w:type="dxa"/>
            <w:vAlign w:val="center"/>
          </w:tcPr>
          <w:p w14:paraId="0656A4CE">
            <w:pPr>
              <w:spacing w:line="276" w:lineRule="auto"/>
              <w:ind w:firstLine="0" w:firstLineChars="0"/>
              <w:jc w:val="center"/>
              <w:rPr>
                <w:rFonts w:cs="Times New Roman"/>
                <w:szCs w:val="24"/>
              </w:rPr>
            </w:pPr>
            <w:r>
              <w:rPr>
                <w:rFonts w:hint="eastAsia" w:cs="Times New Roman"/>
                <w:szCs w:val="24"/>
              </w:rPr>
              <w:t>现状无道路，划定单元与划分集中区域时以现状为准</w:t>
            </w:r>
          </w:p>
        </w:tc>
        <w:tc>
          <w:tcPr>
            <w:tcW w:w="4133" w:type="dxa"/>
            <w:vAlign w:val="center"/>
          </w:tcPr>
          <w:p w14:paraId="44FD3991">
            <w:pPr>
              <w:spacing w:line="276" w:lineRule="auto"/>
              <w:ind w:firstLine="0" w:firstLineChars="0"/>
              <w:jc w:val="center"/>
              <w:rPr>
                <w:rFonts w:cs="Times New Roman"/>
                <w:szCs w:val="24"/>
              </w:rPr>
            </w:pPr>
            <w:r>
              <w:rPr>
                <w:rFonts w:hint="eastAsia" w:cs="Times New Roman"/>
                <w:szCs w:val="24"/>
              </w:rPr>
              <w:t>现状无道路，划定单元与划分集中区域时以现状为准</w:t>
            </w:r>
          </w:p>
        </w:tc>
      </w:tr>
      <w:tr w14:paraId="66E2F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3" w:type="dxa"/>
            <w:vAlign w:val="center"/>
          </w:tcPr>
          <w:p w14:paraId="4040FF96">
            <w:pPr>
              <w:spacing w:line="276" w:lineRule="auto"/>
              <w:ind w:firstLine="0" w:firstLineChars="0"/>
              <w:jc w:val="center"/>
              <w:rPr>
                <w:rFonts w:cs="Times New Roman"/>
                <w:szCs w:val="24"/>
              </w:rPr>
            </w:pPr>
            <w:r>
              <w:rPr>
                <w:rFonts w:cs="Times New Roman"/>
                <w:szCs w:val="24"/>
              </w:rPr>
              <w:drawing>
                <wp:inline distT="0" distB="0" distL="0" distR="0">
                  <wp:extent cx="2518410" cy="1859915"/>
                  <wp:effectExtent l="0" t="0" r="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3"/>
                          <a:stretch>
                            <a:fillRect/>
                          </a:stretch>
                        </pic:blipFill>
                        <pic:spPr>
                          <a:xfrm>
                            <a:off x="0" y="0"/>
                            <a:ext cx="2532346" cy="1870448"/>
                          </a:xfrm>
                          <a:prstGeom prst="rect">
                            <a:avLst/>
                          </a:prstGeom>
                        </pic:spPr>
                      </pic:pic>
                    </a:graphicData>
                  </a:graphic>
                </wp:inline>
              </w:drawing>
            </w:r>
          </w:p>
        </w:tc>
        <w:tc>
          <w:tcPr>
            <w:tcW w:w="4133" w:type="dxa"/>
            <w:vAlign w:val="center"/>
          </w:tcPr>
          <w:p w14:paraId="1899FF47">
            <w:pPr>
              <w:spacing w:line="276" w:lineRule="auto"/>
              <w:ind w:firstLine="0" w:firstLineChars="0"/>
              <w:jc w:val="center"/>
              <w:rPr>
                <w:rFonts w:cs="Times New Roman"/>
                <w:szCs w:val="24"/>
              </w:rPr>
            </w:pPr>
            <w:r>
              <w:rPr>
                <w:rFonts w:cs="Times New Roman"/>
                <w:szCs w:val="24"/>
              </w:rPr>
              <w:drawing>
                <wp:inline distT="0" distB="0" distL="0" distR="0">
                  <wp:extent cx="2382520" cy="184912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4"/>
                          <a:stretch>
                            <a:fillRect/>
                          </a:stretch>
                        </pic:blipFill>
                        <pic:spPr>
                          <a:xfrm>
                            <a:off x="0" y="0"/>
                            <a:ext cx="2390650" cy="1855589"/>
                          </a:xfrm>
                          <a:prstGeom prst="rect">
                            <a:avLst/>
                          </a:prstGeom>
                        </pic:spPr>
                      </pic:pic>
                    </a:graphicData>
                  </a:graphic>
                </wp:inline>
              </w:drawing>
            </w:r>
          </w:p>
        </w:tc>
      </w:tr>
      <w:tr w14:paraId="74439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3" w:type="dxa"/>
            <w:vAlign w:val="center"/>
          </w:tcPr>
          <w:p w14:paraId="2CE45806">
            <w:pPr>
              <w:spacing w:line="276" w:lineRule="auto"/>
              <w:ind w:firstLine="0" w:firstLineChars="0"/>
              <w:jc w:val="center"/>
              <w:rPr>
                <w:rFonts w:cs="Times New Roman"/>
                <w:szCs w:val="24"/>
              </w:rPr>
            </w:pPr>
            <w:r>
              <w:rPr>
                <w:rFonts w:hint="eastAsia" w:cs="Times New Roman"/>
                <w:szCs w:val="24"/>
              </w:rPr>
              <w:t>现状无道路，划定单元与划分集中区域时以现状为准</w:t>
            </w:r>
          </w:p>
        </w:tc>
        <w:tc>
          <w:tcPr>
            <w:tcW w:w="4133" w:type="dxa"/>
            <w:vAlign w:val="center"/>
          </w:tcPr>
          <w:p w14:paraId="4F11ADC1">
            <w:pPr>
              <w:spacing w:line="276" w:lineRule="auto"/>
              <w:ind w:firstLine="0" w:firstLineChars="0"/>
              <w:rPr>
                <w:rFonts w:cs="Times New Roman"/>
                <w:szCs w:val="24"/>
              </w:rPr>
            </w:pPr>
            <w:r>
              <w:rPr>
                <w:rFonts w:hint="eastAsia" w:cs="Times New Roman"/>
                <w:szCs w:val="24"/>
              </w:rPr>
              <w:t>道路（地下段）作为单元边界</w:t>
            </w:r>
          </w:p>
        </w:tc>
      </w:tr>
    </w:tbl>
    <w:p w14:paraId="60A60EC7">
      <w:pPr>
        <w:ind w:firstLine="560"/>
        <w:rPr>
          <w:sz w:val="28"/>
          <w:szCs w:val="24"/>
        </w:rPr>
      </w:pPr>
      <w:r>
        <w:rPr>
          <w:sz w:val="28"/>
          <w:szCs w:val="24"/>
        </w:rPr>
        <w:t>2</w:t>
      </w:r>
      <w:r>
        <w:rPr>
          <w:rFonts w:hint="eastAsia"/>
          <w:sz w:val="28"/>
          <w:szCs w:val="24"/>
        </w:rPr>
        <w:t>、部分地块地类数据与现状情况不一致，以现状为准调整噪声敏感建筑物集中区域</w:t>
      </w:r>
    </w:p>
    <w:p w14:paraId="5D91CFEB">
      <w:pPr>
        <w:ind w:firstLine="560"/>
        <w:rPr>
          <w:sz w:val="28"/>
          <w:szCs w:val="24"/>
        </w:rPr>
      </w:pPr>
      <w:r>
        <w:rPr>
          <w:rFonts w:hint="eastAsia"/>
          <w:sz w:val="28"/>
          <w:szCs w:val="24"/>
        </w:rPr>
        <w:t>部分区域用地性质与现状实际建筑物性质不符，经调查确定为噪声敏感建筑物区域的，划分为噪声敏感建筑物集中区域。这类情况主要出现在J</w:t>
      </w:r>
      <w:r>
        <w:rPr>
          <w:sz w:val="28"/>
          <w:szCs w:val="24"/>
        </w:rPr>
        <w:t>ZQ021</w:t>
      </w:r>
      <w:r>
        <w:rPr>
          <w:rFonts w:hint="eastAsia"/>
          <w:sz w:val="28"/>
          <w:szCs w:val="24"/>
        </w:rPr>
        <w:t>、J</w:t>
      </w:r>
      <w:r>
        <w:rPr>
          <w:sz w:val="28"/>
          <w:szCs w:val="24"/>
        </w:rPr>
        <w:t>ZQ043</w:t>
      </w:r>
      <w:r>
        <w:rPr>
          <w:rFonts w:hint="eastAsia"/>
          <w:sz w:val="28"/>
          <w:szCs w:val="24"/>
        </w:rPr>
        <w:t>、J</w:t>
      </w:r>
      <w:r>
        <w:rPr>
          <w:sz w:val="28"/>
          <w:szCs w:val="24"/>
        </w:rPr>
        <w:t>ZQ049</w:t>
      </w:r>
      <w:r>
        <w:rPr>
          <w:rFonts w:hint="eastAsia"/>
          <w:sz w:val="28"/>
          <w:szCs w:val="24"/>
        </w:rPr>
        <w:t>等。</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72"/>
        <w:gridCol w:w="4350"/>
      </w:tblGrid>
      <w:tr w14:paraId="02903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14:paraId="3DE24C3A">
            <w:pPr>
              <w:spacing w:line="276" w:lineRule="auto"/>
              <w:ind w:firstLine="0" w:firstLineChars="0"/>
              <w:jc w:val="center"/>
              <w:rPr>
                <w:rFonts w:cs="Times New Roman"/>
                <w:szCs w:val="24"/>
              </w:rPr>
            </w:pPr>
            <w:r>
              <w:rPr>
                <w:rFonts w:cs="Times New Roman"/>
                <w:szCs w:val="24"/>
              </w:rPr>
              <w:drawing>
                <wp:inline distT="0" distB="0" distL="0" distR="0">
                  <wp:extent cx="2527935" cy="1675765"/>
                  <wp:effectExtent l="0" t="0" r="571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5"/>
                          <a:stretch>
                            <a:fillRect/>
                          </a:stretch>
                        </pic:blipFill>
                        <pic:spPr>
                          <a:xfrm>
                            <a:off x="0" y="0"/>
                            <a:ext cx="2548494" cy="1689382"/>
                          </a:xfrm>
                          <a:prstGeom prst="rect">
                            <a:avLst/>
                          </a:prstGeom>
                        </pic:spPr>
                      </pic:pic>
                    </a:graphicData>
                  </a:graphic>
                </wp:inline>
              </w:drawing>
            </w:r>
          </w:p>
        </w:tc>
        <w:tc>
          <w:tcPr>
            <w:tcW w:w="4148" w:type="dxa"/>
            <w:vAlign w:val="center"/>
          </w:tcPr>
          <w:p w14:paraId="2D932F74">
            <w:pPr>
              <w:spacing w:line="276" w:lineRule="auto"/>
              <w:ind w:firstLine="0" w:firstLineChars="0"/>
              <w:jc w:val="center"/>
              <w:rPr>
                <w:rFonts w:cs="Times New Roman"/>
                <w:szCs w:val="24"/>
              </w:rPr>
            </w:pPr>
            <w:r>
              <w:rPr>
                <w:rFonts w:cs="Times New Roman"/>
                <w:szCs w:val="24"/>
              </w:rPr>
              <w:drawing>
                <wp:inline distT="0" distB="0" distL="0" distR="0">
                  <wp:extent cx="2299335" cy="1705610"/>
                  <wp:effectExtent l="0" t="0" r="5715"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6"/>
                          <a:stretch>
                            <a:fillRect/>
                          </a:stretch>
                        </pic:blipFill>
                        <pic:spPr>
                          <a:xfrm>
                            <a:off x="0" y="0"/>
                            <a:ext cx="2317487" cy="1719560"/>
                          </a:xfrm>
                          <a:prstGeom prst="rect">
                            <a:avLst/>
                          </a:prstGeom>
                        </pic:spPr>
                      </pic:pic>
                    </a:graphicData>
                  </a:graphic>
                </wp:inline>
              </w:drawing>
            </w:r>
          </w:p>
        </w:tc>
      </w:tr>
      <w:tr w14:paraId="275ED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14:paraId="724A4659">
            <w:pPr>
              <w:spacing w:line="276" w:lineRule="auto"/>
              <w:ind w:firstLine="0" w:firstLineChars="0"/>
              <w:jc w:val="center"/>
              <w:rPr>
                <w:rFonts w:cs="Times New Roman"/>
                <w:szCs w:val="24"/>
              </w:rPr>
            </w:pPr>
            <w:r>
              <w:rPr>
                <w:rFonts w:hint="eastAsia" w:cs="Times New Roman"/>
                <w:szCs w:val="24"/>
              </w:rPr>
              <w:t>保利云上为敏感建筑物，用地类型为空闲地，划入噪声敏感建筑物集中区域</w:t>
            </w:r>
          </w:p>
        </w:tc>
        <w:tc>
          <w:tcPr>
            <w:tcW w:w="4148" w:type="dxa"/>
            <w:vAlign w:val="center"/>
          </w:tcPr>
          <w:p w14:paraId="2679BD45">
            <w:pPr>
              <w:spacing w:line="276" w:lineRule="auto"/>
              <w:ind w:firstLine="0" w:firstLineChars="0"/>
              <w:jc w:val="center"/>
              <w:rPr>
                <w:rFonts w:cs="Times New Roman"/>
                <w:szCs w:val="24"/>
              </w:rPr>
            </w:pPr>
            <w:r>
              <w:rPr>
                <w:rFonts w:hint="eastAsia" w:cs="Times New Roman"/>
                <w:szCs w:val="24"/>
              </w:rPr>
              <w:t>鲁能公馆三期为敏感建筑物，用地类型为工业用地，划入噪声敏感建筑物集中区域</w:t>
            </w:r>
          </w:p>
        </w:tc>
      </w:tr>
      <w:tr w14:paraId="2A4FC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14:paraId="7B873A36">
            <w:pPr>
              <w:spacing w:line="276" w:lineRule="auto"/>
              <w:ind w:firstLine="0" w:firstLineChars="0"/>
              <w:rPr>
                <w:rFonts w:cs="Times New Roman"/>
                <w:szCs w:val="24"/>
              </w:rPr>
            </w:pPr>
            <w:r>
              <w:rPr>
                <w:rFonts w:cs="Times New Roman"/>
                <w:szCs w:val="24"/>
              </w:rPr>
              <w:drawing>
                <wp:inline distT="0" distB="0" distL="0" distR="0">
                  <wp:extent cx="2527935" cy="2011045"/>
                  <wp:effectExtent l="0" t="0" r="5715"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7"/>
                          <a:stretch>
                            <a:fillRect/>
                          </a:stretch>
                        </pic:blipFill>
                        <pic:spPr>
                          <a:xfrm>
                            <a:off x="0" y="0"/>
                            <a:ext cx="2542692" cy="2022888"/>
                          </a:xfrm>
                          <a:prstGeom prst="rect">
                            <a:avLst/>
                          </a:prstGeom>
                        </pic:spPr>
                      </pic:pic>
                    </a:graphicData>
                  </a:graphic>
                </wp:inline>
              </w:drawing>
            </w:r>
          </w:p>
        </w:tc>
        <w:tc>
          <w:tcPr>
            <w:tcW w:w="4148" w:type="dxa"/>
            <w:vAlign w:val="center"/>
          </w:tcPr>
          <w:p w14:paraId="0DD11CEF">
            <w:pPr>
              <w:spacing w:line="276" w:lineRule="auto"/>
              <w:ind w:firstLine="0" w:firstLineChars="0"/>
              <w:jc w:val="center"/>
              <w:rPr>
                <w:rFonts w:cs="Times New Roman"/>
                <w:szCs w:val="24"/>
              </w:rPr>
            </w:pPr>
            <w:r>
              <w:rPr>
                <w:rFonts w:cs="Times New Roman"/>
              </w:rPr>
              <w:drawing>
                <wp:inline distT="0" distB="0" distL="0" distR="0">
                  <wp:extent cx="2639060" cy="2030730"/>
                  <wp:effectExtent l="0" t="0" r="889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2651024" cy="2040133"/>
                          </a:xfrm>
                          <a:prstGeom prst="rect">
                            <a:avLst/>
                          </a:prstGeom>
                        </pic:spPr>
                      </pic:pic>
                    </a:graphicData>
                  </a:graphic>
                </wp:inline>
              </w:drawing>
            </w:r>
          </w:p>
        </w:tc>
      </w:tr>
      <w:tr w14:paraId="72668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vAlign w:val="center"/>
          </w:tcPr>
          <w:p w14:paraId="5150276F">
            <w:pPr>
              <w:spacing w:line="276" w:lineRule="auto"/>
              <w:ind w:firstLine="0" w:firstLineChars="0"/>
              <w:jc w:val="center"/>
              <w:rPr>
                <w:rFonts w:cs="Times New Roman"/>
                <w:szCs w:val="24"/>
              </w:rPr>
            </w:pPr>
            <w:r>
              <w:rPr>
                <w:rFonts w:hint="eastAsia" w:cs="Times New Roman"/>
                <w:szCs w:val="24"/>
              </w:rPr>
              <w:t>义北路部分区域用地性质为特殊用地，计入地块面积，划入噪声敏感建筑物集中区域</w:t>
            </w:r>
          </w:p>
        </w:tc>
        <w:tc>
          <w:tcPr>
            <w:tcW w:w="4148" w:type="dxa"/>
            <w:vAlign w:val="center"/>
          </w:tcPr>
          <w:p w14:paraId="0B05A3B8">
            <w:pPr>
              <w:spacing w:line="276" w:lineRule="auto"/>
              <w:ind w:firstLine="0" w:firstLineChars="0"/>
              <w:jc w:val="center"/>
              <w:rPr>
                <w:rFonts w:cs="Times New Roman"/>
                <w:szCs w:val="24"/>
              </w:rPr>
            </w:pPr>
            <w:r>
              <w:rPr>
                <w:rFonts w:hint="eastAsia" w:cs="Times New Roman"/>
                <w:szCs w:val="24"/>
              </w:rPr>
              <w:t>晋安湖公园附近区域用地性质为空闲地，拟建设居住小区，计入地块面积，划入噪声敏感建筑物集中区域</w:t>
            </w:r>
          </w:p>
        </w:tc>
      </w:tr>
    </w:tbl>
    <w:p w14:paraId="6E545D2F"/>
    <w:p w14:paraId="48373675">
      <w:pPr>
        <w:pStyle w:val="2"/>
        <w:ind w:left="0" w:firstLine="0"/>
        <w:rPr>
          <w:sz w:val="40"/>
          <w:szCs w:val="40"/>
        </w:rPr>
      </w:pPr>
      <w:r>
        <w:rPr>
          <w:rFonts w:hint="eastAsia"/>
          <w:sz w:val="40"/>
          <w:szCs w:val="40"/>
        </w:rPr>
        <w:t>管理规定</w:t>
      </w:r>
    </w:p>
    <w:p w14:paraId="36425659">
      <w:pPr>
        <w:ind w:firstLine="560"/>
        <w:rPr>
          <w:sz w:val="28"/>
          <w:szCs w:val="24"/>
        </w:rPr>
      </w:pPr>
      <w:r>
        <w:rPr>
          <w:rFonts w:hint="eastAsia"/>
          <w:sz w:val="28"/>
          <w:szCs w:val="24"/>
        </w:rPr>
        <w:t>（1）噪声敏感建筑物集中区域的管理按照《中华人民共和国噪声污染防治法》第十四条、第三十五条、第四十一条、第四十二条、第四十三条、第四十五条、第四十六条、第六十四条、第七十条、第七十四条、第七十七条、第七十八条、第八十二条、第八十八条的规定执行。</w:t>
      </w:r>
    </w:p>
    <w:p w14:paraId="5F6D9718">
      <w:pPr>
        <w:ind w:firstLine="560"/>
        <w:rPr>
          <w:rFonts w:hint="eastAsia"/>
          <w:sz w:val="28"/>
          <w:szCs w:val="24"/>
        </w:rPr>
      </w:pPr>
      <w:r>
        <w:rPr>
          <w:rFonts w:hint="eastAsia"/>
          <w:sz w:val="28"/>
          <w:szCs w:val="24"/>
        </w:rPr>
        <w:t>（2）噪声敏感建筑物集中区域的噪声污染防治职责分工按照《福州市人民政府办公厅关于进一步明确&lt;中华人民共和国噪声污染防治法&gt;部分条款部门职责分工的通知》执行。</w:t>
      </w:r>
    </w:p>
    <w:p w14:paraId="0A4A62B1">
      <w:pPr>
        <w:ind w:firstLine="560"/>
        <w:rPr>
          <w:rFonts w:hint="eastAsia"/>
          <w:sz w:val="28"/>
          <w:szCs w:val="24"/>
        </w:rPr>
      </w:pPr>
      <w:r>
        <w:rPr>
          <w:rFonts w:hint="eastAsia"/>
          <w:sz w:val="28"/>
          <w:szCs w:val="24"/>
        </w:rPr>
        <w:t>（3）若因建筑物属性、用</w:t>
      </w:r>
      <w:bookmarkStart w:id="0" w:name="_GoBack"/>
      <w:bookmarkEnd w:id="0"/>
      <w:r>
        <w:rPr>
          <w:rFonts w:hint="eastAsia"/>
          <w:sz w:val="28"/>
          <w:szCs w:val="24"/>
        </w:rPr>
        <w:t>地性质或规划发生根本变化可实施动态修编，原则上不超过5年调整一次，调整程序参照划分方法执行。</w:t>
      </w:r>
    </w:p>
    <w:p w14:paraId="21B27E50">
      <w:pPr>
        <w:ind w:firstLine="560"/>
        <w:rPr>
          <w:rFonts w:hint="eastAsia" w:eastAsia="宋体"/>
          <w:sz w:val="28"/>
          <w:szCs w:val="24"/>
          <w:lang w:eastAsia="zh-CN"/>
        </w:rPr>
      </w:pPr>
      <w:r>
        <w:rPr>
          <w:rFonts w:hint="eastAsia"/>
          <w:sz w:val="28"/>
          <w:szCs w:val="24"/>
        </w:rPr>
        <w:t>（4）本方案未尽事宜，根据有关法律法规和规章等相关规定执行。</w:t>
      </w:r>
    </w:p>
    <w:p w14:paraId="442DCA56">
      <w:pPr>
        <w:ind w:firstLine="560"/>
        <w:rPr>
          <w:rFonts w:hint="default" w:eastAsia="宋体"/>
          <w:sz w:val="28"/>
          <w:szCs w:val="24"/>
          <w:lang w:val="en-US" w:eastAsia="zh-CN"/>
        </w:rPr>
        <w:sectPr>
          <w:pgSz w:w="11906" w:h="16838"/>
          <w:pgMar w:top="1440" w:right="1800" w:bottom="1440" w:left="1800" w:header="851" w:footer="992" w:gutter="0"/>
          <w:cols w:space="425" w:num="1"/>
          <w:docGrid w:type="lines" w:linePitch="312" w:charSpace="0"/>
        </w:sectPr>
      </w:pPr>
      <w:r>
        <w:rPr>
          <w:rFonts w:hint="eastAsia"/>
          <w:sz w:val="28"/>
          <w:szCs w:val="24"/>
          <w:lang w:eastAsia="zh-CN"/>
        </w:rPr>
        <w:t>（</w:t>
      </w:r>
      <w:r>
        <w:rPr>
          <w:rFonts w:hint="eastAsia"/>
          <w:sz w:val="28"/>
          <w:szCs w:val="24"/>
          <w:lang w:val="en-US" w:eastAsia="zh-CN"/>
        </w:rPr>
        <w:t>5</w:t>
      </w:r>
      <w:r>
        <w:rPr>
          <w:rFonts w:hint="eastAsia"/>
          <w:sz w:val="28"/>
          <w:szCs w:val="24"/>
          <w:lang w:eastAsia="zh-CN"/>
        </w:rPr>
        <w:t>）本通知自发布之日起实施，有效期</w:t>
      </w:r>
      <w:r>
        <w:rPr>
          <w:rFonts w:hint="eastAsia"/>
          <w:sz w:val="28"/>
          <w:szCs w:val="24"/>
          <w:lang w:val="en-US" w:eastAsia="zh-CN"/>
        </w:rPr>
        <w:t>5年。</w:t>
      </w:r>
    </w:p>
    <w:p w14:paraId="1990ACCA">
      <w:pPr>
        <w:pStyle w:val="2"/>
        <w:ind w:left="0" w:firstLine="0"/>
        <w:rPr>
          <w:sz w:val="40"/>
          <w:szCs w:val="40"/>
        </w:rPr>
      </w:pPr>
      <w:r>
        <w:rPr>
          <w:rFonts w:hint="eastAsia"/>
          <w:sz w:val="40"/>
          <w:szCs w:val="40"/>
        </w:rPr>
        <w:t>附图</w:t>
      </w:r>
    </w:p>
    <w:p w14:paraId="4DBA9A50">
      <w:pPr>
        <w:ind w:firstLine="0" w:firstLineChars="0"/>
      </w:pPr>
      <w:r>
        <w:drawing>
          <wp:inline distT="0" distB="0" distL="0" distR="0">
            <wp:extent cx="8406130" cy="118872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8406130" cy="11887200"/>
                    </a:xfrm>
                    <a:prstGeom prst="rect">
                      <a:avLst/>
                    </a:prstGeom>
                    <a:noFill/>
                    <a:ln>
                      <a:noFill/>
                    </a:ln>
                  </pic:spPr>
                </pic:pic>
              </a:graphicData>
            </a:graphic>
          </wp:inline>
        </w:drawing>
      </w:r>
      <w:r>
        <w:t xml:space="preserve"> </w:t>
      </w:r>
      <w:r>
        <w:drawing>
          <wp:inline distT="0" distB="0" distL="0" distR="0">
            <wp:extent cx="8406130" cy="118872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8406130" cy="11887200"/>
                    </a:xfrm>
                    <a:prstGeom prst="rect">
                      <a:avLst/>
                    </a:prstGeom>
                    <a:noFill/>
                    <a:ln>
                      <a:noFill/>
                    </a:ln>
                  </pic:spPr>
                </pic:pic>
              </a:graphicData>
            </a:graphic>
          </wp:inline>
        </w:drawing>
      </w:r>
    </w:p>
    <w:p w14:paraId="3A9D9A6A">
      <w:pPr>
        <w:sectPr>
          <w:pgSz w:w="16838" w:h="23811"/>
          <w:pgMar w:top="1440" w:right="1800" w:bottom="1440" w:left="1800" w:header="851" w:footer="992" w:gutter="0"/>
          <w:cols w:space="425" w:num="1"/>
          <w:docGrid w:type="lines" w:linePitch="326" w:charSpace="0"/>
        </w:sectPr>
      </w:pPr>
    </w:p>
    <w:p w14:paraId="55C3655B">
      <w:pPr>
        <w:pStyle w:val="2"/>
        <w:ind w:left="0" w:firstLine="0"/>
        <w:rPr>
          <w:sz w:val="40"/>
          <w:szCs w:val="40"/>
        </w:rPr>
      </w:pPr>
      <w:r>
        <w:rPr>
          <w:rFonts w:hint="eastAsia"/>
          <w:sz w:val="40"/>
          <w:szCs w:val="40"/>
        </w:rPr>
        <w:t>附表</w:t>
      </w:r>
    </w:p>
    <w:p w14:paraId="65B82FA9">
      <w:pPr>
        <w:ind w:firstLine="0" w:firstLineChars="0"/>
        <w:jc w:val="center"/>
      </w:pPr>
      <w:r>
        <w:rPr>
          <w:rFonts w:hint="eastAsia"/>
          <w:b/>
          <w:bCs/>
        </w:rPr>
        <w:t>附表</w:t>
      </w:r>
      <w:r>
        <w:rPr>
          <w:b/>
          <w:bCs/>
        </w:rPr>
        <w:t>1</w:t>
      </w:r>
      <w:r>
        <w:rPr>
          <w:rFonts w:hint="eastAsia"/>
          <w:b/>
          <w:bCs/>
        </w:rPr>
        <w:t xml:space="preserve"> </w:t>
      </w:r>
      <w:r>
        <w:rPr>
          <w:b/>
          <w:bCs/>
        </w:rPr>
        <w:t xml:space="preserve"> </w:t>
      </w:r>
      <w:r>
        <w:rPr>
          <w:rFonts w:hint="eastAsia"/>
          <w:b/>
          <w:bCs/>
        </w:rPr>
        <w:t>福州市晋安区噪声敏感建筑物集中区域划分成果统计表</w:t>
      </w:r>
    </w:p>
    <w:tbl>
      <w:tblPr>
        <w:tblStyle w:val="17"/>
        <w:tblW w:w="5000" w:type="pct"/>
        <w:tblInd w:w="0" w:type="dxa"/>
        <w:tblLayout w:type="autofit"/>
        <w:tblCellMar>
          <w:top w:w="0" w:type="dxa"/>
          <w:left w:w="108" w:type="dxa"/>
          <w:bottom w:w="0" w:type="dxa"/>
          <w:right w:w="108" w:type="dxa"/>
        </w:tblCellMar>
      </w:tblPr>
      <w:tblGrid>
        <w:gridCol w:w="1006"/>
        <w:gridCol w:w="2591"/>
        <w:gridCol w:w="9074"/>
        <w:gridCol w:w="1503"/>
      </w:tblGrid>
      <w:tr w14:paraId="7C488EFA">
        <w:tblPrEx>
          <w:tblCellMar>
            <w:top w:w="0" w:type="dxa"/>
            <w:left w:w="108" w:type="dxa"/>
            <w:bottom w:w="0" w:type="dxa"/>
            <w:right w:w="108" w:type="dxa"/>
          </w:tblCellMar>
        </w:tblPrEx>
        <w:trPr>
          <w:trHeight w:val="20" w:hRule="atLeast"/>
          <w:tblHeader/>
        </w:trPr>
        <w:tc>
          <w:tcPr>
            <w:tcW w:w="355" w:type="pct"/>
            <w:tcBorders>
              <w:top w:val="single" w:color="auto" w:sz="4" w:space="0"/>
              <w:left w:val="single" w:color="auto" w:sz="4" w:space="0"/>
              <w:bottom w:val="single" w:color="auto" w:sz="4" w:space="0"/>
              <w:right w:val="single" w:color="auto" w:sz="4" w:space="0"/>
            </w:tcBorders>
            <w:shd w:val="clear" w:color="auto" w:fill="auto"/>
            <w:vAlign w:val="center"/>
          </w:tcPr>
          <w:p w14:paraId="39F4754D">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集中区域编号</w:t>
            </w:r>
          </w:p>
        </w:tc>
        <w:tc>
          <w:tcPr>
            <w:tcW w:w="914" w:type="pct"/>
            <w:tcBorders>
              <w:top w:val="single" w:color="auto" w:sz="4" w:space="0"/>
              <w:left w:val="nil"/>
              <w:bottom w:val="single" w:color="auto" w:sz="4" w:space="0"/>
              <w:right w:val="single" w:color="auto" w:sz="4" w:space="0"/>
            </w:tcBorders>
            <w:shd w:val="clear" w:color="auto" w:fill="auto"/>
            <w:vAlign w:val="center"/>
          </w:tcPr>
          <w:p w14:paraId="7244EF00">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集中区域名称</w:t>
            </w:r>
          </w:p>
        </w:tc>
        <w:tc>
          <w:tcPr>
            <w:tcW w:w="3201" w:type="pct"/>
            <w:tcBorders>
              <w:top w:val="single" w:color="auto" w:sz="4" w:space="0"/>
              <w:left w:val="nil"/>
              <w:bottom w:val="single" w:color="auto" w:sz="4" w:space="0"/>
              <w:right w:val="single" w:color="auto" w:sz="4" w:space="0"/>
            </w:tcBorders>
            <w:shd w:val="clear" w:color="auto" w:fill="auto"/>
            <w:vAlign w:val="center"/>
          </w:tcPr>
          <w:p w14:paraId="5991BFA5">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集中区域边界</w:t>
            </w:r>
          </w:p>
        </w:tc>
        <w:tc>
          <w:tcPr>
            <w:tcW w:w="530" w:type="pct"/>
            <w:tcBorders>
              <w:top w:val="single" w:color="auto" w:sz="4" w:space="0"/>
              <w:left w:val="nil"/>
              <w:bottom w:val="single" w:color="auto" w:sz="4" w:space="0"/>
              <w:right w:val="single" w:color="auto" w:sz="4" w:space="0"/>
            </w:tcBorders>
            <w:shd w:val="clear" w:color="auto" w:fill="auto"/>
            <w:vAlign w:val="center"/>
          </w:tcPr>
          <w:p w14:paraId="47720577">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集中区域面积（km</w:t>
            </w:r>
            <w:r>
              <w:rPr>
                <w:rFonts w:hint="eastAsia" w:ascii="宋体" w:hAnsi="宋体" w:cs="宋体"/>
                <w:kern w:val="0"/>
                <w:szCs w:val="24"/>
                <w:vertAlign w:val="superscript"/>
              </w:rPr>
              <w:t>2</w:t>
            </w:r>
            <w:r>
              <w:rPr>
                <w:rFonts w:hint="eastAsia" w:ascii="宋体" w:hAnsi="宋体" w:cs="宋体"/>
                <w:kern w:val="0"/>
                <w:szCs w:val="24"/>
              </w:rPr>
              <w:t>）</w:t>
            </w:r>
          </w:p>
        </w:tc>
      </w:tr>
      <w:tr w14:paraId="138E1042">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06A20A7B">
            <w:pPr>
              <w:widowControl/>
              <w:spacing w:line="276" w:lineRule="auto"/>
              <w:ind w:firstLine="0" w:firstLineChars="0"/>
              <w:jc w:val="center"/>
              <w:rPr>
                <w:rFonts w:cs="Times New Roman"/>
                <w:kern w:val="0"/>
                <w:szCs w:val="24"/>
              </w:rPr>
            </w:pPr>
            <w:r>
              <w:rPr>
                <w:rFonts w:cs="Times New Roman"/>
                <w:kern w:val="0"/>
                <w:szCs w:val="24"/>
              </w:rPr>
              <w:t>JZQ001</w:t>
            </w:r>
          </w:p>
        </w:tc>
        <w:tc>
          <w:tcPr>
            <w:tcW w:w="914" w:type="pct"/>
            <w:tcBorders>
              <w:top w:val="nil"/>
              <w:left w:val="nil"/>
              <w:bottom w:val="single" w:color="auto" w:sz="4" w:space="0"/>
              <w:right w:val="single" w:color="auto" w:sz="4" w:space="0"/>
            </w:tcBorders>
            <w:shd w:val="clear" w:color="auto" w:fill="auto"/>
            <w:vAlign w:val="center"/>
          </w:tcPr>
          <w:p w14:paraId="1178B554">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福州市博物馆区域</w:t>
            </w:r>
          </w:p>
        </w:tc>
        <w:tc>
          <w:tcPr>
            <w:tcW w:w="3201" w:type="pct"/>
            <w:tcBorders>
              <w:top w:val="nil"/>
              <w:left w:val="nil"/>
              <w:bottom w:val="single" w:color="auto" w:sz="4" w:space="0"/>
              <w:right w:val="single" w:color="auto" w:sz="4" w:space="0"/>
            </w:tcBorders>
            <w:shd w:val="clear" w:color="auto" w:fill="auto"/>
            <w:vAlign w:val="center"/>
          </w:tcPr>
          <w:p w14:paraId="5ED1042C">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国货东路→晋安区西侧行政边界→晋安区南侧行政边界→长乐南路</w:t>
            </w:r>
          </w:p>
        </w:tc>
        <w:tc>
          <w:tcPr>
            <w:tcW w:w="530" w:type="pct"/>
            <w:tcBorders>
              <w:top w:val="nil"/>
              <w:left w:val="nil"/>
              <w:bottom w:val="single" w:color="auto" w:sz="4" w:space="0"/>
              <w:right w:val="single" w:color="auto" w:sz="4" w:space="0"/>
            </w:tcBorders>
            <w:shd w:val="clear" w:color="auto" w:fill="auto"/>
            <w:noWrap/>
            <w:vAlign w:val="center"/>
          </w:tcPr>
          <w:p w14:paraId="1399EFB8">
            <w:pPr>
              <w:widowControl/>
              <w:spacing w:line="276" w:lineRule="auto"/>
              <w:ind w:firstLine="0" w:firstLineChars="0"/>
              <w:jc w:val="center"/>
              <w:rPr>
                <w:rFonts w:cs="Times New Roman"/>
                <w:kern w:val="0"/>
                <w:szCs w:val="24"/>
              </w:rPr>
            </w:pPr>
            <w:r>
              <w:rPr>
                <w:rFonts w:cs="Times New Roman"/>
                <w:kern w:val="0"/>
                <w:szCs w:val="24"/>
              </w:rPr>
              <w:t xml:space="preserve">0.30 </w:t>
            </w:r>
          </w:p>
        </w:tc>
      </w:tr>
      <w:tr w14:paraId="21EADE1D">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C12601C">
            <w:pPr>
              <w:widowControl/>
              <w:spacing w:line="276" w:lineRule="auto"/>
              <w:ind w:firstLine="0" w:firstLineChars="0"/>
              <w:jc w:val="center"/>
              <w:rPr>
                <w:rFonts w:cs="Times New Roman"/>
                <w:kern w:val="0"/>
                <w:szCs w:val="24"/>
              </w:rPr>
            </w:pPr>
            <w:r>
              <w:rPr>
                <w:rFonts w:cs="Times New Roman"/>
                <w:kern w:val="0"/>
                <w:szCs w:val="24"/>
              </w:rPr>
              <w:t>JZQ002</w:t>
            </w:r>
          </w:p>
        </w:tc>
        <w:tc>
          <w:tcPr>
            <w:tcW w:w="914" w:type="pct"/>
            <w:tcBorders>
              <w:top w:val="nil"/>
              <w:left w:val="nil"/>
              <w:bottom w:val="single" w:color="auto" w:sz="4" w:space="0"/>
              <w:right w:val="single" w:color="auto" w:sz="4" w:space="0"/>
            </w:tcBorders>
            <w:shd w:val="clear" w:color="auto" w:fill="auto"/>
            <w:vAlign w:val="center"/>
          </w:tcPr>
          <w:p w14:paraId="77FDEB7C">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首开融侨首融府区域</w:t>
            </w:r>
          </w:p>
        </w:tc>
        <w:tc>
          <w:tcPr>
            <w:tcW w:w="3201" w:type="pct"/>
            <w:tcBorders>
              <w:top w:val="nil"/>
              <w:left w:val="nil"/>
              <w:bottom w:val="single" w:color="auto" w:sz="4" w:space="0"/>
              <w:right w:val="single" w:color="auto" w:sz="4" w:space="0"/>
            </w:tcBorders>
            <w:shd w:val="clear" w:color="auto" w:fill="auto"/>
            <w:vAlign w:val="center"/>
          </w:tcPr>
          <w:p w14:paraId="633FE1AA">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国货东路→长乐南路→晋安区南侧行政边界→连江中路</w:t>
            </w:r>
          </w:p>
        </w:tc>
        <w:tc>
          <w:tcPr>
            <w:tcW w:w="530" w:type="pct"/>
            <w:tcBorders>
              <w:top w:val="nil"/>
              <w:left w:val="nil"/>
              <w:bottom w:val="single" w:color="auto" w:sz="4" w:space="0"/>
              <w:right w:val="single" w:color="auto" w:sz="4" w:space="0"/>
            </w:tcBorders>
            <w:shd w:val="clear" w:color="auto" w:fill="auto"/>
            <w:noWrap/>
            <w:vAlign w:val="center"/>
          </w:tcPr>
          <w:p w14:paraId="24C12D12">
            <w:pPr>
              <w:widowControl/>
              <w:spacing w:line="276" w:lineRule="auto"/>
              <w:ind w:firstLine="0" w:firstLineChars="0"/>
              <w:jc w:val="center"/>
              <w:rPr>
                <w:rFonts w:cs="Times New Roman"/>
                <w:kern w:val="0"/>
                <w:szCs w:val="24"/>
              </w:rPr>
            </w:pPr>
            <w:r>
              <w:rPr>
                <w:rFonts w:cs="Times New Roman"/>
                <w:kern w:val="0"/>
                <w:szCs w:val="24"/>
              </w:rPr>
              <w:t xml:space="preserve">0.33 </w:t>
            </w:r>
          </w:p>
        </w:tc>
      </w:tr>
      <w:tr w14:paraId="5E7431E1">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A57B874">
            <w:pPr>
              <w:widowControl/>
              <w:spacing w:line="276" w:lineRule="auto"/>
              <w:ind w:firstLine="0" w:firstLineChars="0"/>
              <w:jc w:val="center"/>
              <w:rPr>
                <w:rFonts w:cs="Times New Roman"/>
                <w:kern w:val="0"/>
                <w:szCs w:val="24"/>
              </w:rPr>
            </w:pPr>
            <w:r>
              <w:rPr>
                <w:rFonts w:cs="Times New Roman"/>
                <w:kern w:val="0"/>
                <w:szCs w:val="24"/>
              </w:rPr>
              <w:t>JZQ003</w:t>
            </w:r>
          </w:p>
        </w:tc>
        <w:tc>
          <w:tcPr>
            <w:tcW w:w="914" w:type="pct"/>
            <w:tcBorders>
              <w:top w:val="nil"/>
              <w:left w:val="nil"/>
              <w:bottom w:val="single" w:color="auto" w:sz="4" w:space="0"/>
              <w:right w:val="single" w:color="auto" w:sz="4" w:space="0"/>
            </w:tcBorders>
            <w:shd w:val="clear" w:color="auto" w:fill="auto"/>
            <w:vAlign w:val="center"/>
          </w:tcPr>
          <w:p w14:paraId="224C23A4">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日出东方区域</w:t>
            </w:r>
          </w:p>
        </w:tc>
        <w:tc>
          <w:tcPr>
            <w:tcW w:w="3201" w:type="pct"/>
            <w:tcBorders>
              <w:top w:val="nil"/>
              <w:left w:val="nil"/>
              <w:bottom w:val="single" w:color="auto" w:sz="4" w:space="0"/>
              <w:right w:val="single" w:color="auto" w:sz="4" w:space="0"/>
            </w:tcBorders>
            <w:shd w:val="clear" w:color="auto" w:fill="auto"/>
            <w:vAlign w:val="center"/>
          </w:tcPr>
          <w:p w14:paraId="5E001AD3">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远洋路→连江中路→北光明港路</w:t>
            </w:r>
          </w:p>
        </w:tc>
        <w:tc>
          <w:tcPr>
            <w:tcW w:w="530" w:type="pct"/>
            <w:tcBorders>
              <w:top w:val="nil"/>
              <w:left w:val="nil"/>
              <w:bottom w:val="single" w:color="auto" w:sz="4" w:space="0"/>
              <w:right w:val="single" w:color="auto" w:sz="4" w:space="0"/>
            </w:tcBorders>
            <w:shd w:val="clear" w:color="auto" w:fill="auto"/>
            <w:noWrap/>
            <w:vAlign w:val="center"/>
          </w:tcPr>
          <w:p w14:paraId="4511FF19">
            <w:pPr>
              <w:widowControl/>
              <w:spacing w:line="276" w:lineRule="auto"/>
              <w:ind w:firstLine="0" w:firstLineChars="0"/>
              <w:jc w:val="center"/>
              <w:rPr>
                <w:rFonts w:cs="Times New Roman"/>
                <w:kern w:val="0"/>
                <w:szCs w:val="24"/>
              </w:rPr>
            </w:pPr>
            <w:r>
              <w:rPr>
                <w:rFonts w:cs="Times New Roman"/>
                <w:kern w:val="0"/>
                <w:szCs w:val="24"/>
              </w:rPr>
              <w:t xml:space="preserve">0.22 </w:t>
            </w:r>
          </w:p>
        </w:tc>
      </w:tr>
      <w:tr w14:paraId="6BD9B906">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2AAA6FBD">
            <w:pPr>
              <w:widowControl/>
              <w:spacing w:line="276" w:lineRule="auto"/>
              <w:ind w:firstLine="0" w:firstLineChars="0"/>
              <w:jc w:val="center"/>
              <w:rPr>
                <w:rFonts w:cs="Times New Roman"/>
                <w:kern w:val="0"/>
                <w:szCs w:val="24"/>
              </w:rPr>
            </w:pPr>
            <w:r>
              <w:rPr>
                <w:rFonts w:cs="Times New Roman"/>
                <w:kern w:val="0"/>
                <w:szCs w:val="24"/>
              </w:rPr>
              <w:t>JZQ004</w:t>
            </w:r>
          </w:p>
        </w:tc>
        <w:tc>
          <w:tcPr>
            <w:tcW w:w="914" w:type="pct"/>
            <w:tcBorders>
              <w:top w:val="nil"/>
              <w:left w:val="nil"/>
              <w:bottom w:val="single" w:color="auto" w:sz="4" w:space="0"/>
              <w:right w:val="single" w:color="auto" w:sz="4" w:space="0"/>
            </w:tcBorders>
            <w:shd w:val="clear" w:color="auto" w:fill="auto"/>
            <w:vAlign w:val="center"/>
          </w:tcPr>
          <w:p w14:paraId="678D67D2">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双辉花园区域</w:t>
            </w:r>
          </w:p>
        </w:tc>
        <w:tc>
          <w:tcPr>
            <w:tcW w:w="3201" w:type="pct"/>
            <w:tcBorders>
              <w:top w:val="nil"/>
              <w:left w:val="nil"/>
              <w:bottom w:val="single" w:color="auto" w:sz="4" w:space="0"/>
              <w:right w:val="single" w:color="auto" w:sz="4" w:space="0"/>
            </w:tcBorders>
            <w:shd w:val="clear" w:color="auto" w:fill="auto"/>
            <w:vAlign w:val="center"/>
          </w:tcPr>
          <w:p w14:paraId="36D4CC0A">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福马路→连江中路→远洋路→前横南路→连洋西路</w:t>
            </w:r>
          </w:p>
        </w:tc>
        <w:tc>
          <w:tcPr>
            <w:tcW w:w="530" w:type="pct"/>
            <w:tcBorders>
              <w:top w:val="nil"/>
              <w:left w:val="nil"/>
              <w:bottom w:val="single" w:color="auto" w:sz="4" w:space="0"/>
              <w:right w:val="single" w:color="auto" w:sz="4" w:space="0"/>
            </w:tcBorders>
            <w:shd w:val="clear" w:color="auto" w:fill="auto"/>
            <w:noWrap/>
            <w:vAlign w:val="center"/>
          </w:tcPr>
          <w:p w14:paraId="1CA472ED">
            <w:pPr>
              <w:widowControl/>
              <w:spacing w:line="276" w:lineRule="auto"/>
              <w:ind w:firstLine="0" w:firstLineChars="0"/>
              <w:jc w:val="center"/>
              <w:rPr>
                <w:rFonts w:cs="Times New Roman"/>
                <w:kern w:val="0"/>
                <w:szCs w:val="24"/>
              </w:rPr>
            </w:pPr>
            <w:r>
              <w:rPr>
                <w:rFonts w:cs="Times New Roman"/>
                <w:kern w:val="0"/>
                <w:szCs w:val="24"/>
              </w:rPr>
              <w:t xml:space="preserve">0.77 </w:t>
            </w:r>
          </w:p>
        </w:tc>
      </w:tr>
      <w:tr w14:paraId="35C25BC1">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1A9C0D99">
            <w:pPr>
              <w:widowControl/>
              <w:spacing w:line="276" w:lineRule="auto"/>
              <w:ind w:firstLine="0" w:firstLineChars="0"/>
              <w:jc w:val="center"/>
              <w:rPr>
                <w:rFonts w:cs="Times New Roman"/>
                <w:kern w:val="0"/>
                <w:szCs w:val="24"/>
              </w:rPr>
            </w:pPr>
            <w:r>
              <w:rPr>
                <w:rFonts w:cs="Times New Roman"/>
                <w:kern w:val="0"/>
                <w:szCs w:val="24"/>
              </w:rPr>
              <w:t>JZQ005</w:t>
            </w:r>
          </w:p>
        </w:tc>
        <w:tc>
          <w:tcPr>
            <w:tcW w:w="914" w:type="pct"/>
            <w:tcBorders>
              <w:top w:val="nil"/>
              <w:left w:val="nil"/>
              <w:bottom w:val="single" w:color="auto" w:sz="4" w:space="0"/>
              <w:right w:val="single" w:color="auto" w:sz="4" w:space="0"/>
            </w:tcBorders>
            <w:shd w:val="clear" w:color="auto" w:fill="auto"/>
            <w:vAlign w:val="center"/>
          </w:tcPr>
          <w:p w14:paraId="6FC26824">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世纪金辉区域</w:t>
            </w:r>
          </w:p>
        </w:tc>
        <w:tc>
          <w:tcPr>
            <w:tcW w:w="3201" w:type="pct"/>
            <w:tcBorders>
              <w:top w:val="nil"/>
              <w:left w:val="nil"/>
              <w:bottom w:val="single" w:color="auto" w:sz="4" w:space="0"/>
              <w:right w:val="single" w:color="auto" w:sz="4" w:space="0"/>
            </w:tcBorders>
            <w:shd w:val="clear" w:color="auto" w:fill="auto"/>
            <w:vAlign w:val="center"/>
          </w:tcPr>
          <w:p w14:paraId="10222AD0">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福马路→前横南路→远洋路→水上公园边界（不含水上公园）→远洋路→福光南路</w:t>
            </w:r>
          </w:p>
        </w:tc>
        <w:tc>
          <w:tcPr>
            <w:tcW w:w="530" w:type="pct"/>
            <w:tcBorders>
              <w:top w:val="nil"/>
              <w:left w:val="nil"/>
              <w:bottom w:val="single" w:color="auto" w:sz="4" w:space="0"/>
              <w:right w:val="single" w:color="auto" w:sz="4" w:space="0"/>
            </w:tcBorders>
            <w:shd w:val="clear" w:color="auto" w:fill="auto"/>
            <w:noWrap/>
            <w:vAlign w:val="center"/>
          </w:tcPr>
          <w:p w14:paraId="09D11940">
            <w:pPr>
              <w:widowControl/>
              <w:spacing w:line="276" w:lineRule="auto"/>
              <w:ind w:firstLine="0" w:firstLineChars="0"/>
              <w:jc w:val="center"/>
              <w:rPr>
                <w:rFonts w:cs="Times New Roman"/>
                <w:kern w:val="0"/>
                <w:szCs w:val="24"/>
              </w:rPr>
            </w:pPr>
            <w:r>
              <w:rPr>
                <w:rFonts w:cs="Times New Roman"/>
                <w:kern w:val="0"/>
                <w:szCs w:val="24"/>
              </w:rPr>
              <w:t xml:space="preserve">1.01 </w:t>
            </w:r>
          </w:p>
        </w:tc>
      </w:tr>
      <w:tr w14:paraId="2DDB5229">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7C46DB18">
            <w:pPr>
              <w:widowControl/>
              <w:spacing w:line="276" w:lineRule="auto"/>
              <w:ind w:firstLine="0" w:firstLineChars="0"/>
              <w:jc w:val="center"/>
              <w:rPr>
                <w:rFonts w:cs="Times New Roman"/>
                <w:kern w:val="0"/>
                <w:szCs w:val="24"/>
              </w:rPr>
            </w:pPr>
            <w:r>
              <w:rPr>
                <w:rFonts w:cs="Times New Roman"/>
                <w:kern w:val="0"/>
                <w:szCs w:val="24"/>
              </w:rPr>
              <w:t>JZQ006</w:t>
            </w:r>
          </w:p>
        </w:tc>
        <w:tc>
          <w:tcPr>
            <w:tcW w:w="914" w:type="pct"/>
            <w:tcBorders>
              <w:top w:val="nil"/>
              <w:left w:val="nil"/>
              <w:bottom w:val="single" w:color="auto" w:sz="4" w:space="0"/>
              <w:right w:val="single" w:color="auto" w:sz="4" w:space="0"/>
            </w:tcBorders>
            <w:shd w:val="clear" w:color="auto" w:fill="auto"/>
            <w:vAlign w:val="center"/>
          </w:tcPr>
          <w:p w14:paraId="45501BB5">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上洋小区区域</w:t>
            </w:r>
          </w:p>
        </w:tc>
        <w:tc>
          <w:tcPr>
            <w:tcW w:w="3201" w:type="pct"/>
            <w:tcBorders>
              <w:top w:val="nil"/>
              <w:left w:val="nil"/>
              <w:bottom w:val="single" w:color="auto" w:sz="4" w:space="0"/>
              <w:right w:val="single" w:color="auto" w:sz="4" w:space="0"/>
            </w:tcBorders>
            <w:shd w:val="clear" w:color="auto" w:fill="auto"/>
            <w:vAlign w:val="center"/>
          </w:tcPr>
          <w:p w14:paraId="2D43CF7D">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福马路→福光南路→远洋路→连洋路→上洋路→福马路</w:t>
            </w:r>
          </w:p>
        </w:tc>
        <w:tc>
          <w:tcPr>
            <w:tcW w:w="530" w:type="pct"/>
            <w:tcBorders>
              <w:top w:val="nil"/>
              <w:left w:val="nil"/>
              <w:bottom w:val="single" w:color="auto" w:sz="4" w:space="0"/>
              <w:right w:val="single" w:color="auto" w:sz="4" w:space="0"/>
            </w:tcBorders>
            <w:shd w:val="clear" w:color="auto" w:fill="auto"/>
            <w:noWrap/>
            <w:vAlign w:val="center"/>
          </w:tcPr>
          <w:p w14:paraId="1D7BB4FF">
            <w:pPr>
              <w:widowControl/>
              <w:spacing w:line="276" w:lineRule="auto"/>
              <w:ind w:firstLine="0" w:firstLineChars="0"/>
              <w:jc w:val="center"/>
              <w:rPr>
                <w:rFonts w:cs="Times New Roman"/>
                <w:kern w:val="0"/>
                <w:szCs w:val="24"/>
              </w:rPr>
            </w:pPr>
            <w:r>
              <w:rPr>
                <w:rFonts w:cs="Times New Roman"/>
                <w:kern w:val="0"/>
                <w:szCs w:val="24"/>
              </w:rPr>
              <w:t xml:space="preserve">0.17 </w:t>
            </w:r>
          </w:p>
        </w:tc>
      </w:tr>
      <w:tr w14:paraId="1908AECE">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51EBB939">
            <w:pPr>
              <w:widowControl/>
              <w:spacing w:line="276" w:lineRule="auto"/>
              <w:ind w:firstLine="0" w:firstLineChars="0"/>
              <w:jc w:val="center"/>
              <w:rPr>
                <w:rFonts w:cs="Times New Roman"/>
                <w:kern w:val="0"/>
                <w:szCs w:val="24"/>
              </w:rPr>
            </w:pPr>
            <w:r>
              <w:rPr>
                <w:rFonts w:cs="Times New Roman"/>
                <w:kern w:val="0"/>
                <w:szCs w:val="24"/>
              </w:rPr>
              <w:t>JZQ007</w:t>
            </w:r>
          </w:p>
        </w:tc>
        <w:tc>
          <w:tcPr>
            <w:tcW w:w="914" w:type="pct"/>
            <w:tcBorders>
              <w:top w:val="nil"/>
              <w:left w:val="nil"/>
              <w:bottom w:val="single" w:color="auto" w:sz="4" w:space="0"/>
              <w:right w:val="single" w:color="auto" w:sz="4" w:space="0"/>
            </w:tcBorders>
            <w:shd w:val="clear" w:color="auto" w:fill="auto"/>
            <w:vAlign w:val="center"/>
          </w:tcPr>
          <w:p w14:paraId="5B2DA0BD">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三远佳园区域</w:t>
            </w:r>
          </w:p>
        </w:tc>
        <w:tc>
          <w:tcPr>
            <w:tcW w:w="3201" w:type="pct"/>
            <w:tcBorders>
              <w:top w:val="nil"/>
              <w:left w:val="nil"/>
              <w:bottom w:val="single" w:color="auto" w:sz="4" w:space="0"/>
              <w:right w:val="single" w:color="auto" w:sz="4" w:space="0"/>
            </w:tcBorders>
            <w:shd w:val="clear" w:color="auto" w:fill="auto"/>
            <w:vAlign w:val="center"/>
          </w:tcPr>
          <w:p w14:paraId="007C551F">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福马路→磨洋河→远洋路→福州机场高速</w:t>
            </w:r>
          </w:p>
        </w:tc>
        <w:tc>
          <w:tcPr>
            <w:tcW w:w="530" w:type="pct"/>
            <w:tcBorders>
              <w:top w:val="nil"/>
              <w:left w:val="nil"/>
              <w:bottom w:val="single" w:color="auto" w:sz="4" w:space="0"/>
              <w:right w:val="single" w:color="auto" w:sz="4" w:space="0"/>
            </w:tcBorders>
            <w:shd w:val="clear" w:color="auto" w:fill="auto"/>
            <w:noWrap/>
            <w:vAlign w:val="center"/>
          </w:tcPr>
          <w:p w14:paraId="3CDA2D4D">
            <w:pPr>
              <w:widowControl/>
              <w:spacing w:line="276" w:lineRule="auto"/>
              <w:ind w:firstLine="0" w:firstLineChars="0"/>
              <w:jc w:val="center"/>
              <w:rPr>
                <w:rFonts w:cs="Times New Roman"/>
                <w:kern w:val="0"/>
                <w:szCs w:val="24"/>
              </w:rPr>
            </w:pPr>
            <w:r>
              <w:rPr>
                <w:rFonts w:cs="Times New Roman"/>
                <w:kern w:val="0"/>
                <w:szCs w:val="24"/>
              </w:rPr>
              <w:t xml:space="preserve">0.22 </w:t>
            </w:r>
          </w:p>
        </w:tc>
      </w:tr>
      <w:tr w14:paraId="1C2FC36A">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7D26CCE1">
            <w:pPr>
              <w:widowControl/>
              <w:spacing w:line="276" w:lineRule="auto"/>
              <w:ind w:firstLine="0" w:firstLineChars="0"/>
              <w:jc w:val="center"/>
              <w:rPr>
                <w:rFonts w:cs="Times New Roman"/>
                <w:kern w:val="0"/>
                <w:szCs w:val="24"/>
              </w:rPr>
            </w:pPr>
            <w:r>
              <w:rPr>
                <w:rFonts w:cs="Times New Roman"/>
                <w:kern w:val="0"/>
                <w:szCs w:val="24"/>
              </w:rPr>
              <w:t>JZQ008</w:t>
            </w:r>
          </w:p>
        </w:tc>
        <w:tc>
          <w:tcPr>
            <w:tcW w:w="914" w:type="pct"/>
            <w:tcBorders>
              <w:top w:val="nil"/>
              <w:left w:val="nil"/>
              <w:bottom w:val="single" w:color="auto" w:sz="4" w:space="0"/>
              <w:right w:val="single" w:color="auto" w:sz="4" w:space="0"/>
            </w:tcBorders>
            <w:shd w:val="clear" w:color="auto" w:fill="auto"/>
            <w:vAlign w:val="center"/>
          </w:tcPr>
          <w:p w14:paraId="548ECED8">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世欧王庄区域</w:t>
            </w:r>
          </w:p>
        </w:tc>
        <w:tc>
          <w:tcPr>
            <w:tcW w:w="3201" w:type="pct"/>
            <w:tcBorders>
              <w:top w:val="nil"/>
              <w:left w:val="nil"/>
              <w:bottom w:val="single" w:color="auto" w:sz="4" w:space="0"/>
              <w:right w:val="single" w:color="auto" w:sz="4" w:space="0"/>
            </w:tcBorders>
            <w:shd w:val="clear" w:color="auto" w:fill="auto"/>
            <w:vAlign w:val="center"/>
          </w:tcPr>
          <w:p w14:paraId="05A21F18">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福马路→晋安区西侧行政边界→国货东路→长乐中路→长河路→洪堂路→王庄街→长乐中路</w:t>
            </w:r>
          </w:p>
        </w:tc>
        <w:tc>
          <w:tcPr>
            <w:tcW w:w="530" w:type="pct"/>
            <w:tcBorders>
              <w:top w:val="nil"/>
              <w:left w:val="nil"/>
              <w:bottom w:val="single" w:color="auto" w:sz="4" w:space="0"/>
              <w:right w:val="single" w:color="auto" w:sz="4" w:space="0"/>
            </w:tcBorders>
            <w:shd w:val="clear" w:color="auto" w:fill="auto"/>
            <w:noWrap/>
            <w:vAlign w:val="center"/>
          </w:tcPr>
          <w:p w14:paraId="378FA167">
            <w:pPr>
              <w:widowControl/>
              <w:spacing w:line="276" w:lineRule="auto"/>
              <w:ind w:firstLine="0" w:firstLineChars="0"/>
              <w:jc w:val="center"/>
              <w:rPr>
                <w:rFonts w:cs="Times New Roman"/>
                <w:kern w:val="0"/>
                <w:szCs w:val="24"/>
              </w:rPr>
            </w:pPr>
            <w:r>
              <w:rPr>
                <w:rFonts w:cs="Times New Roman"/>
                <w:kern w:val="0"/>
                <w:szCs w:val="24"/>
              </w:rPr>
              <w:t xml:space="preserve">0.54 </w:t>
            </w:r>
          </w:p>
        </w:tc>
      </w:tr>
      <w:tr w14:paraId="3D23738D">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F68688F">
            <w:pPr>
              <w:widowControl/>
              <w:spacing w:line="276" w:lineRule="auto"/>
              <w:ind w:firstLine="0" w:firstLineChars="0"/>
              <w:jc w:val="center"/>
              <w:rPr>
                <w:rFonts w:cs="Times New Roman"/>
                <w:kern w:val="0"/>
                <w:szCs w:val="24"/>
              </w:rPr>
            </w:pPr>
            <w:r>
              <w:rPr>
                <w:rFonts w:cs="Times New Roman"/>
                <w:kern w:val="0"/>
                <w:szCs w:val="24"/>
              </w:rPr>
              <w:t>JZQ009</w:t>
            </w:r>
          </w:p>
        </w:tc>
        <w:tc>
          <w:tcPr>
            <w:tcW w:w="914" w:type="pct"/>
            <w:tcBorders>
              <w:top w:val="nil"/>
              <w:left w:val="nil"/>
              <w:bottom w:val="single" w:color="auto" w:sz="4" w:space="0"/>
              <w:right w:val="single" w:color="auto" w:sz="4" w:space="0"/>
            </w:tcBorders>
            <w:shd w:val="clear" w:color="auto" w:fill="auto"/>
            <w:vAlign w:val="center"/>
          </w:tcPr>
          <w:p w14:paraId="138038DA">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福州熙悦花园区域</w:t>
            </w:r>
          </w:p>
        </w:tc>
        <w:tc>
          <w:tcPr>
            <w:tcW w:w="3201" w:type="pct"/>
            <w:tcBorders>
              <w:top w:val="nil"/>
              <w:left w:val="nil"/>
              <w:bottom w:val="single" w:color="auto" w:sz="4" w:space="0"/>
              <w:right w:val="single" w:color="auto" w:sz="4" w:space="0"/>
            </w:tcBorders>
            <w:shd w:val="clear" w:color="auto" w:fill="auto"/>
            <w:vAlign w:val="center"/>
          </w:tcPr>
          <w:p w14:paraId="3911C342">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福马路→长乐中路→国货东路→连江中路</w:t>
            </w:r>
          </w:p>
        </w:tc>
        <w:tc>
          <w:tcPr>
            <w:tcW w:w="530" w:type="pct"/>
            <w:tcBorders>
              <w:top w:val="nil"/>
              <w:left w:val="nil"/>
              <w:bottom w:val="single" w:color="auto" w:sz="4" w:space="0"/>
              <w:right w:val="single" w:color="auto" w:sz="4" w:space="0"/>
            </w:tcBorders>
            <w:shd w:val="clear" w:color="auto" w:fill="auto"/>
            <w:noWrap/>
            <w:vAlign w:val="center"/>
          </w:tcPr>
          <w:p w14:paraId="797CA06D">
            <w:pPr>
              <w:widowControl/>
              <w:spacing w:line="276" w:lineRule="auto"/>
              <w:ind w:firstLine="0" w:firstLineChars="0"/>
              <w:jc w:val="center"/>
              <w:rPr>
                <w:rFonts w:cs="Times New Roman"/>
                <w:kern w:val="0"/>
                <w:szCs w:val="24"/>
              </w:rPr>
            </w:pPr>
            <w:r>
              <w:rPr>
                <w:rFonts w:cs="Times New Roman"/>
                <w:kern w:val="0"/>
                <w:szCs w:val="24"/>
              </w:rPr>
              <w:t xml:space="preserve">0.74 </w:t>
            </w:r>
          </w:p>
        </w:tc>
      </w:tr>
      <w:tr w14:paraId="2AB06FEA">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1414CF1A">
            <w:pPr>
              <w:widowControl/>
              <w:spacing w:line="276" w:lineRule="auto"/>
              <w:ind w:firstLine="0" w:firstLineChars="0"/>
              <w:jc w:val="center"/>
              <w:rPr>
                <w:rFonts w:cs="Times New Roman"/>
                <w:kern w:val="0"/>
                <w:szCs w:val="24"/>
              </w:rPr>
            </w:pPr>
            <w:r>
              <w:rPr>
                <w:rFonts w:cs="Times New Roman"/>
                <w:kern w:val="0"/>
                <w:szCs w:val="24"/>
              </w:rPr>
              <w:t>JZQ010</w:t>
            </w:r>
          </w:p>
        </w:tc>
        <w:tc>
          <w:tcPr>
            <w:tcW w:w="914" w:type="pct"/>
            <w:tcBorders>
              <w:top w:val="nil"/>
              <w:left w:val="nil"/>
              <w:bottom w:val="single" w:color="auto" w:sz="4" w:space="0"/>
              <w:right w:val="single" w:color="auto" w:sz="4" w:space="0"/>
            </w:tcBorders>
            <w:shd w:val="clear" w:color="auto" w:fill="auto"/>
            <w:vAlign w:val="center"/>
          </w:tcPr>
          <w:p w14:paraId="7D59DAFA">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前屿小学区域</w:t>
            </w:r>
          </w:p>
        </w:tc>
        <w:tc>
          <w:tcPr>
            <w:tcW w:w="3201" w:type="pct"/>
            <w:tcBorders>
              <w:top w:val="nil"/>
              <w:left w:val="nil"/>
              <w:bottom w:val="single" w:color="auto" w:sz="4" w:space="0"/>
              <w:right w:val="single" w:color="auto" w:sz="4" w:space="0"/>
            </w:tcBorders>
            <w:shd w:val="clear" w:color="auto" w:fill="auto"/>
            <w:vAlign w:val="center"/>
          </w:tcPr>
          <w:p w14:paraId="7B32B469">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福马路→连洋西路→前横南路</w:t>
            </w:r>
          </w:p>
        </w:tc>
        <w:tc>
          <w:tcPr>
            <w:tcW w:w="530" w:type="pct"/>
            <w:tcBorders>
              <w:top w:val="nil"/>
              <w:left w:val="nil"/>
              <w:bottom w:val="single" w:color="auto" w:sz="4" w:space="0"/>
              <w:right w:val="single" w:color="auto" w:sz="4" w:space="0"/>
            </w:tcBorders>
            <w:shd w:val="clear" w:color="auto" w:fill="auto"/>
            <w:noWrap/>
            <w:vAlign w:val="center"/>
          </w:tcPr>
          <w:p w14:paraId="63400944">
            <w:pPr>
              <w:widowControl/>
              <w:spacing w:line="276" w:lineRule="auto"/>
              <w:ind w:firstLine="0" w:firstLineChars="0"/>
              <w:jc w:val="center"/>
              <w:rPr>
                <w:rFonts w:cs="Times New Roman"/>
                <w:kern w:val="0"/>
                <w:szCs w:val="24"/>
              </w:rPr>
            </w:pPr>
            <w:r>
              <w:rPr>
                <w:rFonts w:cs="Times New Roman"/>
                <w:kern w:val="0"/>
                <w:szCs w:val="24"/>
              </w:rPr>
              <w:t xml:space="preserve">0.55 </w:t>
            </w:r>
          </w:p>
        </w:tc>
      </w:tr>
      <w:tr w14:paraId="650A9445">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DC2214C">
            <w:pPr>
              <w:widowControl/>
              <w:spacing w:line="276" w:lineRule="auto"/>
              <w:ind w:firstLine="0" w:firstLineChars="0"/>
              <w:jc w:val="center"/>
              <w:rPr>
                <w:rFonts w:cs="Times New Roman"/>
                <w:kern w:val="0"/>
                <w:szCs w:val="24"/>
              </w:rPr>
            </w:pPr>
            <w:r>
              <w:rPr>
                <w:rFonts w:cs="Times New Roman"/>
                <w:kern w:val="0"/>
                <w:szCs w:val="24"/>
              </w:rPr>
              <w:t>JZQ011</w:t>
            </w:r>
          </w:p>
        </w:tc>
        <w:tc>
          <w:tcPr>
            <w:tcW w:w="914" w:type="pct"/>
            <w:tcBorders>
              <w:top w:val="nil"/>
              <w:left w:val="nil"/>
              <w:bottom w:val="single" w:color="auto" w:sz="4" w:space="0"/>
              <w:right w:val="single" w:color="auto" w:sz="4" w:space="0"/>
            </w:tcBorders>
            <w:shd w:val="clear" w:color="auto" w:fill="auto"/>
            <w:vAlign w:val="center"/>
          </w:tcPr>
          <w:p w14:paraId="2B8450C7">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华映花苑区域</w:t>
            </w:r>
          </w:p>
        </w:tc>
        <w:tc>
          <w:tcPr>
            <w:tcW w:w="3201" w:type="pct"/>
            <w:tcBorders>
              <w:top w:val="nil"/>
              <w:left w:val="nil"/>
              <w:bottom w:val="single" w:color="auto" w:sz="4" w:space="0"/>
              <w:right w:val="single" w:color="auto" w:sz="4" w:space="0"/>
            </w:tcBorders>
            <w:shd w:val="clear" w:color="auto" w:fill="auto"/>
            <w:vAlign w:val="center"/>
          </w:tcPr>
          <w:p w14:paraId="0E1BB8EA">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福新中路→晋安区西侧行政边界→福马路→长乐北路</w:t>
            </w:r>
          </w:p>
        </w:tc>
        <w:tc>
          <w:tcPr>
            <w:tcW w:w="530" w:type="pct"/>
            <w:tcBorders>
              <w:top w:val="nil"/>
              <w:left w:val="nil"/>
              <w:bottom w:val="single" w:color="auto" w:sz="4" w:space="0"/>
              <w:right w:val="single" w:color="auto" w:sz="4" w:space="0"/>
            </w:tcBorders>
            <w:shd w:val="clear" w:color="auto" w:fill="auto"/>
            <w:noWrap/>
            <w:vAlign w:val="center"/>
          </w:tcPr>
          <w:p w14:paraId="58919B95">
            <w:pPr>
              <w:widowControl/>
              <w:spacing w:line="276" w:lineRule="auto"/>
              <w:ind w:firstLine="0" w:firstLineChars="0"/>
              <w:jc w:val="center"/>
              <w:rPr>
                <w:rFonts w:cs="Times New Roman"/>
                <w:kern w:val="0"/>
                <w:szCs w:val="24"/>
              </w:rPr>
            </w:pPr>
            <w:r>
              <w:rPr>
                <w:rFonts w:cs="Times New Roman"/>
                <w:kern w:val="0"/>
                <w:szCs w:val="24"/>
              </w:rPr>
              <w:t xml:space="preserve">0.26 </w:t>
            </w:r>
          </w:p>
        </w:tc>
      </w:tr>
      <w:tr w14:paraId="78A5EE5E">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1E6FF8B">
            <w:pPr>
              <w:widowControl/>
              <w:spacing w:line="276" w:lineRule="auto"/>
              <w:ind w:firstLine="0" w:firstLineChars="0"/>
              <w:jc w:val="center"/>
              <w:rPr>
                <w:rFonts w:cs="Times New Roman"/>
                <w:kern w:val="0"/>
                <w:szCs w:val="24"/>
              </w:rPr>
            </w:pPr>
            <w:r>
              <w:rPr>
                <w:rFonts w:cs="Times New Roman"/>
                <w:kern w:val="0"/>
                <w:szCs w:val="24"/>
              </w:rPr>
              <w:t>JZQ012</w:t>
            </w:r>
          </w:p>
        </w:tc>
        <w:tc>
          <w:tcPr>
            <w:tcW w:w="914" w:type="pct"/>
            <w:tcBorders>
              <w:top w:val="nil"/>
              <w:left w:val="nil"/>
              <w:bottom w:val="single" w:color="auto" w:sz="4" w:space="0"/>
              <w:right w:val="single" w:color="auto" w:sz="4" w:space="0"/>
            </w:tcBorders>
            <w:shd w:val="clear" w:color="auto" w:fill="auto"/>
            <w:vAlign w:val="center"/>
          </w:tcPr>
          <w:p w14:paraId="75E66796">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长福鑫苑区域</w:t>
            </w:r>
          </w:p>
        </w:tc>
        <w:tc>
          <w:tcPr>
            <w:tcW w:w="3201" w:type="pct"/>
            <w:tcBorders>
              <w:top w:val="nil"/>
              <w:left w:val="nil"/>
              <w:bottom w:val="single" w:color="auto" w:sz="4" w:space="0"/>
              <w:right w:val="single" w:color="auto" w:sz="4" w:space="0"/>
            </w:tcBorders>
            <w:shd w:val="clear" w:color="auto" w:fill="auto"/>
            <w:vAlign w:val="center"/>
          </w:tcPr>
          <w:p w14:paraId="2320DB82">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福新中路→长乐北路→福马路→连江北路</w:t>
            </w:r>
          </w:p>
        </w:tc>
        <w:tc>
          <w:tcPr>
            <w:tcW w:w="530" w:type="pct"/>
            <w:tcBorders>
              <w:top w:val="nil"/>
              <w:left w:val="nil"/>
              <w:bottom w:val="single" w:color="auto" w:sz="4" w:space="0"/>
              <w:right w:val="single" w:color="auto" w:sz="4" w:space="0"/>
            </w:tcBorders>
            <w:shd w:val="clear" w:color="auto" w:fill="auto"/>
            <w:noWrap/>
            <w:vAlign w:val="center"/>
          </w:tcPr>
          <w:p w14:paraId="3E91C100">
            <w:pPr>
              <w:widowControl/>
              <w:spacing w:line="276" w:lineRule="auto"/>
              <w:ind w:firstLine="0" w:firstLineChars="0"/>
              <w:jc w:val="center"/>
              <w:rPr>
                <w:rFonts w:cs="Times New Roman"/>
                <w:kern w:val="0"/>
                <w:szCs w:val="24"/>
              </w:rPr>
            </w:pPr>
            <w:r>
              <w:rPr>
                <w:rFonts w:cs="Times New Roman"/>
                <w:kern w:val="0"/>
                <w:szCs w:val="24"/>
              </w:rPr>
              <w:t xml:space="preserve">0.48 </w:t>
            </w:r>
          </w:p>
        </w:tc>
      </w:tr>
      <w:tr w14:paraId="5B9225E5">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10B69665">
            <w:pPr>
              <w:widowControl/>
              <w:spacing w:line="276" w:lineRule="auto"/>
              <w:ind w:firstLine="0" w:firstLineChars="0"/>
              <w:jc w:val="center"/>
              <w:rPr>
                <w:rFonts w:cs="Times New Roman"/>
                <w:kern w:val="0"/>
                <w:szCs w:val="24"/>
              </w:rPr>
            </w:pPr>
            <w:r>
              <w:rPr>
                <w:rFonts w:cs="Times New Roman"/>
                <w:kern w:val="0"/>
                <w:szCs w:val="24"/>
              </w:rPr>
              <w:t>JZQ013</w:t>
            </w:r>
          </w:p>
        </w:tc>
        <w:tc>
          <w:tcPr>
            <w:tcW w:w="914" w:type="pct"/>
            <w:tcBorders>
              <w:top w:val="nil"/>
              <w:left w:val="nil"/>
              <w:bottom w:val="single" w:color="auto" w:sz="4" w:space="0"/>
              <w:right w:val="single" w:color="auto" w:sz="4" w:space="0"/>
            </w:tcBorders>
            <w:shd w:val="clear" w:color="auto" w:fill="auto"/>
            <w:vAlign w:val="center"/>
          </w:tcPr>
          <w:p w14:paraId="47B4591D">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龙祥大厦区域</w:t>
            </w:r>
          </w:p>
        </w:tc>
        <w:tc>
          <w:tcPr>
            <w:tcW w:w="3201" w:type="pct"/>
            <w:tcBorders>
              <w:top w:val="nil"/>
              <w:left w:val="nil"/>
              <w:bottom w:val="single" w:color="auto" w:sz="4" w:space="0"/>
              <w:right w:val="single" w:color="auto" w:sz="4" w:space="0"/>
            </w:tcBorders>
            <w:shd w:val="clear" w:color="auto" w:fill="auto"/>
            <w:vAlign w:val="center"/>
          </w:tcPr>
          <w:p w14:paraId="6CCB7EC1">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福新东路→连江北路→福马路→后浦路</w:t>
            </w:r>
          </w:p>
        </w:tc>
        <w:tc>
          <w:tcPr>
            <w:tcW w:w="530" w:type="pct"/>
            <w:tcBorders>
              <w:top w:val="nil"/>
              <w:left w:val="nil"/>
              <w:bottom w:val="single" w:color="auto" w:sz="4" w:space="0"/>
              <w:right w:val="single" w:color="auto" w:sz="4" w:space="0"/>
            </w:tcBorders>
            <w:shd w:val="clear" w:color="auto" w:fill="auto"/>
            <w:noWrap/>
            <w:vAlign w:val="center"/>
          </w:tcPr>
          <w:p w14:paraId="55CAAE6B">
            <w:pPr>
              <w:widowControl/>
              <w:spacing w:line="276" w:lineRule="auto"/>
              <w:ind w:firstLine="0" w:firstLineChars="0"/>
              <w:jc w:val="center"/>
              <w:rPr>
                <w:rFonts w:cs="Times New Roman"/>
                <w:kern w:val="0"/>
                <w:szCs w:val="24"/>
              </w:rPr>
            </w:pPr>
            <w:r>
              <w:rPr>
                <w:rFonts w:cs="Times New Roman"/>
                <w:kern w:val="0"/>
                <w:szCs w:val="24"/>
              </w:rPr>
              <w:t xml:space="preserve">0.49 </w:t>
            </w:r>
          </w:p>
        </w:tc>
      </w:tr>
      <w:tr w14:paraId="35C47D1B">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10C4B908">
            <w:pPr>
              <w:widowControl/>
              <w:spacing w:line="276" w:lineRule="auto"/>
              <w:ind w:firstLine="0" w:firstLineChars="0"/>
              <w:jc w:val="center"/>
              <w:rPr>
                <w:rFonts w:cs="Times New Roman"/>
                <w:kern w:val="0"/>
                <w:szCs w:val="24"/>
              </w:rPr>
            </w:pPr>
            <w:r>
              <w:rPr>
                <w:rFonts w:cs="Times New Roman"/>
                <w:kern w:val="0"/>
                <w:szCs w:val="24"/>
              </w:rPr>
              <w:t>JZQ014</w:t>
            </w:r>
          </w:p>
        </w:tc>
        <w:tc>
          <w:tcPr>
            <w:tcW w:w="914" w:type="pct"/>
            <w:tcBorders>
              <w:top w:val="nil"/>
              <w:left w:val="nil"/>
              <w:bottom w:val="single" w:color="auto" w:sz="4" w:space="0"/>
              <w:right w:val="single" w:color="auto" w:sz="4" w:space="0"/>
            </w:tcBorders>
            <w:shd w:val="clear" w:color="auto" w:fill="auto"/>
            <w:vAlign w:val="center"/>
          </w:tcPr>
          <w:p w14:paraId="65FB1E87">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鼓山中心小学区域</w:t>
            </w:r>
          </w:p>
        </w:tc>
        <w:tc>
          <w:tcPr>
            <w:tcW w:w="3201" w:type="pct"/>
            <w:tcBorders>
              <w:top w:val="nil"/>
              <w:left w:val="nil"/>
              <w:bottom w:val="single" w:color="auto" w:sz="4" w:space="0"/>
              <w:right w:val="single" w:color="auto" w:sz="4" w:space="0"/>
            </w:tcBorders>
            <w:shd w:val="clear" w:color="auto" w:fill="auto"/>
            <w:vAlign w:val="center"/>
          </w:tcPr>
          <w:p w14:paraId="6DCF0AD7">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福新东路→后浦路→福马路→前横路</w:t>
            </w:r>
          </w:p>
        </w:tc>
        <w:tc>
          <w:tcPr>
            <w:tcW w:w="530" w:type="pct"/>
            <w:tcBorders>
              <w:top w:val="nil"/>
              <w:left w:val="nil"/>
              <w:bottom w:val="single" w:color="auto" w:sz="4" w:space="0"/>
              <w:right w:val="single" w:color="auto" w:sz="4" w:space="0"/>
            </w:tcBorders>
            <w:shd w:val="clear" w:color="auto" w:fill="auto"/>
            <w:noWrap/>
            <w:vAlign w:val="center"/>
          </w:tcPr>
          <w:p w14:paraId="3ADFC63A">
            <w:pPr>
              <w:widowControl/>
              <w:spacing w:line="276" w:lineRule="auto"/>
              <w:ind w:firstLine="0" w:firstLineChars="0"/>
              <w:jc w:val="center"/>
              <w:rPr>
                <w:rFonts w:cs="Times New Roman"/>
                <w:kern w:val="0"/>
                <w:szCs w:val="24"/>
              </w:rPr>
            </w:pPr>
            <w:r>
              <w:rPr>
                <w:rFonts w:cs="Times New Roman"/>
                <w:kern w:val="0"/>
                <w:szCs w:val="24"/>
              </w:rPr>
              <w:t xml:space="preserve">0.87 </w:t>
            </w:r>
          </w:p>
        </w:tc>
      </w:tr>
      <w:tr w14:paraId="1AC7A37A">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E004D13">
            <w:pPr>
              <w:widowControl/>
              <w:spacing w:line="276" w:lineRule="auto"/>
              <w:ind w:firstLine="0" w:firstLineChars="0"/>
              <w:jc w:val="center"/>
              <w:rPr>
                <w:rFonts w:cs="Times New Roman"/>
                <w:kern w:val="0"/>
                <w:szCs w:val="24"/>
              </w:rPr>
            </w:pPr>
            <w:r>
              <w:rPr>
                <w:rFonts w:cs="Times New Roman"/>
                <w:kern w:val="0"/>
                <w:szCs w:val="24"/>
              </w:rPr>
              <w:t>JZQ015</w:t>
            </w:r>
          </w:p>
        </w:tc>
        <w:tc>
          <w:tcPr>
            <w:tcW w:w="914" w:type="pct"/>
            <w:tcBorders>
              <w:top w:val="nil"/>
              <w:left w:val="nil"/>
              <w:bottom w:val="single" w:color="auto" w:sz="4" w:space="0"/>
              <w:right w:val="single" w:color="auto" w:sz="4" w:space="0"/>
            </w:tcBorders>
            <w:shd w:val="clear" w:color="auto" w:fill="auto"/>
            <w:vAlign w:val="center"/>
          </w:tcPr>
          <w:p w14:paraId="7C99AAB0">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中辉新苑区域</w:t>
            </w:r>
          </w:p>
        </w:tc>
        <w:tc>
          <w:tcPr>
            <w:tcW w:w="3201" w:type="pct"/>
            <w:tcBorders>
              <w:top w:val="nil"/>
              <w:left w:val="nil"/>
              <w:bottom w:val="single" w:color="auto" w:sz="4" w:space="0"/>
              <w:right w:val="single" w:color="auto" w:sz="4" w:space="0"/>
            </w:tcBorders>
            <w:shd w:val="clear" w:color="auto" w:fill="auto"/>
            <w:vAlign w:val="center"/>
          </w:tcPr>
          <w:p w14:paraId="2E362B82">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后屿路→福建警官职业学院北侧边界→前横路→中建小区南侧边界→鼓山镇政府西侧边界→福马路→恒宇国际公园南侧边界→保利云上南侧边界→梓林路→红光小学东侧边界→福兴妇产医院东侧边界→红光苑小学东侧边界→中国晋安区委党校边界→双福路</w:t>
            </w:r>
          </w:p>
        </w:tc>
        <w:tc>
          <w:tcPr>
            <w:tcW w:w="530" w:type="pct"/>
            <w:tcBorders>
              <w:top w:val="nil"/>
              <w:left w:val="nil"/>
              <w:bottom w:val="single" w:color="auto" w:sz="4" w:space="0"/>
              <w:right w:val="single" w:color="auto" w:sz="4" w:space="0"/>
            </w:tcBorders>
            <w:shd w:val="clear" w:color="auto" w:fill="auto"/>
            <w:noWrap/>
            <w:vAlign w:val="center"/>
          </w:tcPr>
          <w:p w14:paraId="6F2FE095">
            <w:pPr>
              <w:widowControl/>
              <w:spacing w:line="276" w:lineRule="auto"/>
              <w:ind w:firstLine="0" w:firstLineChars="0"/>
              <w:jc w:val="center"/>
              <w:rPr>
                <w:rFonts w:cs="Times New Roman"/>
                <w:kern w:val="0"/>
                <w:szCs w:val="24"/>
              </w:rPr>
            </w:pPr>
            <w:r>
              <w:rPr>
                <w:rFonts w:cs="Times New Roman"/>
                <w:kern w:val="0"/>
                <w:szCs w:val="24"/>
              </w:rPr>
              <w:t xml:space="preserve">0.51 </w:t>
            </w:r>
          </w:p>
        </w:tc>
      </w:tr>
      <w:tr w14:paraId="3F60086B">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77D72FCC">
            <w:pPr>
              <w:widowControl/>
              <w:spacing w:line="276" w:lineRule="auto"/>
              <w:ind w:firstLine="0" w:firstLineChars="0"/>
              <w:jc w:val="center"/>
              <w:rPr>
                <w:rFonts w:cs="Times New Roman"/>
                <w:kern w:val="0"/>
                <w:szCs w:val="24"/>
              </w:rPr>
            </w:pPr>
            <w:r>
              <w:rPr>
                <w:rFonts w:cs="Times New Roman"/>
                <w:kern w:val="0"/>
                <w:szCs w:val="24"/>
              </w:rPr>
              <w:t>JZQ016</w:t>
            </w:r>
          </w:p>
        </w:tc>
        <w:tc>
          <w:tcPr>
            <w:tcW w:w="914" w:type="pct"/>
            <w:tcBorders>
              <w:top w:val="nil"/>
              <w:left w:val="nil"/>
              <w:bottom w:val="single" w:color="auto" w:sz="4" w:space="0"/>
              <w:right w:val="single" w:color="auto" w:sz="4" w:space="0"/>
            </w:tcBorders>
            <w:shd w:val="clear" w:color="auto" w:fill="auto"/>
            <w:vAlign w:val="center"/>
          </w:tcPr>
          <w:p w14:paraId="155192F5">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鼓山大景城区域</w:t>
            </w:r>
          </w:p>
        </w:tc>
        <w:tc>
          <w:tcPr>
            <w:tcW w:w="3201" w:type="pct"/>
            <w:tcBorders>
              <w:top w:val="nil"/>
              <w:left w:val="nil"/>
              <w:bottom w:val="single" w:color="auto" w:sz="4" w:space="0"/>
              <w:right w:val="single" w:color="auto" w:sz="4" w:space="0"/>
            </w:tcBorders>
            <w:shd w:val="clear" w:color="auto" w:fill="auto"/>
            <w:vAlign w:val="center"/>
          </w:tcPr>
          <w:p w14:paraId="757F7F91">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福光路→福马路→埠兴支路→鼓山大景城东侧边界→樟林路→福兴大道→福州福兴经济开发区南侧边界</w:t>
            </w:r>
          </w:p>
        </w:tc>
        <w:tc>
          <w:tcPr>
            <w:tcW w:w="530" w:type="pct"/>
            <w:tcBorders>
              <w:top w:val="nil"/>
              <w:left w:val="nil"/>
              <w:bottom w:val="single" w:color="auto" w:sz="4" w:space="0"/>
              <w:right w:val="single" w:color="auto" w:sz="4" w:space="0"/>
            </w:tcBorders>
            <w:shd w:val="clear" w:color="auto" w:fill="auto"/>
            <w:noWrap/>
            <w:vAlign w:val="center"/>
          </w:tcPr>
          <w:p w14:paraId="374DD137">
            <w:pPr>
              <w:widowControl/>
              <w:spacing w:line="276" w:lineRule="auto"/>
              <w:ind w:firstLine="0" w:firstLineChars="0"/>
              <w:jc w:val="center"/>
              <w:rPr>
                <w:rFonts w:cs="Times New Roman"/>
                <w:kern w:val="0"/>
                <w:szCs w:val="24"/>
              </w:rPr>
            </w:pPr>
            <w:r>
              <w:rPr>
                <w:rFonts w:cs="Times New Roman"/>
                <w:kern w:val="0"/>
                <w:szCs w:val="24"/>
              </w:rPr>
              <w:t xml:space="preserve">0.22 </w:t>
            </w:r>
          </w:p>
        </w:tc>
      </w:tr>
      <w:tr w14:paraId="38B32EEE">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22FB7C0">
            <w:pPr>
              <w:widowControl/>
              <w:spacing w:line="276" w:lineRule="auto"/>
              <w:ind w:firstLine="0" w:firstLineChars="0"/>
              <w:jc w:val="center"/>
              <w:rPr>
                <w:rFonts w:cs="Times New Roman"/>
                <w:kern w:val="0"/>
                <w:szCs w:val="24"/>
              </w:rPr>
            </w:pPr>
            <w:r>
              <w:rPr>
                <w:rFonts w:cs="Times New Roman"/>
                <w:kern w:val="0"/>
                <w:szCs w:val="24"/>
              </w:rPr>
              <w:t>JZQ017</w:t>
            </w:r>
          </w:p>
        </w:tc>
        <w:tc>
          <w:tcPr>
            <w:tcW w:w="914" w:type="pct"/>
            <w:tcBorders>
              <w:top w:val="nil"/>
              <w:left w:val="nil"/>
              <w:bottom w:val="single" w:color="auto" w:sz="4" w:space="0"/>
              <w:right w:val="single" w:color="auto" w:sz="4" w:space="0"/>
            </w:tcBorders>
            <w:shd w:val="clear" w:color="auto" w:fill="auto"/>
            <w:vAlign w:val="center"/>
          </w:tcPr>
          <w:p w14:paraId="5BA93A82">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桂榕雅居区域</w:t>
            </w:r>
          </w:p>
        </w:tc>
        <w:tc>
          <w:tcPr>
            <w:tcW w:w="3201" w:type="pct"/>
            <w:tcBorders>
              <w:top w:val="nil"/>
              <w:left w:val="nil"/>
              <w:bottom w:val="single" w:color="auto" w:sz="4" w:space="0"/>
              <w:right w:val="single" w:color="auto" w:sz="4" w:space="0"/>
            </w:tcBorders>
            <w:shd w:val="clear" w:color="auto" w:fill="auto"/>
            <w:vAlign w:val="center"/>
          </w:tcPr>
          <w:p w14:paraId="06366D70">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塔头路→晋安中路→福兴支路→福建新华印刷厂生活区西侧及南侧边界→鸿雁巷→福新中路→新华巷→远景豪庭南侧边界→长乐北路</w:t>
            </w:r>
          </w:p>
        </w:tc>
        <w:tc>
          <w:tcPr>
            <w:tcW w:w="530" w:type="pct"/>
            <w:tcBorders>
              <w:top w:val="nil"/>
              <w:left w:val="nil"/>
              <w:bottom w:val="single" w:color="auto" w:sz="4" w:space="0"/>
              <w:right w:val="single" w:color="auto" w:sz="4" w:space="0"/>
            </w:tcBorders>
            <w:shd w:val="clear" w:color="auto" w:fill="auto"/>
            <w:noWrap/>
            <w:vAlign w:val="center"/>
          </w:tcPr>
          <w:p w14:paraId="71111DDA">
            <w:pPr>
              <w:widowControl/>
              <w:spacing w:line="276" w:lineRule="auto"/>
              <w:ind w:firstLine="0" w:firstLineChars="0"/>
              <w:jc w:val="center"/>
              <w:rPr>
                <w:rFonts w:cs="Times New Roman"/>
                <w:kern w:val="0"/>
                <w:szCs w:val="24"/>
              </w:rPr>
            </w:pPr>
            <w:r>
              <w:rPr>
                <w:rFonts w:cs="Times New Roman"/>
                <w:kern w:val="0"/>
                <w:szCs w:val="24"/>
              </w:rPr>
              <w:t xml:space="preserve">0.62 </w:t>
            </w:r>
          </w:p>
        </w:tc>
      </w:tr>
      <w:tr w14:paraId="612AFA00">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D1C2851">
            <w:pPr>
              <w:widowControl/>
              <w:spacing w:line="276" w:lineRule="auto"/>
              <w:ind w:firstLine="0" w:firstLineChars="0"/>
              <w:jc w:val="center"/>
              <w:rPr>
                <w:rFonts w:cs="Times New Roman"/>
                <w:kern w:val="0"/>
                <w:szCs w:val="24"/>
              </w:rPr>
            </w:pPr>
            <w:r>
              <w:rPr>
                <w:rFonts w:cs="Times New Roman"/>
                <w:kern w:val="0"/>
                <w:szCs w:val="24"/>
              </w:rPr>
              <w:t>JZQ018</w:t>
            </w:r>
          </w:p>
        </w:tc>
        <w:tc>
          <w:tcPr>
            <w:tcW w:w="914" w:type="pct"/>
            <w:tcBorders>
              <w:top w:val="nil"/>
              <w:left w:val="nil"/>
              <w:bottom w:val="single" w:color="auto" w:sz="4" w:space="0"/>
              <w:right w:val="single" w:color="auto" w:sz="4" w:space="0"/>
            </w:tcBorders>
            <w:shd w:val="clear" w:color="auto" w:fill="auto"/>
            <w:vAlign w:val="center"/>
          </w:tcPr>
          <w:p w14:paraId="4C438CAF">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福州市晋安第五中心小学区域</w:t>
            </w:r>
          </w:p>
        </w:tc>
        <w:tc>
          <w:tcPr>
            <w:tcW w:w="3201" w:type="pct"/>
            <w:tcBorders>
              <w:top w:val="nil"/>
              <w:left w:val="nil"/>
              <w:bottom w:val="single" w:color="auto" w:sz="4" w:space="0"/>
              <w:right w:val="single" w:color="auto" w:sz="4" w:space="0"/>
            </w:tcBorders>
            <w:shd w:val="clear" w:color="auto" w:fill="auto"/>
            <w:vAlign w:val="center"/>
          </w:tcPr>
          <w:p w14:paraId="5678E692">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塔头路→长乐北路→福新中路→连江北路</w:t>
            </w:r>
          </w:p>
        </w:tc>
        <w:tc>
          <w:tcPr>
            <w:tcW w:w="530" w:type="pct"/>
            <w:tcBorders>
              <w:top w:val="nil"/>
              <w:left w:val="nil"/>
              <w:bottom w:val="single" w:color="auto" w:sz="4" w:space="0"/>
              <w:right w:val="single" w:color="auto" w:sz="4" w:space="0"/>
            </w:tcBorders>
            <w:shd w:val="clear" w:color="auto" w:fill="auto"/>
            <w:noWrap/>
            <w:vAlign w:val="center"/>
          </w:tcPr>
          <w:p w14:paraId="77325670">
            <w:pPr>
              <w:widowControl/>
              <w:spacing w:line="276" w:lineRule="auto"/>
              <w:ind w:firstLine="0" w:firstLineChars="0"/>
              <w:jc w:val="center"/>
              <w:rPr>
                <w:rFonts w:cs="Times New Roman"/>
                <w:kern w:val="0"/>
                <w:szCs w:val="24"/>
              </w:rPr>
            </w:pPr>
            <w:r>
              <w:rPr>
                <w:rFonts w:cs="Times New Roman"/>
                <w:kern w:val="0"/>
                <w:szCs w:val="24"/>
              </w:rPr>
              <w:t xml:space="preserve">0.84 </w:t>
            </w:r>
          </w:p>
        </w:tc>
      </w:tr>
      <w:tr w14:paraId="6024A98B">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8C5C0D2">
            <w:pPr>
              <w:widowControl/>
              <w:spacing w:line="276" w:lineRule="auto"/>
              <w:ind w:firstLine="0" w:firstLineChars="0"/>
              <w:jc w:val="center"/>
              <w:rPr>
                <w:rFonts w:cs="Times New Roman"/>
                <w:kern w:val="0"/>
                <w:szCs w:val="24"/>
              </w:rPr>
            </w:pPr>
            <w:r>
              <w:rPr>
                <w:rFonts w:cs="Times New Roman"/>
                <w:kern w:val="0"/>
                <w:szCs w:val="24"/>
              </w:rPr>
              <w:t>JZQ019</w:t>
            </w:r>
          </w:p>
        </w:tc>
        <w:tc>
          <w:tcPr>
            <w:tcW w:w="914" w:type="pct"/>
            <w:tcBorders>
              <w:top w:val="nil"/>
              <w:left w:val="nil"/>
              <w:bottom w:val="single" w:color="auto" w:sz="4" w:space="0"/>
              <w:right w:val="single" w:color="auto" w:sz="4" w:space="0"/>
            </w:tcBorders>
            <w:shd w:val="clear" w:color="auto" w:fill="auto"/>
            <w:vAlign w:val="center"/>
          </w:tcPr>
          <w:p w14:paraId="65830490">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金府大院区域</w:t>
            </w:r>
          </w:p>
        </w:tc>
        <w:tc>
          <w:tcPr>
            <w:tcW w:w="3201" w:type="pct"/>
            <w:tcBorders>
              <w:top w:val="nil"/>
              <w:left w:val="nil"/>
              <w:bottom w:val="single" w:color="auto" w:sz="4" w:space="0"/>
              <w:right w:val="single" w:color="auto" w:sz="4" w:space="0"/>
            </w:tcBorders>
            <w:shd w:val="clear" w:color="auto" w:fill="auto"/>
            <w:vAlign w:val="center"/>
          </w:tcPr>
          <w:p w14:paraId="6E530511">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横屿路→竹屿路→洋头尾路→潭桥路</w:t>
            </w:r>
          </w:p>
        </w:tc>
        <w:tc>
          <w:tcPr>
            <w:tcW w:w="530" w:type="pct"/>
            <w:tcBorders>
              <w:top w:val="nil"/>
              <w:left w:val="nil"/>
              <w:bottom w:val="single" w:color="auto" w:sz="4" w:space="0"/>
              <w:right w:val="single" w:color="auto" w:sz="4" w:space="0"/>
            </w:tcBorders>
            <w:shd w:val="clear" w:color="auto" w:fill="auto"/>
            <w:noWrap/>
            <w:vAlign w:val="center"/>
          </w:tcPr>
          <w:p w14:paraId="01F64794">
            <w:pPr>
              <w:widowControl/>
              <w:spacing w:line="276" w:lineRule="auto"/>
              <w:ind w:firstLine="0" w:firstLineChars="0"/>
              <w:jc w:val="center"/>
              <w:rPr>
                <w:rFonts w:cs="Times New Roman"/>
                <w:kern w:val="0"/>
                <w:szCs w:val="24"/>
              </w:rPr>
            </w:pPr>
            <w:r>
              <w:rPr>
                <w:rFonts w:cs="Times New Roman"/>
                <w:kern w:val="0"/>
                <w:szCs w:val="24"/>
              </w:rPr>
              <w:t xml:space="preserve">0.14 </w:t>
            </w:r>
          </w:p>
        </w:tc>
      </w:tr>
      <w:tr w14:paraId="6413B805">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79891CDA">
            <w:pPr>
              <w:widowControl/>
              <w:spacing w:line="276" w:lineRule="auto"/>
              <w:ind w:firstLine="0" w:firstLineChars="0"/>
              <w:jc w:val="center"/>
              <w:rPr>
                <w:rFonts w:cs="Times New Roman"/>
                <w:kern w:val="0"/>
                <w:szCs w:val="24"/>
              </w:rPr>
            </w:pPr>
            <w:r>
              <w:rPr>
                <w:rFonts w:cs="Times New Roman"/>
                <w:kern w:val="0"/>
                <w:szCs w:val="24"/>
              </w:rPr>
              <w:t>JZQ020</w:t>
            </w:r>
          </w:p>
        </w:tc>
        <w:tc>
          <w:tcPr>
            <w:tcW w:w="914" w:type="pct"/>
            <w:tcBorders>
              <w:top w:val="nil"/>
              <w:left w:val="nil"/>
              <w:bottom w:val="single" w:color="auto" w:sz="4" w:space="0"/>
              <w:right w:val="single" w:color="auto" w:sz="4" w:space="0"/>
            </w:tcBorders>
            <w:shd w:val="clear" w:color="auto" w:fill="auto"/>
            <w:vAlign w:val="center"/>
          </w:tcPr>
          <w:p w14:paraId="1C24C27F">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龙湖天耀区域</w:t>
            </w:r>
          </w:p>
        </w:tc>
        <w:tc>
          <w:tcPr>
            <w:tcW w:w="3201" w:type="pct"/>
            <w:tcBorders>
              <w:top w:val="nil"/>
              <w:left w:val="nil"/>
              <w:bottom w:val="single" w:color="auto" w:sz="4" w:space="0"/>
              <w:right w:val="single" w:color="auto" w:sz="4" w:space="0"/>
            </w:tcBorders>
            <w:shd w:val="clear" w:color="auto" w:fill="auto"/>
            <w:vAlign w:val="center"/>
          </w:tcPr>
          <w:p w14:paraId="494639CF">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化工路→茶韵巷→茶香路</w:t>
            </w:r>
          </w:p>
        </w:tc>
        <w:tc>
          <w:tcPr>
            <w:tcW w:w="530" w:type="pct"/>
            <w:tcBorders>
              <w:top w:val="nil"/>
              <w:left w:val="nil"/>
              <w:bottom w:val="single" w:color="auto" w:sz="4" w:space="0"/>
              <w:right w:val="single" w:color="auto" w:sz="4" w:space="0"/>
            </w:tcBorders>
            <w:shd w:val="clear" w:color="auto" w:fill="auto"/>
            <w:noWrap/>
            <w:vAlign w:val="center"/>
          </w:tcPr>
          <w:p w14:paraId="26249277">
            <w:pPr>
              <w:widowControl/>
              <w:spacing w:line="276" w:lineRule="auto"/>
              <w:ind w:firstLine="0" w:firstLineChars="0"/>
              <w:jc w:val="center"/>
              <w:rPr>
                <w:rFonts w:cs="Times New Roman"/>
                <w:kern w:val="0"/>
                <w:szCs w:val="24"/>
              </w:rPr>
            </w:pPr>
            <w:r>
              <w:rPr>
                <w:rFonts w:cs="Times New Roman"/>
                <w:kern w:val="0"/>
                <w:szCs w:val="24"/>
              </w:rPr>
              <w:t xml:space="preserve">0.21 </w:t>
            </w:r>
          </w:p>
        </w:tc>
      </w:tr>
      <w:tr w14:paraId="662BD9FA">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3877B05">
            <w:pPr>
              <w:widowControl/>
              <w:spacing w:line="276" w:lineRule="auto"/>
              <w:ind w:firstLine="0" w:firstLineChars="0"/>
              <w:jc w:val="center"/>
              <w:rPr>
                <w:rFonts w:cs="Times New Roman"/>
                <w:kern w:val="0"/>
                <w:szCs w:val="24"/>
              </w:rPr>
            </w:pPr>
            <w:r>
              <w:rPr>
                <w:rFonts w:cs="Times New Roman"/>
                <w:kern w:val="0"/>
                <w:szCs w:val="24"/>
              </w:rPr>
              <w:t>JZQ021</w:t>
            </w:r>
          </w:p>
        </w:tc>
        <w:tc>
          <w:tcPr>
            <w:tcW w:w="914" w:type="pct"/>
            <w:tcBorders>
              <w:top w:val="nil"/>
              <w:left w:val="nil"/>
              <w:bottom w:val="single" w:color="auto" w:sz="4" w:space="0"/>
              <w:right w:val="single" w:color="auto" w:sz="4" w:space="0"/>
            </w:tcBorders>
            <w:shd w:val="clear" w:color="auto" w:fill="auto"/>
            <w:vAlign w:val="center"/>
          </w:tcPr>
          <w:p w14:paraId="5F875B89">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福州市少儿图书馆区域</w:t>
            </w:r>
          </w:p>
        </w:tc>
        <w:tc>
          <w:tcPr>
            <w:tcW w:w="3201" w:type="pct"/>
            <w:tcBorders>
              <w:top w:val="nil"/>
              <w:left w:val="nil"/>
              <w:bottom w:val="single" w:color="auto" w:sz="4" w:space="0"/>
              <w:right w:val="single" w:color="auto" w:sz="4" w:space="0"/>
            </w:tcBorders>
            <w:shd w:val="clear" w:color="auto" w:fill="auto"/>
            <w:vAlign w:val="center"/>
          </w:tcPr>
          <w:p w14:paraId="66CF861C">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化工路→晋安湖边界→龙安路→福新东路→前横路</w:t>
            </w:r>
          </w:p>
        </w:tc>
        <w:tc>
          <w:tcPr>
            <w:tcW w:w="530" w:type="pct"/>
            <w:tcBorders>
              <w:top w:val="nil"/>
              <w:left w:val="nil"/>
              <w:bottom w:val="single" w:color="auto" w:sz="4" w:space="0"/>
              <w:right w:val="single" w:color="auto" w:sz="4" w:space="0"/>
            </w:tcBorders>
            <w:shd w:val="clear" w:color="auto" w:fill="auto"/>
            <w:noWrap/>
            <w:vAlign w:val="center"/>
          </w:tcPr>
          <w:p w14:paraId="4258DD3A">
            <w:pPr>
              <w:widowControl/>
              <w:spacing w:line="276" w:lineRule="auto"/>
              <w:ind w:firstLine="0" w:firstLineChars="0"/>
              <w:jc w:val="center"/>
              <w:rPr>
                <w:rFonts w:cs="Times New Roman"/>
                <w:kern w:val="0"/>
                <w:szCs w:val="24"/>
              </w:rPr>
            </w:pPr>
            <w:r>
              <w:rPr>
                <w:rFonts w:cs="Times New Roman"/>
                <w:kern w:val="0"/>
                <w:szCs w:val="24"/>
              </w:rPr>
              <w:t xml:space="preserve">0.29 </w:t>
            </w:r>
          </w:p>
        </w:tc>
      </w:tr>
      <w:tr w14:paraId="3D4A4B01">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3B5638D7">
            <w:pPr>
              <w:widowControl/>
              <w:spacing w:line="276" w:lineRule="auto"/>
              <w:ind w:firstLine="0" w:firstLineChars="0"/>
              <w:jc w:val="center"/>
              <w:rPr>
                <w:rFonts w:cs="Times New Roman"/>
                <w:kern w:val="0"/>
                <w:szCs w:val="24"/>
              </w:rPr>
            </w:pPr>
            <w:r>
              <w:rPr>
                <w:rFonts w:cs="Times New Roman"/>
                <w:kern w:val="0"/>
                <w:szCs w:val="24"/>
              </w:rPr>
              <w:t>JZQ022</w:t>
            </w:r>
          </w:p>
        </w:tc>
        <w:tc>
          <w:tcPr>
            <w:tcW w:w="914" w:type="pct"/>
            <w:tcBorders>
              <w:top w:val="nil"/>
              <w:left w:val="nil"/>
              <w:bottom w:val="single" w:color="auto" w:sz="4" w:space="0"/>
              <w:right w:val="single" w:color="auto" w:sz="4" w:space="0"/>
            </w:tcBorders>
            <w:shd w:val="clear" w:color="auto" w:fill="auto"/>
            <w:vAlign w:val="center"/>
          </w:tcPr>
          <w:p w14:paraId="75CF74F5">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景湖家园区域</w:t>
            </w:r>
          </w:p>
        </w:tc>
        <w:tc>
          <w:tcPr>
            <w:tcW w:w="3201" w:type="pct"/>
            <w:tcBorders>
              <w:top w:val="nil"/>
              <w:left w:val="nil"/>
              <w:bottom w:val="single" w:color="auto" w:sz="4" w:space="0"/>
              <w:right w:val="single" w:color="auto" w:sz="4" w:space="0"/>
            </w:tcBorders>
            <w:shd w:val="clear" w:color="auto" w:fill="auto"/>
            <w:vAlign w:val="center"/>
          </w:tcPr>
          <w:p w14:paraId="32C6C793">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横屿路→鹭亭路→化工路→前横北路</w:t>
            </w:r>
          </w:p>
        </w:tc>
        <w:tc>
          <w:tcPr>
            <w:tcW w:w="530" w:type="pct"/>
            <w:tcBorders>
              <w:top w:val="nil"/>
              <w:left w:val="nil"/>
              <w:bottom w:val="single" w:color="auto" w:sz="4" w:space="0"/>
              <w:right w:val="single" w:color="auto" w:sz="4" w:space="0"/>
            </w:tcBorders>
            <w:shd w:val="clear" w:color="auto" w:fill="auto"/>
            <w:noWrap/>
            <w:vAlign w:val="center"/>
          </w:tcPr>
          <w:p w14:paraId="0EE333E3">
            <w:pPr>
              <w:widowControl/>
              <w:spacing w:line="276" w:lineRule="auto"/>
              <w:ind w:firstLine="0" w:firstLineChars="0"/>
              <w:jc w:val="center"/>
              <w:rPr>
                <w:rFonts w:cs="Times New Roman"/>
                <w:kern w:val="0"/>
                <w:szCs w:val="24"/>
              </w:rPr>
            </w:pPr>
            <w:r>
              <w:rPr>
                <w:rFonts w:cs="Times New Roman"/>
                <w:kern w:val="0"/>
                <w:szCs w:val="24"/>
              </w:rPr>
              <w:t xml:space="preserve">0.23 </w:t>
            </w:r>
          </w:p>
        </w:tc>
      </w:tr>
      <w:tr w14:paraId="226F4A0F">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62C4066">
            <w:pPr>
              <w:widowControl/>
              <w:spacing w:line="276" w:lineRule="auto"/>
              <w:ind w:firstLine="0" w:firstLineChars="0"/>
              <w:jc w:val="center"/>
              <w:rPr>
                <w:rFonts w:cs="Times New Roman"/>
                <w:kern w:val="0"/>
                <w:szCs w:val="24"/>
              </w:rPr>
            </w:pPr>
            <w:r>
              <w:rPr>
                <w:rFonts w:cs="Times New Roman"/>
                <w:kern w:val="0"/>
                <w:szCs w:val="24"/>
              </w:rPr>
              <w:t>JZQ023</w:t>
            </w:r>
          </w:p>
        </w:tc>
        <w:tc>
          <w:tcPr>
            <w:tcW w:w="914" w:type="pct"/>
            <w:tcBorders>
              <w:top w:val="nil"/>
              <w:left w:val="nil"/>
              <w:bottom w:val="single" w:color="auto" w:sz="4" w:space="0"/>
              <w:right w:val="single" w:color="auto" w:sz="4" w:space="0"/>
            </w:tcBorders>
            <w:shd w:val="clear" w:color="auto" w:fill="auto"/>
            <w:vAlign w:val="center"/>
          </w:tcPr>
          <w:p w14:paraId="4AAF7D7E">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世茂云潮区域</w:t>
            </w:r>
          </w:p>
        </w:tc>
        <w:tc>
          <w:tcPr>
            <w:tcW w:w="3201" w:type="pct"/>
            <w:tcBorders>
              <w:top w:val="nil"/>
              <w:left w:val="nil"/>
              <w:bottom w:val="single" w:color="auto" w:sz="4" w:space="0"/>
              <w:right w:val="single" w:color="auto" w:sz="4" w:space="0"/>
            </w:tcBorders>
            <w:shd w:val="clear" w:color="auto" w:fill="auto"/>
            <w:vAlign w:val="center"/>
          </w:tcPr>
          <w:p w14:paraId="496E2EF4">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横屿路→前横北路→化工路→东峰路→横屿山公园边界（不含横屿山公园）</w:t>
            </w:r>
          </w:p>
        </w:tc>
        <w:tc>
          <w:tcPr>
            <w:tcW w:w="530" w:type="pct"/>
            <w:tcBorders>
              <w:top w:val="nil"/>
              <w:left w:val="nil"/>
              <w:bottom w:val="single" w:color="auto" w:sz="4" w:space="0"/>
              <w:right w:val="single" w:color="auto" w:sz="4" w:space="0"/>
            </w:tcBorders>
            <w:shd w:val="clear" w:color="auto" w:fill="auto"/>
            <w:noWrap/>
            <w:vAlign w:val="center"/>
          </w:tcPr>
          <w:p w14:paraId="230C1ADD">
            <w:pPr>
              <w:widowControl/>
              <w:spacing w:line="276" w:lineRule="auto"/>
              <w:ind w:firstLine="0" w:firstLineChars="0"/>
              <w:jc w:val="center"/>
              <w:rPr>
                <w:rFonts w:cs="Times New Roman"/>
                <w:kern w:val="0"/>
                <w:szCs w:val="24"/>
              </w:rPr>
            </w:pPr>
            <w:r>
              <w:rPr>
                <w:rFonts w:cs="Times New Roman"/>
                <w:kern w:val="0"/>
                <w:szCs w:val="24"/>
              </w:rPr>
              <w:t xml:space="preserve">0.25 </w:t>
            </w:r>
          </w:p>
        </w:tc>
      </w:tr>
      <w:tr w14:paraId="4738D8AD">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2278D6A7">
            <w:pPr>
              <w:widowControl/>
              <w:spacing w:line="276" w:lineRule="auto"/>
              <w:ind w:firstLine="0" w:firstLineChars="0"/>
              <w:jc w:val="center"/>
              <w:rPr>
                <w:rFonts w:cs="Times New Roman"/>
                <w:kern w:val="0"/>
                <w:szCs w:val="24"/>
              </w:rPr>
            </w:pPr>
            <w:r>
              <w:rPr>
                <w:rFonts w:cs="Times New Roman"/>
                <w:kern w:val="0"/>
                <w:szCs w:val="24"/>
              </w:rPr>
              <w:t>JZQ024</w:t>
            </w:r>
          </w:p>
        </w:tc>
        <w:tc>
          <w:tcPr>
            <w:tcW w:w="914" w:type="pct"/>
            <w:tcBorders>
              <w:top w:val="nil"/>
              <w:left w:val="nil"/>
              <w:bottom w:val="single" w:color="auto" w:sz="4" w:space="0"/>
              <w:right w:val="single" w:color="auto" w:sz="4" w:space="0"/>
            </w:tcBorders>
            <w:shd w:val="clear" w:color="auto" w:fill="auto"/>
            <w:vAlign w:val="center"/>
          </w:tcPr>
          <w:p w14:paraId="10CF76CC">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龙湖观宸区域</w:t>
            </w:r>
          </w:p>
        </w:tc>
        <w:tc>
          <w:tcPr>
            <w:tcW w:w="3201" w:type="pct"/>
            <w:tcBorders>
              <w:top w:val="nil"/>
              <w:left w:val="nil"/>
              <w:bottom w:val="single" w:color="auto" w:sz="4" w:space="0"/>
              <w:right w:val="single" w:color="auto" w:sz="4" w:space="0"/>
            </w:tcBorders>
            <w:shd w:val="clear" w:color="auto" w:fill="auto"/>
            <w:vAlign w:val="center"/>
          </w:tcPr>
          <w:p w14:paraId="020D3772">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横屿路→东峰路→化工路→福马铁路</w:t>
            </w:r>
          </w:p>
        </w:tc>
        <w:tc>
          <w:tcPr>
            <w:tcW w:w="530" w:type="pct"/>
            <w:tcBorders>
              <w:top w:val="nil"/>
              <w:left w:val="nil"/>
              <w:bottom w:val="single" w:color="auto" w:sz="4" w:space="0"/>
              <w:right w:val="single" w:color="auto" w:sz="4" w:space="0"/>
            </w:tcBorders>
            <w:shd w:val="clear" w:color="auto" w:fill="auto"/>
            <w:noWrap/>
            <w:vAlign w:val="center"/>
          </w:tcPr>
          <w:p w14:paraId="5014C0E4">
            <w:pPr>
              <w:widowControl/>
              <w:spacing w:line="276" w:lineRule="auto"/>
              <w:ind w:firstLine="0" w:firstLineChars="0"/>
              <w:jc w:val="center"/>
              <w:rPr>
                <w:rFonts w:cs="Times New Roman"/>
                <w:kern w:val="0"/>
                <w:szCs w:val="24"/>
              </w:rPr>
            </w:pPr>
            <w:r>
              <w:rPr>
                <w:rFonts w:cs="Times New Roman"/>
                <w:kern w:val="0"/>
                <w:szCs w:val="24"/>
              </w:rPr>
              <w:t xml:space="preserve">0.34 </w:t>
            </w:r>
          </w:p>
        </w:tc>
      </w:tr>
      <w:tr w14:paraId="78621381">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ADD3A43">
            <w:pPr>
              <w:widowControl/>
              <w:spacing w:line="276" w:lineRule="auto"/>
              <w:ind w:firstLine="0" w:firstLineChars="0"/>
              <w:jc w:val="center"/>
              <w:rPr>
                <w:rFonts w:cs="Times New Roman"/>
                <w:kern w:val="0"/>
                <w:szCs w:val="24"/>
              </w:rPr>
            </w:pPr>
            <w:r>
              <w:rPr>
                <w:rFonts w:cs="Times New Roman"/>
                <w:kern w:val="0"/>
                <w:szCs w:val="24"/>
              </w:rPr>
              <w:t>JZQ025</w:t>
            </w:r>
          </w:p>
        </w:tc>
        <w:tc>
          <w:tcPr>
            <w:tcW w:w="914" w:type="pct"/>
            <w:tcBorders>
              <w:top w:val="nil"/>
              <w:left w:val="nil"/>
              <w:bottom w:val="single" w:color="auto" w:sz="4" w:space="0"/>
              <w:right w:val="single" w:color="auto" w:sz="4" w:space="0"/>
            </w:tcBorders>
            <w:shd w:val="clear" w:color="auto" w:fill="auto"/>
            <w:vAlign w:val="center"/>
          </w:tcPr>
          <w:p w14:paraId="44111F3D">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地质大院小区区域</w:t>
            </w:r>
          </w:p>
        </w:tc>
        <w:tc>
          <w:tcPr>
            <w:tcW w:w="3201" w:type="pct"/>
            <w:tcBorders>
              <w:top w:val="nil"/>
              <w:left w:val="nil"/>
              <w:bottom w:val="single" w:color="auto" w:sz="4" w:space="0"/>
              <w:right w:val="single" w:color="auto" w:sz="4" w:space="0"/>
            </w:tcBorders>
            <w:shd w:val="clear" w:color="auto" w:fill="auto"/>
            <w:vAlign w:val="center"/>
          </w:tcPr>
          <w:p w14:paraId="5FE84D96">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金鸡山路→晋安北路→塔头路→三八路</w:t>
            </w:r>
          </w:p>
        </w:tc>
        <w:tc>
          <w:tcPr>
            <w:tcW w:w="530" w:type="pct"/>
            <w:tcBorders>
              <w:top w:val="nil"/>
              <w:left w:val="nil"/>
              <w:bottom w:val="single" w:color="auto" w:sz="4" w:space="0"/>
              <w:right w:val="single" w:color="auto" w:sz="4" w:space="0"/>
            </w:tcBorders>
            <w:shd w:val="clear" w:color="auto" w:fill="auto"/>
            <w:noWrap/>
            <w:vAlign w:val="center"/>
          </w:tcPr>
          <w:p w14:paraId="6DF558F1">
            <w:pPr>
              <w:widowControl/>
              <w:spacing w:line="276" w:lineRule="auto"/>
              <w:ind w:firstLine="0" w:firstLineChars="0"/>
              <w:jc w:val="center"/>
              <w:rPr>
                <w:rFonts w:cs="Times New Roman"/>
                <w:kern w:val="0"/>
                <w:szCs w:val="24"/>
              </w:rPr>
            </w:pPr>
            <w:r>
              <w:rPr>
                <w:rFonts w:cs="Times New Roman"/>
                <w:kern w:val="0"/>
                <w:szCs w:val="24"/>
              </w:rPr>
              <w:t xml:space="preserve">0.60 </w:t>
            </w:r>
          </w:p>
        </w:tc>
      </w:tr>
      <w:tr w14:paraId="3043250F">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59322BD">
            <w:pPr>
              <w:widowControl/>
              <w:spacing w:line="276" w:lineRule="auto"/>
              <w:ind w:firstLine="0" w:firstLineChars="0"/>
              <w:jc w:val="center"/>
              <w:rPr>
                <w:rFonts w:cs="Times New Roman"/>
                <w:kern w:val="0"/>
                <w:szCs w:val="24"/>
              </w:rPr>
            </w:pPr>
            <w:r>
              <w:rPr>
                <w:rFonts w:cs="Times New Roman"/>
                <w:kern w:val="0"/>
                <w:szCs w:val="24"/>
              </w:rPr>
              <w:t>JZQ026</w:t>
            </w:r>
          </w:p>
        </w:tc>
        <w:tc>
          <w:tcPr>
            <w:tcW w:w="914" w:type="pct"/>
            <w:tcBorders>
              <w:top w:val="nil"/>
              <w:left w:val="nil"/>
              <w:bottom w:val="single" w:color="auto" w:sz="4" w:space="0"/>
              <w:right w:val="single" w:color="auto" w:sz="4" w:space="0"/>
            </w:tcBorders>
            <w:shd w:val="clear" w:color="auto" w:fill="auto"/>
            <w:vAlign w:val="center"/>
          </w:tcPr>
          <w:p w14:paraId="58A895A2">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九龙城区域</w:t>
            </w:r>
          </w:p>
        </w:tc>
        <w:tc>
          <w:tcPr>
            <w:tcW w:w="3201" w:type="pct"/>
            <w:tcBorders>
              <w:top w:val="nil"/>
              <w:left w:val="nil"/>
              <w:bottom w:val="single" w:color="auto" w:sz="4" w:space="0"/>
              <w:right w:val="single" w:color="auto" w:sz="4" w:space="0"/>
            </w:tcBorders>
            <w:shd w:val="clear" w:color="auto" w:fill="auto"/>
            <w:vAlign w:val="center"/>
          </w:tcPr>
          <w:p w14:paraId="5681540C">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湖东东路→三八路→塔头路→连江北路</w:t>
            </w:r>
          </w:p>
        </w:tc>
        <w:tc>
          <w:tcPr>
            <w:tcW w:w="530" w:type="pct"/>
            <w:tcBorders>
              <w:top w:val="nil"/>
              <w:left w:val="nil"/>
              <w:bottom w:val="single" w:color="auto" w:sz="4" w:space="0"/>
              <w:right w:val="single" w:color="auto" w:sz="4" w:space="0"/>
            </w:tcBorders>
            <w:shd w:val="clear" w:color="auto" w:fill="auto"/>
            <w:noWrap/>
            <w:vAlign w:val="center"/>
          </w:tcPr>
          <w:p w14:paraId="3A82354A">
            <w:pPr>
              <w:widowControl/>
              <w:spacing w:line="276" w:lineRule="auto"/>
              <w:ind w:firstLine="0" w:firstLineChars="0"/>
              <w:jc w:val="center"/>
              <w:rPr>
                <w:rFonts w:cs="Times New Roman"/>
                <w:kern w:val="0"/>
                <w:szCs w:val="24"/>
              </w:rPr>
            </w:pPr>
            <w:r>
              <w:rPr>
                <w:rFonts w:cs="Times New Roman"/>
                <w:kern w:val="0"/>
                <w:szCs w:val="24"/>
              </w:rPr>
              <w:t xml:space="preserve">0.31 </w:t>
            </w:r>
          </w:p>
        </w:tc>
      </w:tr>
      <w:tr w14:paraId="5D50AE16">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1AF18DBD">
            <w:pPr>
              <w:widowControl/>
              <w:spacing w:line="276" w:lineRule="auto"/>
              <w:ind w:firstLine="0" w:firstLineChars="0"/>
              <w:jc w:val="center"/>
              <w:rPr>
                <w:rFonts w:cs="Times New Roman"/>
                <w:kern w:val="0"/>
                <w:szCs w:val="24"/>
              </w:rPr>
            </w:pPr>
            <w:r>
              <w:rPr>
                <w:rFonts w:cs="Times New Roman"/>
                <w:kern w:val="0"/>
                <w:szCs w:val="24"/>
              </w:rPr>
              <w:t>JZQ027</w:t>
            </w:r>
          </w:p>
        </w:tc>
        <w:tc>
          <w:tcPr>
            <w:tcW w:w="914" w:type="pct"/>
            <w:tcBorders>
              <w:top w:val="nil"/>
              <w:left w:val="nil"/>
              <w:bottom w:val="single" w:color="auto" w:sz="4" w:space="0"/>
              <w:right w:val="single" w:color="auto" w:sz="4" w:space="0"/>
            </w:tcBorders>
            <w:shd w:val="clear" w:color="auto" w:fill="auto"/>
            <w:vAlign w:val="center"/>
          </w:tcPr>
          <w:p w14:paraId="3FD7449B">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保利香槟国际区域</w:t>
            </w:r>
          </w:p>
        </w:tc>
        <w:tc>
          <w:tcPr>
            <w:tcW w:w="3201" w:type="pct"/>
            <w:tcBorders>
              <w:top w:val="nil"/>
              <w:left w:val="nil"/>
              <w:bottom w:val="single" w:color="auto" w:sz="4" w:space="0"/>
              <w:right w:val="single" w:color="auto" w:sz="4" w:space="0"/>
            </w:tcBorders>
            <w:shd w:val="clear" w:color="auto" w:fill="auto"/>
            <w:vAlign w:val="center"/>
          </w:tcPr>
          <w:p w14:paraId="406FC9F2">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鹤林路→连江北路→横屿路→安亭路</w:t>
            </w:r>
          </w:p>
        </w:tc>
        <w:tc>
          <w:tcPr>
            <w:tcW w:w="530" w:type="pct"/>
            <w:tcBorders>
              <w:top w:val="nil"/>
              <w:left w:val="nil"/>
              <w:bottom w:val="single" w:color="auto" w:sz="4" w:space="0"/>
              <w:right w:val="single" w:color="auto" w:sz="4" w:space="0"/>
            </w:tcBorders>
            <w:shd w:val="clear" w:color="auto" w:fill="auto"/>
            <w:noWrap/>
            <w:vAlign w:val="center"/>
          </w:tcPr>
          <w:p w14:paraId="1BA32860">
            <w:pPr>
              <w:widowControl/>
              <w:spacing w:line="276" w:lineRule="auto"/>
              <w:ind w:firstLine="0" w:firstLineChars="0"/>
              <w:jc w:val="center"/>
              <w:rPr>
                <w:rFonts w:cs="Times New Roman"/>
                <w:kern w:val="0"/>
                <w:szCs w:val="24"/>
              </w:rPr>
            </w:pPr>
            <w:r>
              <w:rPr>
                <w:rFonts w:cs="Times New Roman"/>
                <w:kern w:val="0"/>
                <w:szCs w:val="24"/>
              </w:rPr>
              <w:t xml:space="preserve">0.60 </w:t>
            </w:r>
          </w:p>
        </w:tc>
      </w:tr>
      <w:tr w14:paraId="42A0D270">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7B335935">
            <w:pPr>
              <w:widowControl/>
              <w:spacing w:line="276" w:lineRule="auto"/>
              <w:ind w:firstLine="0" w:firstLineChars="0"/>
              <w:jc w:val="center"/>
              <w:rPr>
                <w:rFonts w:cs="Times New Roman"/>
                <w:kern w:val="0"/>
                <w:szCs w:val="24"/>
              </w:rPr>
            </w:pPr>
            <w:r>
              <w:rPr>
                <w:rFonts w:cs="Times New Roman"/>
                <w:kern w:val="0"/>
                <w:szCs w:val="24"/>
              </w:rPr>
              <w:t>JZQ028</w:t>
            </w:r>
          </w:p>
        </w:tc>
        <w:tc>
          <w:tcPr>
            <w:tcW w:w="914" w:type="pct"/>
            <w:tcBorders>
              <w:top w:val="nil"/>
              <w:left w:val="nil"/>
              <w:bottom w:val="single" w:color="auto" w:sz="4" w:space="0"/>
              <w:right w:val="single" w:color="auto" w:sz="4" w:space="0"/>
            </w:tcBorders>
            <w:shd w:val="clear" w:color="auto" w:fill="auto"/>
            <w:vAlign w:val="center"/>
          </w:tcPr>
          <w:p w14:paraId="7BF23093">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融信后海区域</w:t>
            </w:r>
          </w:p>
        </w:tc>
        <w:tc>
          <w:tcPr>
            <w:tcW w:w="3201" w:type="pct"/>
            <w:tcBorders>
              <w:top w:val="nil"/>
              <w:left w:val="nil"/>
              <w:bottom w:val="single" w:color="auto" w:sz="4" w:space="0"/>
              <w:right w:val="single" w:color="auto" w:sz="4" w:space="0"/>
            </w:tcBorders>
            <w:shd w:val="clear" w:color="auto" w:fill="auto"/>
            <w:vAlign w:val="center"/>
          </w:tcPr>
          <w:p w14:paraId="153E6E04">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鹤林路→安亭路→横屿路→潭桥路</w:t>
            </w:r>
          </w:p>
        </w:tc>
        <w:tc>
          <w:tcPr>
            <w:tcW w:w="530" w:type="pct"/>
            <w:tcBorders>
              <w:top w:val="nil"/>
              <w:left w:val="nil"/>
              <w:bottom w:val="single" w:color="auto" w:sz="4" w:space="0"/>
              <w:right w:val="single" w:color="auto" w:sz="4" w:space="0"/>
            </w:tcBorders>
            <w:shd w:val="clear" w:color="auto" w:fill="auto"/>
            <w:noWrap/>
            <w:vAlign w:val="center"/>
          </w:tcPr>
          <w:p w14:paraId="170F579D">
            <w:pPr>
              <w:widowControl/>
              <w:spacing w:line="276" w:lineRule="auto"/>
              <w:ind w:firstLine="0" w:firstLineChars="0"/>
              <w:jc w:val="center"/>
              <w:rPr>
                <w:rFonts w:cs="Times New Roman"/>
                <w:kern w:val="0"/>
                <w:szCs w:val="24"/>
              </w:rPr>
            </w:pPr>
            <w:r>
              <w:rPr>
                <w:rFonts w:cs="Times New Roman"/>
                <w:kern w:val="0"/>
                <w:szCs w:val="24"/>
              </w:rPr>
              <w:t xml:space="preserve">0.15 </w:t>
            </w:r>
          </w:p>
        </w:tc>
      </w:tr>
      <w:tr w14:paraId="72B71C1D">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2EB5F991">
            <w:pPr>
              <w:widowControl/>
              <w:spacing w:line="276" w:lineRule="auto"/>
              <w:ind w:firstLine="0" w:firstLineChars="0"/>
              <w:jc w:val="center"/>
              <w:rPr>
                <w:rFonts w:cs="Times New Roman"/>
                <w:kern w:val="0"/>
                <w:szCs w:val="24"/>
              </w:rPr>
            </w:pPr>
            <w:r>
              <w:rPr>
                <w:rFonts w:cs="Times New Roman"/>
                <w:kern w:val="0"/>
                <w:szCs w:val="24"/>
              </w:rPr>
              <w:t>JZQ029</w:t>
            </w:r>
          </w:p>
        </w:tc>
        <w:tc>
          <w:tcPr>
            <w:tcW w:w="914" w:type="pct"/>
            <w:tcBorders>
              <w:top w:val="nil"/>
              <w:left w:val="nil"/>
              <w:bottom w:val="single" w:color="auto" w:sz="4" w:space="0"/>
              <w:right w:val="single" w:color="auto" w:sz="4" w:space="0"/>
            </w:tcBorders>
            <w:shd w:val="clear" w:color="auto" w:fill="auto"/>
            <w:vAlign w:val="center"/>
          </w:tcPr>
          <w:p w14:paraId="1633F237">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保利和光尘樾区域</w:t>
            </w:r>
          </w:p>
        </w:tc>
        <w:tc>
          <w:tcPr>
            <w:tcW w:w="3201" w:type="pct"/>
            <w:tcBorders>
              <w:top w:val="nil"/>
              <w:left w:val="nil"/>
              <w:bottom w:val="single" w:color="auto" w:sz="4" w:space="0"/>
              <w:right w:val="single" w:color="auto" w:sz="4" w:space="0"/>
            </w:tcBorders>
            <w:shd w:val="clear" w:color="auto" w:fill="auto"/>
            <w:vAlign w:val="center"/>
          </w:tcPr>
          <w:p w14:paraId="61DFE6D8">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鹤林路→板桥路→建发养云西北侧边界→横屿路→前横北路</w:t>
            </w:r>
          </w:p>
        </w:tc>
        <w:tc>
          <w:tcPr>
            <w:tcW w:w="530" w:type="pct"/>
            <w:tcBorders>
              <w:top w:val="nil"/>
              <w:left w:val="nil"/>
              <w:bottom w:val="single" w:color="auto" w:sz="4" w:space="0"/>
              <w:right w:val="single" w:color="auto" w:sz="4" w:space="0"/>
            </w:tcBorders>
            <w:shd w:val="clear" w:color="auto" w:fill="auto"/>
            <w:noWrap/>
            <w:vAlign w:val="center"/>
          </w:tcPr>
          <w:p w14:paraId="65A7D584">
            <w:pPr>
              <w:widowControl/>
              <w:spacing w:line="276" w:lineRule="auto"/>
              <w:ind w:firstLine="0" w:firstLineChars="0"/>
              <w:jc w:val="center"/>
              <w:rPr>
                <w:rFonts w:cs="Times New Roman"/>
                <w:kern w:val="0"/>
                <w:szCs w:val="24"/>
              </w:rPr>
            </w:pPr>
            <w:r>
              <w:rPr>
                <w:rFonts w:cs="Times New Roman"/>
                <w:kern w:val="0"/>
                <w:szCs w:val="24"/>
              </w:rPr>
              <w:t xml:space="preserve">0.13 </w:t>
            </w:r>
          </w:p>
        </w:tc>
      </w:tr>
      <w:tr w14:paraId="6D1B5F34">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75BE8BB4">
            <w:pPr>
              <w:widowControl/>
              <w:spacing w:line="276" w:lineRule="auto"/>
              <w:ind w:firstLine="0" w:firstLineChars="0"/>
              <w:jc w:val="center"/>
              <w:rPr>
                <w:rFonts w:cs="Times New Roman"/>
                <w:kern w:val="0"/>
                <w:szCs w:val="24"/>
              </w:rPr>
            </w:pPr>
            <w:r>
              <w:rPr>
                <w:rFonts w:cs="Times New Roman"/>
                <w:kern w:val="0"/>
                <w:szCs w:val="24"/>
              </w:rPr>
              <w:t>JZQ030</w:t>
            </w:r>
          </w:p>
        </w:tc>
        <w:tc>
          <w:tcPr>
            <w:tcW w:w="914" w:type="pct"/>
            <w:tcBorders>
              <w:top w:val="nil"/>
              <w:left w:val="nil"/>
              <w:bottom w:val="single" w:color="auto" w:sz="4" w:space="0"/>
              <w:right w:val="single" w:color="auto" w:sz="4" w:space="0"/>
            </w:tcBorders>
            <w:shd w:val="clear" w:color="auto" w:fill="auto"/>
            <w:vAlign w:val="center"/>
          </w:tcPr>
          <w:p w14:paraId="2A026C4E">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福州蓝光里区域</w:t>
            </w:r>
          </w:p>
        </w:tc>
        <w:tc>
          <w:tcPr>
            <w:tcW w:w="3201" w:type="pct"/>
            <w:tcBorders>
              <w:top w:val="nil"/>
              <w:left w:val="nil"/>
              <w:bottom w:val="single" w:color="auto" w:sz="4" w:space="0"/>
              <w:right w:val="single" w:color="auto" w:sz="4" w:space="0"/>
            </w:tcBorders>
            <w:shd w:val="clear" w:color="auto" w:fill="auto"/>
            <w:vAlign w:val="center"/>
          </w:tcPr>
          <w:p w14:paraId="3A01C62D">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鹤林路→前横北路→横屿路→东峰路</w:t>
            </w:r>
          </w:p>
        </w:tc>
        <w:tc>
          <w:tcPr>
            <w:tcW w:w="530" w:type="pct"/>
            <w:tcBorders>
              <w:top w:val="nil"/>
              <w:left w:val="nil"/>
              <w:bottom w:val="single" w:color="auto" w:sz="4" w:space="0"/>
              <w:right w:val="single" w:color="auto" w:sz="4" w:space="0"/>
            </w:tcBorders>
            <w:shd w:val="clear" w:color="auto" w:fill="auto"/>
            <w:noWrap/>
            <w:vAlign w:val="center"/>
          </w:tcPr>
          <w:p w14:paraId="711C7E04">
            <w:pPr>
              <w:widowControl/>
              <w:spacing w:line="276" w:lineRule="auto"/>
              <w:ind w:firstLine="0" w:firstLineChars="0"/>
              <w:jc w:val="center"/>
              <w:rPr>
                <w:rFonts w:cs="Times New Roman"/>
                <w:kern w:val="0"/>
                <w:szCs w:val="24"/>
              </w:rPr>
            </w:pPr>
            <w:r>
              <w:rPr>
                <w:rFonts w:cs="Times New Roman"/>
                <w:kern w:val="0"/>
                <w:szCs w:val="24"/>
              </w:rPr>
              <w:t xml:space="preserve">0.16 </w:t>
            </w:r>
          </w:p>
        </w:tc>
      </w:tr>
      <w:tr w14:paraId="7DAA79BE">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E20428E">
            <w:pPr>
              <w:widowControl/>
              <w:spacing w:line="276" w:lineRule="auto"/>
              <w:ind w:firstLine="0" w:firstLineChars="0"/>
              <w:jc w:val="center"/>
              <w:rPr>
                <w:rFonts w:cs="Times New Roman"/>
                <w:kern w:val="0"/>
                <w:szCs w:val="24"/>
              </w:rPr>
            </w:pPr>
            <w:r>
              <w:rPr>
                <w:rFonts w:cs="Times New Roman"/>
                <w:kern w:val="0"/>
                <w:szCs w:val="24"/>
              </w:rPr>
              <w:t>JZQ031</w:t>
            </w:r>
          </w:p>
        </w:tc>
        <w:tc>
          <w:tcPr>
            <w:tcW w:w="914" w:type="pct"/>
            <w:tcBorders>
              <w:top w:val="nil"/>
              <w:left w:val="nil"/>
              <w:bottom w:val="single" w:color="auto" w:sz="4" w:space="0"/>
              <w:right w:val="single" w:color="auto" w:sz="4" w:space="0"/>
            </w:tcBorders>
            <w:shd w:val="clear" w:color="auto" w:fill="auto"/>
            <w:vAlign w:val="center"/>
          </w:tcPr>
          <w:p w14:paraId="46A61462">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福建省儿童医院区域</w:t>
            </w:r>
          </w:p>
        </w:tc>
        <w:tc>
          <w:tcPr>
            <w:tcW w:w="3201" w:type="pct"/>
            <w:tcBorders>
              <w:top w:val="nil"/>
              <w:left w:val="nil"/>
              <w:bottom w:val="single" w:color="auto" w:sz="4" w:space="0"/>
              <w:right w:val="single" w:color="auto" w:sz="4" w:space="0"/>
            </w:tcBorders>
            <w:shd w:val="clear" w:color="auto" w:fill="auto"/>
            <w:vAlign w:val="center"/>
          </w:tcPr>
          <w:p w14:paraId="6C68C26C">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鹤林路→东峰路→横屿路→福马铁路</w:t>
            </w:r>
          </w:p>
        </w:tc>
        <w:tc>
          <w:tcPr>
            <w:tcW w:w="530" w:type="pct"/>
            <w:tcBorders>
              <w:top w:val="nil"/>
              <w:left w:val="nil"/>
              <w:bottom w:val="single" w:color="auto" w:sz="4" w:space="0"/>
              <w:right w:val="single" w:color="auto" w:sz="4" w:space="0"/>
            </w:tcBorders>
            <w:shd w:val="clear" w:color="auto" w:fill="auto"/>
            <w:noWrap/>
            <w:vAlign w:val="center"/>
          </w:tcPr>
          <w:p w14:paraId="09F7ACBD">
            <w:pPr>
              <w:widowControl/>
              <w:spacing w:line="276" w:lineRule="auto"/>
              <w:ind w:firstLine="0" w:firstLineChars="0"/>
              <w:jc w:val="center"/>
              <w:rPr>
                <w:rFonts w:cs="Times New Roman"/>
                <w:kern w:val="0"/>
                <w:szCs w:val="24"/>
              </w:rPr>
            </w:pPr>
            <w:r>
              <w:rPr>
                <w:rFonts w:cs="Times New Roman"/>
                <w:kern w:val="0"/>
                <w:szCs w:val="24"/>
              </w:rPr>
              <w:t xml:space="preserve">0.18 </w:t>
            </w:r>
          </w:p>
        </w:tc>
      </w:tr>
      <w:tr w14:paraId="1C733E1C">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100D58E0">
            <w:pPr>
              <w:widowControl/>
              <w:spacing w:line="276" w:lineRule="auto"/>
              <w:ind w:firstLine="0" w:firstLineChars="0"/>
              <w:jc w:val="center"/>
              <w:rPr>
                <w:rFonts w:cs="Times New Roman"/>
                <w:kern w:val="0"/>
                <w:szCs w:val="24"/>
              </w:rPr>
            </w:pPr>
            <w:r>
              <w:rPr>
                <w:rFonts w:cs="Times New Roman"/>
                <w:kern w:val="0"/>
                <w:szCs w:val="24"/>
              </w:rPr>
              <w:t>JZQ032</w:t>
            </w:r>
          </w:p>
        </w:tc>
        <w:tc>
          <w:tcPr>
            <w:tcW w:w="914" w:type="pct"/>
            <w:tcBorders>
              <w:top w:val="nil"/>
              <w:left w:val="nil"/>
              <w:bottom w:val="single" w:color="auto" w:sz="4" w:space="0"/>
              <w:right w:val="single" w:color="auto" w:sz="4" w:space="0"/>
            </w:tcBorders>
            <w:shd w:val="clear" w:color="auto" w:fill="auto"/>
            <w:vAlign w:val="center"/>
          </w:tcPr>
          <w:p w14:paraId="6B173DBF">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罗马假日花园区域</w:t>
            </w:r>
          </w:p>
        </w:tc>
        <w:tc>
          <w:tcPr>
            <w:tcW w:w="3201" w:type="pct"/>
            <w:tcBorders>
              <w:top w:val="nil"/>
              <w:left w:val="nil"/>
              <w:bottom w:val="single" w:color="auto" w:sz="4" w:space="0"/>
              <w:right w:val="single" w:color="auto" w:sz="4" w:space="0"/>
            </w:tcBorders>
            <w:shd w:val="clear" w:color="auto" w:fill="auto"/>
            <w:vAlign w:val="center"/>
          </w:tcPr>
          <w:p w14:paraId="75A8C750">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华林路→晋安区西侧行政边界→六一北路</w:t>
            </w:r>
          </w:p>
        </w:tc>
        <w:tc>
          <w:tcPr>
            <w:tcW w:w="530" w:type="pct"/>
            <w:tcBorders>
              <w:top w:val="nil"/>
              <w:left w:val="nil"/>
              <w:bottom w:val="single" w:color="auto" w:sz="4" w:space="0"/>
              <w:right w:val="single" w:color="auto" w:sz="4" w:space="0"/>
            </w:tcBorders>
            <w:shd w:val="clear" w:color="auto" w:fill="auto"/>
            <w:noWrap/>
            <w:vAlign w:val="center"/>
          </w:tcPr>
          <w:p w14:paraId="66F33CE0">
            <w:pPr>
              <w:widowControl/>
              <w:spacing w:line="276" w:lineRule="auto"/>
              <w:ind w:firstLine="0" w:firstLineChars="0"/>
              <w:jc w:val="center"/>
              <w:rPr>
                <w:rFonts w:cs="Times New Roman"/>
                <w:kern w:val="0"/>
                <w:szCs w:val="24"/>
              </w:rPr>
            </w:pPr>
            <w:r>
              <w:rPr>
                <w:rFonts w:cs="Times New Roman"/>
                <w:kern w:val="0"/>
                <w:szCs w:val="24"/>
              </w:rPr>
              <w:t xml:space="preserve">0.20 </w:t>
            </w:r>
          </w:p>
        </w:tc>
      </w:tr>
      <w:tr w14:paraId="53B48250">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0C227EC2">
            <w:pPr>
              <w:widowControl/>
              <w:spacing w:line="276" w:lineRule="auto"/>
              <w:ind w:firstLine="0" w:firstLineChars="0"/>
              <w:jc w:val="center"/>
              <w:rPr>
                <w:rFonts w:cs="Times New Roman"/>
                <w:kern w:val="0"/>
                <w:szCs w:val="24"/>
              </w:rPr>
            </w:pPr>
            <w:r>
              <w:rPr>
                <w:rFonts w:cs="Times New Roman"/>
                <w:kern w:val="0"/>
                <w:szCs w:val="24"/>
              </w:rPr>
              <w:t>JZQ033</w:t>
            </w:r>
          </w:p>
        </w:tc>
        <w:tc>
          <w:tcPr>
            <w:tcW w:w="914" w:type="pct"/>
            <w:tcBorders>
              <w:top w:val="nil"/>
              <w:left w:val="nil"/>
              <w:bottom w:val="single" w:color="auto" w:sz="4" w:space="0"/>
              <w:right w:val="single" w:color="auto" w:sz="4" w:space="0"/>
            </w:tcBorders>
            <w:shd w:val="clear" w:color="auto" w:fill="auto"/>
            <w:vAlign w:val="center"/>
          </w:tcPr>
          <w:p w14:paraId="22659000">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福州公安公寓区域</w:t>
            </w:r>
          </w:p>
        </w:tc>
        <w:tc>
          <w:tcPr>
            <w:tcW w:w="3201" w:type="pct"/>
            <w:tcBorders>
              <w:top w:val="nil"/>
              <w:left w:val="nil"/>
              <w:bottom w:val="single" w:color="auto" w:sz="4" w:space="0"/>
              <w:right w:val="single" w:color="auto" w:sz="4" w:space="0"/>
            </w:tcBorders>
            <w:shd w:val="clear" w:color="auto" w:fill="auto"/>
            <w:vAlign w:val="center"/>
          </w:tcPr>
          <w:p w14:paraId="2D521A55">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夏莲路→六一北路→金鸡山路→天水园东北侧边界及其延伸线→天水园北侧山体边界线（不含山体）→夏莲路</w:t>
            </w:r>
          </w:p>
        </w:tc>
        <w:tc>
          <w:tcPr>
            <w:tcW w:w="530" w:type="pct"/>
            <w:tcBorders>
              <w:top w:val="nil"/>
              <w:left w:val="nil"/>
              <w:bottom w:val="single" w:color="auto" w:sz="4" w:space="0"/>
              <w:right w:val="single" w:color="auto" w:sz="4" w:space="0"/>
            </w:tcBorders>
            <w:shd w:val="clear" w:color="auto" w:fill="auto"/>
            <w:noWrap/>
            <w:vAlign w:val="center"/>
          </w:tcPr>
          <w:p w14:paraId="41C8E98C">
            <w:pPr>
              <w:widowControl/>
              <w:spacing w:line="276" w:lineRule="auto"/>
              <w:ind w:firstLine="0" w:firstLineChars="0"/>
              <w:jc w:val="center"/>
              <w:rPr>
                <w:rFonts w:cs="Times New Roman"/>
                <w:kern w:val="0"/>
                <w:szCs w:val="24"/>
              </w:rPr>
            </w:pPr>
            <w:r>
              <w:rPr>
                <w:rFonts w:cs="Times New Roman"/>
                <w:kern w:val="0"/>
                <w:szCs w:val="24"/>
              </w:rPr>
              <w:t xml:space="preserve">0.45 </w:t>
            </w:r>
          </w:p>
        </w:tc>
      </w:tr>
      <w:tr w14:paraId="156A21F7">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EF82AD3">
            <w:pPr>
              <w:widowControl/>
              <w:spacing w:line="276" w:lineRule="auto"/>
              <w:ind w:firstLine="0" w:firstLineChars="0"/>
              <w:jc w:val="center"/>
              <w:rPr>
                <w:rFonts w:cs="Times New Roman"/>
                <w:kern w:val="0"/>
                <w:szCs w:val="24"/>
              </w:rPr>
            </w:pPr>
            <w:r>
              <w:rPr>
                <w:rFonts w:cs="Times New Roman"/>
                <w:kern w:val="0"/>
                <w:szCs w:val="24"/>
              </w:rPr>
              <w:t>JZQ034</w:t>
            </w:r>
          </w:p>
        </w:tc>
        <w:tc>
          <w:tcPr>
            <w:tcW w:w="914" w:type="pct"/>
            <w:tcBorders>
              <w:top w:val="nil"/>
              <w:left w:val="nil"/>
              <w:bottom w:val="single" w:color="auto" w:sz="4" w:space="0"/>
              <w:right w:val="single" w:color="auto" w:sz="4" w:space="0"/>
            </w:tcBorders>
            <w:shd w:val="clear" w:color="auto" w:fill="auto"/>
            <w:vAlign w:val="center"/>
          </w:tcPr>
          <w:p w14:paraId="218FD2D8">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鹤林新城区域</w:t>
            </w:r>
          </w:p>
        </w:tc>
        <w:tc>
          <w:tcPr>
            <w:tcW w:w="3201" w:type="pct"/>
            <w:tcBorders>
              <w:top w:val="nil"/>
              <w:left w:val="nil"/>
              <w:bottom w:val="single" w:color="auto" w:sz="4" w:space="0"/>
              <w:right w:val="single" w:color="auto" w:sz="4" w:space="0"/>
            </w:tcBorders>
            <w:shd w:val="clear" w:color="auto" w:fill="auto"/>
            <w:vAlign w:val="center"/>
          </w:tcPr>
          <w:p w14:paraId="25987B6B">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福马铁路→福马铁路隧道入口西南侧山体边界→连江北路→鹤林路→众恒花园东侧边界</w:t>
            </w:r>
          </w:p>
        </w:tc>
        <w:tc>
          <w:tcPr>
            <w:tcW w:w="530" w:type="pct"/>
            <w:tcBorders>
              <w:top w:val="nil"/>
              <w:left w:val="nil"/>
              <w:bottom w:val="single" w:color="auto" w:sz="4" w:space="0"/>
              <w:right w:val="single" w:color="auto" w:sz="4" w:space="0"/>
            </w:tcBorders>
            <w:shd w:val="clear" w:color="auto" w:fill="auto"/>
            <w:noWrap/>
            <w:vAlign w:val="center"/>
          </w:tcPr>
          <w:p w14:paraId="65C36E44">
            <w:pPr>
              <w:widowControl/>
              <w:spacing w:line="276" w:lineRule="auto"/>
              <w:ind w:firstLine="0" w:firstLineChars="0"/>
              <w:jc w:val="center"/>
              <w:rPr>
                <w:rFonts w:cs="Times New Roman"/>
                <w:kern w:val="0"/>
                <w:szCs w:val="24"/>
              </w:rPr>
            </w:pPr>
            <w:r>
              <w:rPr>
                <w:rFonts w:cs="Times New Roman"/>
                <w:kern w:val="0"/>
                <w:szCs w:val="24"/>
              </w:rPr>
              <w:t xml:space="preserve">0.35 </w:t>
            </w:r>
          </w:p>
        </w:tc>
      </w:tr>
      <w:tr w14:paraId="548719F6">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23A5AC7E">
            <w:pPr>
              <w:widowControl/>
              <w:spacing w:line="276" w:lineRule="auto"/>
              <w:ind w:firstLine="0" w:firstLineChars="0"/>
              <w:jc w:val="center"/>
              <w:rPr>
                <w:rFonts w:cs="Times New Roman"/>
                <w:kern w:val="0"/>
                <w:szCs w:val="24"/>
              </w:rPr>
            </w:pPr>
            <w:r>
              <w:rPr>
                <w:rFonts w:cs="Times New Roman"/>
                <w:kern w:val="0"/>
                <w:szCs w:val="24"/>
              </w:rPr>
              <w:t>JZQ035</w:t>
            </w:r>
          </w:p>
        </w:tc>
        <w:tc>
          <w:tcPr>
            <w:tcW w:w="914" w:type="pct"/>
            <w:tcBorders>
              <w:top w:val="nil"/>
              <w:left w:val="nil"/>
              <w:bottom w:val="single" w:color="auto" w:sz="4" w:space="0"/>
              <w:right w:val="single" w:color="auto" w:sz="4" w:space="0"/>
            </w:tcBorders>
            <w:shd w:val="clear" w:color="auto" w:fill="auto"/>
            <w:vAlign w:val="center"/>
          </w:tcPr>
          <w:p w14:paraId="25D71440">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潭桥佳园区域</w:t>
            </w:r>
          </w:p>
        </w:tc>
        <w:tc>
          <w:tcPr>
            <w:tcW w:w="3201" w:type="pct"/>
            <w:tcBorders>
              <w:top w:val="nil"/>
              <w:left w:val="nil"/>
              <w:bottom w:val="single" w:color="auto" w:sz="4" w:space="0"/>
              <w:right w:val="single" w:color="auto" w:sz="4" w:space="0"/>
            </w:tcBorders>
            <w:shd w:val="clear" w:color="auto" w:fill="auto"/>
            <w:vAlign w:val="center"/>
          </w:tcPr>
          <w:p w14:paraId="473090C0">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牛岗山支路→前横北路→鹤林路</w:t>
            </w:r>
          </w:p>
        </w:tc>
        <w:tc>
          <w:tcPr>
            <w:tcW w:w="530" w:type="pct"/>
            <w:tcBorders>
              <w:top w:val="nil"/>
              <w:left w:val="nil"/>
              <w:bottom w:val="single" w:color="auto" w:sz="4" w:space="0"/>
              <w:right w:val="single" w:color="auto" w:sz="4" w:space="0"/>
            </w:tcBorders>
            <w:shd w:val="clear" w:color="auto" w:fill="auto"/>
            <w:noWrap/>
            <w:vAlign w:val="center"/>
          </w:tcPr>
          <w:p w14:paraId="2D2DE3C0">
            <w:pPr>
              <w:widowControl/>
              <w:spacing w:line="276" w:lineRule="auto"/>
              <w:ind w:firstLine="0" w:firstLineChars="0"/>
              <w:jc w:val="center"/>
              <w:rPr>
                <w:rFonts w:cs="Times New Roman"/>
                <w:kern w:val="0"/>
                <w:szCs w:val="24"/>
              </w:rPr>
            </w:pPr>
            <w:r>
              <w:rPr>
                <w:rFonts w:cs="Times New Roman"/>
                <w:kern w:val="0"/>
                <w:szCs w:val="24"/>
              </w:rPr>
              <w:t xml:space="preserve">0.21 </w:t>
            </w:r>
          </w:p>
        </w:tc>
      </w:tr>
      <w:tr w14:paraId="3E9E8596">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5DFBCAB5">
            <w:pPr>
              <w:widowControl/>
              <w:spacing w:line="276" w:lineRule="auto"/>
              <w:ind w:firstLine="0" w:firstLineChars="0"/>
              <w:jc w:val="center"/>
              <w:rPr>
                <w:rFonts w:cs="Times New Roman"/>
                <w:kern w:val="0"/>
                <w:szCs w:val="24"/>
              </w:rPr>
            </w:pPr>
            <w:r>
              <w:rPr>
                <w:rFonts w:cs="Times New Roman"/>
                <w:kern w:val="0"/>
                <w:szCs w:val="24"/>
              </w:rPr>
              <w:t>JZQ036</w:t>
            </w:r>
          </w:p>
        </w:tc>
        <w:tc>
          <w:tcPr>
            <w:tcW w:w="914" w:type="pct"/>
            <w:tcBorders>
              <w:top w:val="nil"/>
              <w:left w:val="nil"/>
              <w:bottom w:val="single" w:color="auto" w:sz="4" w:space="0"/>
              <w:right w:val="single" w:color="auto" w:sz="4" w:space="0"/>
            </w:tcBorders>
            <w:shd w:val="clear" w:color="auto" w:fill="auto"/>
            <w:vAlign w:val="center"/>
          </w:tcPr>
          <w:p w14:paraId="1F9C6184">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东山新苑区域</w:t>
            </w:r>
          </w:p>
        </w:tc>
        <w:tc>
          <w:tcPr>
            <w:tcW w:w="3201" w:type="pct"/>
            <w:tcBorders>
              <w:top w:val="nil"/>
              <w:left w:val="nil"/>
              <w:bottom w:val="single" w:color="auto" w:sz="4" w:space="0"/>
              <w:right w:val="single" w:color="auto" w:sz="4" w:space="0"/>
            </w:tcBorders>
            <w:shd w:val="clear" w:color="auto" w:fill="auto"/>
            <w:vAlign w:val="center"/>
          </w:tcPr>
          <w:p w14:paraId="4D55BDAC">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福平铁路→鹤林路东北侧延伸道路→后溪路→后溪路东侧小区边界→狮峰路</w:t>
            </w:r>
          </w:p>
        </w:tc>
        <w:tc>
          <w:tcPr>
            <w:tcW w:w="530" w:type="pct"/>
            <w:tcBorders>
              <w:top w:val="nil"/>
              <w:left w:val="nil"/>
              <w:bottom w:val="single" w:color="auto" w:sz="4" w:space="0"/>
              <w:right w:val="single" w:color="auto" w:sz="4" w:space="0"/>
            </w:tcBorders>
            <w:shd w:val="clear" w:color="auto" w:fill="auto"/>
            <w:noWrap/>
            <w:vAlign w:val="center"/>
          </w:tcPr>
          <w:p w14:paraId="6D5A5C94">
            <w:pPr>
              <w:widowControl/>
              <w:spacing w:line="276" w:lineRule="auto"/>
              <w:ind w:firstLine="0" w:firstLineChars="0"/>
              <w:jc w:val="center"/>
              <w:rPr>
                <w:rFonts w:cs="Times New Roman"/>
                <w:kern w:val="0"/>
                <w:szCs w:val="24"/>
              </w:rPr>
            </w:pPr>
            <w:r>
              <w:rPr>
                <w:rFonts w:cs="Times New Roman"/>
                <w:kern w:val="0"/>
                <w:szCs w:val="24"/>
              </w:rPr>
              <w:t xml:space="preserve">0.37 </w:t>
            </w:r>
          </w:p>
        </w:tc>
      </w:tr>
      <w:tr w14:paraId="07CC606B">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277B404">
            <w:pPr>
              <w:widowControl/>
              <w:spacing w:line="276" w:lineRule="auto"/>
              <w:ind w:firstLine="0" w:firstLineChars="0"/>
              <w:jc w:val="center"/>
              <w:rPr>
                <w:rFonts w:cs="Times New Roman"/>
                <w:kern w:val="0"/>
                <w:szCs w:val="24"/>
              </w:rPr>
            </w:pPr>
            <w:r>
              <w:rPr>
                <w:rFonts w:cs="Times New Roman"/>
                <w:kern w:val="0"/>
                <w:szCs w:val="24"/>
              </w:rPr>
              <w:t>JZQ037</w:t>
            </w:r>
          </w:p>
        </w:tc>
        <w:tc>
          <w:tcPr>
            <w:tcW w:w="914" w:type="pct"/>
            <w:tcBorders>
              <w:top w:val="nil"/>
              <w:left w:val="nil"/>
              <w:bottom w:val="single" w:color="auto" w:sz="4" w:space="0"/>
              <w:right w:val="single" w:color="auto" w:sz="4" w:space="0"/>
            </w:tcBorders>
            <w:shd w:val="clear" w:color="auto" w:fill="auto"/>
            <w:vAlign w:val="center"/>
          </w:tcPr>
          <w:p w14:paraId="2541E634">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潭园小学区域</w:t>
            </w:r>
          </w:p>
        </w:tc>
        <w:tc>
          <w:tcPr>
            <w:tcW w:w="3201" w:type="pct"/>
            <w:tcBorders>
              <w:top w:val="nil"/>
              <w:left w:val="nil"/>
              <w:bottom w:val="single" w:color="auto" w:sz="4" w:space="0"/>
              <w:right w:val="single" w:color="auto" w:sz="4" w:space="0"/>
            </w:tcBorders>
            <w:shd w:val="clear" w:color="auto" w:fill="auto"/>
            <w:vAlign w:val="center"/>
          </w:tcPr>
          <w:p w14:paraId="6C29302E">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潭园小学北侧边界→凤坂二支河河岸→福平铁路→磨洋河西侧居民楼边界→福州机场高速南侧居民区建筑边界</w:t>
            </w:r>
          </w:p>
        </w:tc>
        <w:tc>
          <w:tcPr>
            <w:tcW w:w="530" w:type="pct"/>
            <w:tcBorders>
              <w:top w:val="nil"/>
              <w:left w:val="nil"/>
              <w:bottom w:val="single" w:color="auto" w:sz="4" w:space="0"/>
              <w:right w:val="single" w:color="auto" w:sz="4" w:space="0"/>
            </w:tcBorders>
            <w:shd w:val="clear" w:color="auto" w:fill="auto"/>
            <w:noWrap/>
            <w:vAlign w:val="center"/>
          </w:tcPr>
          <w:p w14:paraId="032A4602">
            <w:pPr>
              <w:widowControl/>
              <w:spacing w:line="276" w:lineRule="auto"/>
              <w:ind w:firstLine="0" w:firstLineChars="0"/>
              <w:jc w:val="center"/>
              <w:rPr>
                <w:rFonts w:cs="Times New Roman"/>
                <w:kern w:val="0"/>
                <w:szCs w:val="24"/>
              </w:rPr>
            </w:pPr>
            <w:r>
              <w:rPr>
                <w:rFonts w:cs="Times New Roman"/>
                <w:kern w:val="0"/>
                <w:szCs w:val="24"/>
              </w:rPr>
              <w:t xml:space="preserve">0.16 </w:t>
            </w:r>
          </w:p>
        </w:tc>
      </w:tr>
      <w:tr w14:paraId="432450E0">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69BAA5C">
            <w:pPr>
              <w:widowControl/>
              <w:spacing w:line="276" w:lineRule="auto"/>
              <w:ind w:firstLine="0" w:firstLineChars="0"/>
              <w:jc w:val="center"/>
              <w:rPr>
                <w:rFonts w:cs="Times New Roman"/>
                <w:kern w:val="0"/>
                <w:szCs w:val="24"/>
              </w:rPr>
            </w:pPr>
            <w:r>
              <w:rPr>
                <w:rFonts w:cs="Times New Roman"/>
                <w:kern w:val="0"/>
                <w:szCs w:val="24"/>
              </w:rPr>
              <w:t>JZQ038</w:t>
            </w:r>
          </w:p>
        </w:tc>
        <w:tc>
          <w:tcPr>
            <w:tcW w:w="914" w:type="pct"/>
            <w:tcBorders>
              <w:top w:val="nil"/>
              <w:left w:val="nil"/>
              <w:bottom w:val="single" w:color="auto" w:sz="4" w:space="0"/>
              <w:right w:val="single" w:color="auto" w:sz="4" w:space="0"/>
            </w:tcBorders>
            <w:shd w:val="clear" w:color="auto" w:fill="auto"/>
            <w:vAlign w:val="center"/>
          </w:tcPr>
          <w:p w14:paraId="5CE372D0">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锦绣福城区域</w:t>
            </w:r>
          </w:p>
        </w:tc>
        <w:tc>
          <w:tcPr>
            <w:tcW w:w="3201" w:type="pct"/>
            <w:tcBorders>
              <w:top w:val="nil"/>
              <w:left w:val="nil"/>
              <w:bottom w:val="single" w:color="auto" w:sz="4" w:space="0"/>
              <w:right w:val="single" w:color="auto" w:sz="4" w:space="0"/>
            </w:tcBorders>
            <w:shd w:val="clear" w:color="auto" w:fill="auto"/>
            <w:vAlign w:val="center"/>
          </w:tcPr>
          <w:p w14:paraId="1CB87998">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北二环中路→晋安区西侧行政边界→华林路→六一北路</w:t>
            </w:r>
          </w:p>
        </w:tc>
        <w:tc>
          <w:tcPr>
            <w:tcW w:w="530" w:type="pct"/>
            <w:tcBorders>
              <w:top w:val="nil"/>
              <w:left w:val="nil"/>
              <w:bottom w:val="single" w:color="auto" w:sz="4" w:space="0"/>
              <w:right w:val="single" w:color="auto" w:sz="4" w:space="0"/>
            </w:tcBorders>
            <w:shd w:val="clear" w:color="auto" w:fill="auto"/>
            <w:noWrap/>
            <w:vAlign w:val="center"/>
          </w:tcPr>
          <w:p w14:paraId="6C1D8280">
            <w:pPr>
              <w:widowControl/>
              <w:spacing w:line="276" w:lineRule="auto"/>
              <w:ind w:firstLine="0" w:firstLineChars="0"/>
              <w:jc w:val="center"/>
              <w:rPr>
                <w:rFonts w:cs="Times New Roman"/>
                <w:kern w:val="0"/>
                <w:szCs w:val="24"/>
              </w:rPr>
            </w:pPr>
            <w:r>
              <w:rPr>
                <w:rFonts w:cs="Times New Roman"/>
                <w:kern w:val="0"/>
                <w:szCs w:val="24"/>
              </w:rPr>
              <w:t xml:space="preserve">0.27 </w:t>
            </w:r>
          </w:p>
        </w:tc>
      </w:tr>
      <w:tr w14:paraId="38E6CEC4">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33F7C43">
            <w:pPr>
              <w:widowControl/>
              <w:spacing w:line="276" w:lineRule="auto"/>
              <w:ind w:firstLine="0" w:firstLineChars="0"/>
              <w:jc w:val="center"/>
              <w:rPr>
                <w:rFonts w:cs="Times New Roman"/>
                <w:kern w:val="0"/>
                <w:szCs w:val="24"/>
              </w:rPr>
            </w:pPr>
            <w:r>
              <w:rPr>
                <w:rFonts w:cs="Times New Roman"/>
                <w:kern w:val="0"/>
                <w:szCs w:val="24"/>
              </w:rPr>
              <w:t>JZQ039</w:t>
            </w:r>
          </w:p>
        </w:tc>
        <w:tc>
          <w:tcPr>
            <w:tcW w:w="914" w:type="pct"/>
            <w:tcBorders>
              <w:top w:val="nil"/>
              <w:left w:val="nil"/>
              <w:bottom w:val="single" w:color="auto" w:sz="4" w:space="0"/>
              <w:right w:val="single" w:color="auto" w:sz="4" w:space="0"/>
            </w:tcBorders>
            <w:shd w:val="clear" w:color="auto" w:fill="auto"/>
            <w:vAlign w:val="center"/>
          </w:tcPr>
          <w:p w14:paraId="158EFCD8">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揽月新苑区域</w:t>
            </w:r>
          </w:p>
        </w:tc>
        <w:tc>
          <w:tcPr>
            <w:tcW w:w="3201" w:type="pct"/>
            <w:tcBorders>
              <w:top w:val="nil"/>
              <w:left w:val="nil"/>
              <w:bottom w:val="single" w:color="auto" w:sz="4" w:space="0"/>
              <w:right w:val="single" w:color="auto" w:sz="4" w:space="0"/>
            </w:tcBorders>
            <w:shd w:val="clear" w:color="auto" w:fill="auto"/>
            <w:vAlign w:val="center"/>
          </w:tcPr>
          <w:p w14:paraId="2986B087">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北二环东路→六一北路→夏莲路→第八医院住院部东侧边界</w:t>
            </w:r>
          </w:p>
        </w:tc>
        <w:tc>
          <w:tcPr>
            <w:tcW w:w="530" w:type="pct"/>
            <w:tcBorders>
              <w:top w:val="nil"/>
              <w:left w:val="nil"/>
              <w:bottom w:val="single" w:color="auto" w:sz="4" w:space="0"/>
              <w:right w:val="single" w:color="auto" w:sz="4" w:space="0"/>
            </w:tcBorders>
            <w:shd w:val="clear" w:color="auto" w:fill="auto"/>
            <w:noWrap/>
            <w:vAlign w:val="center"/>
          </w:tcPr>
          <w:p w14:paraId="2F2EFE84">
            <w:pPr>
              <w:widowControl/>
              <w:spacing w:line="276" w:lineRule="auto"/>
              <w:ind w:firstLine="0" w:firstLineChars="0"/>
              <w:jc w:val="center"/>
              <w:rPr>
                <w:rFonts w:cs="Times New Roman"/>
                <w:kern w:val="0"/>
                <w:szCs w:val="24"/>
              </w:rPr>
            </w:pPr>
            <w:r>
              <w:rPr>
                <w:rFonts w:cs="Times New Roman"/>
                <w:kern w:val="0"/>
                <w:szCs w:val="24"/>
              </w:rPr>
              <w:t xml:space="preserve">0.26 </w:t>
            </w:r>
          </w:p>
        </w:tc>
      </w:tr>
      <w:tr w14:paraId="3EE85530">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0997139E">
            <w:pPr>
              <w:widowControl/>
              <w:spacing w:line="276" w:lineRule="auto"/>
              <w:ind w:firstLine="0" w:firstLineChars="0"/>
              <w:jc w:val="center"/>
              <w:rPr>
                <w:rFonts w:cs="Times New Roman"/>
                <w:kern w:val="0"/>
                <w:szCs w:val="24"/>
              </w:rPr>
            </w:pPr>
            <w:r>
              <w:rPr>
                <w:rFonts w:cs="Times New Roman"/>
                <w:kern w:val="0"/>
                <w:szCs w:val="24"/>
              </w:rPr>
              <w:t>JZQ040</w:t>
            </w:r>
          </w:p>
        </w:tc>
        <w:tc>
          <w:tcPr>
            <w:tcW w:w="914" w:type="pct"/>
            <w:tcBorders>
              <w:top w:val="nil"/>
              <w:left w:val="nil"/>
              <w:bottom w:val="single" w:color="auto" w:sz="4" w:space="0"/>
              <w:right w:val="single" w:color="auto" w:sz="4" w:space="0"/>
            </w:tcBorders>
            <w:shd w:val="clear" w:color="auto" w:fill="auto"/>
            <w:vAlign w:val="center"/>
          </w:tcPr>
          <w:p w14:paraId="03D842C8">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琴亭小区区域</w:t>
            </w:r>
          </w:p>
        </w:tc>
        <w:tc>
          <w:tcPr>
            <w:tcW w:w="3201" w:type="pct"/>
            <w:tcBorders>
              <w:top w:val="nil"/>
              <w:left w:val="nil"/>
              <w:bottom w:val="single" w:color="auto" w:sz="4" w:space="0"/>
              <w:right w:val="single" w:color="auto" w:sz="4" w:space="0"/>
            </w:tcBorders>
            <w:shd w:val="clear" w:color="auto" w:fill="auto"/>
            <w:vAlign w:val="center"/>
          </w:tcPr>
          <w:p w14:paraId="1A86B6D8">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东浦路→晋安区西侧行政边界→北二环中路→华林路→站前路→站西路→兴达花园南侧边界</w:t>
            </w:r>
          </w:p>
        </w:tc>
        <w:tc>
          <w:tcPr>
            <w:tcW w:w="530" w:type="pct"/>
            <w:tcBorders>
              <w:top w:val="nil"/>
              <w:left w:val="nil"/>
              <w:bottom w:val="single" w:color="auto" w:sz="4" w:space="0"/>
              <w:right w:val="single" w:color="auto" w:sz="4" w:space="0"/>
            </w:tcBorders>
            <w:shd w:val="clear" w:color="auto" w:fill="auto"/>
            <w:noWrap/>
            <w:vAlign w:val="center"/>
          </w:tcPr>
          <w:p w14:paraId="3D213B2F">
            <w:pPr>
              <w:widowControl/>
              <w:spacing w:line="276" w:lineRule="auto"/>
              <w:ind w:firstLine="0" w:firstLineChars="0"/>
              <w:jc w:val="center"/>
              <w:rPr>
                <w:rFonts w:cs="Times New Roman"/>
                <w:kern w:val="0"/>
                <w:szCs w:val="24"/>
              </w:rPr>
            </w:pPr>
            <w:r>
              <w:rPr>
                <w:rFonts w:cs="Times New Roman"/>
                <w:kern w:val="0"/>
                <w:szCs w:val="24"/>
              </w:rPr>
              <w:t xml:space="preserve">0.76 </w:t>
            </w:r>
          </w:p>
        </w:tc>
      </w:tr>
      <w:tr w14:paraId="5674C1FA">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7218E77A">
            <w:pPr>
              <w:widowControl/>
              <w:spacing w:line="276" w:lineRule="auto"/>
              <w:ind w:firstLine="0" w:firstLineChars="0"/>
              <w:jc w:val="center"/>
              <w:rPr>
                <w:rFonts w:cs="Times New Roman"/>
                <w:kern w:val="0"/>
                <w:szCs w:val="24"/>
              </w:rPr>
            </w:pPr>
            <w:r>
              <w:rPr>
                <w:rFonts w:cs="Times New Roman"/>
                <w:kern w:val="0"/>
                <w:szCs w:val="24"/>
              </w:rPr>
              <w:t>JZQ041</w:t>
            </w:r>
          </w:p>
        </w:tc>
        <w:tc>
          <w:tcPr>
            <w:tcW w:w="914" w:type="pct"/>
            <w:tcBorders>
              <w:top w:val="nil"/>
              <w:left w:val="nil"/>
              <w:bottom w:val="single" w:color="auto" w:sz="4" w:space="0"/>
              <w:right w:val="single" w:color="auto" w:sz="4" w:space="0"/>
            </w:tcBorders>
            <w:shd w:val="clear" w:color="auto" w:fill="auto"/>
            <w:vAlign w:val="center"/>
          </w:tcPr>
          <w:p w14:paraId="407539BE">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铁建大院区域</w:t>
            </w:r>
          </w:p>
        </w:tc>
        <w:tc>
          <w:tcPr>
            <w:tcW w:w="3201" w:type="pct"/>
            <w:tcBorders>
              <w:top w:val="nil"/>
              <w:left w:val="nil"/>
              <w:bottom w:val="single" w:color="auto" w:sz="4" w:space="0"/>
              <w:right w:val="single" w:color="auto" w:sz="4" w:space="0"/>
            </w:tcBorders>
            <w:shd w:val="clear" w:color="auto" w:fill="auto"/>
            <w:vAlign w:val="center"/>
          </w:tcPr>
          <w:p w14:paraId="6C3502C4">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站东路→福州站南广场东侧边界→站前路→华林路→沁园路→福州汽车北站东南侧边界→北二环东路→沁河路</w:t>
            </w:r>
          </w:p>
        </w:tc>
        <w:tc>
          <w:tcPr>
            <w:tcW w:w="530" w:type="pct"/>
            <w:tcBorders>
              <w:top w:val="nil"/>
              <w:left w:val="nil"/>
              <w:bottom w:val="single" w:color="auto" w:sz="4" w:space="0"/>
              <w:right w:val="single" w:color="auto" w:sz="4" w:space="0"/>
            </w:tcBorders>
            <w:shd w:val="clear" w:color="auto" w:fill="auto"/>
            <w:noWrap/>
            <w:vAlign w:val="center"/>
          </w:tcPr>
          <w:p w14:paraId="48B803C0">
            <w:pPr>
              <w:widowControl/>
              <w:spacing w:line="276" w:lineRule="auto"/>
              <w:ind w:firstLine="0" w:firstLineChars="0"/>
              <w:jc w:val="center"/>
              <w:rPr>
                <w:rFonts w:cs="Times New Roman"/>
                <w:kern w:val="0"/>
                <w:szCs w:val="24"/>
              </w:rPr>
            </w:pPr>
            <w:r>
              <w:rPr>
                <w:rFonts w:cs="Times New Roman"/>
                <w:kern w:val="0"/>
                <w:szCs w:val="24"/>
              </w:rPr>
              <w:t xml:space="preserve">0.13 </w:t>
            </w:r>
          </w:p>
        </w:tc>
      </w:tr>
      <w:tr w14:paraId="0BD99C95">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58427CDE">
            <w:pPr>
              <w:widowControl/>
              <w:spacing w:line="276" w:lineRule="auto"/>
              <w:ind w:firstLine="0" w:firstLineChars="0"/>
              <w:jc w:val="center"/>
              <w:rPr>
                <w:rFonts w:cs="Times New Roman"/>
                <w:kern w:val="0"/>
                <w:szCs w:val="24"/>
              </w:rPr>
            </w:pPr>
            <w:r>
              <w:rPr>
                <w:rFonts w:cs="Times New Roman"/>
                <w:kern w:val="0"/>
                <w:szCs w:val="24"/>
              </w:rPr>
              <w:t>JZQ042</w:t>
            </w:r>
          </w:p>
        </w:tc>
        <w:tc>
          <w:tcPr>
            <w:tcW w:w="914" w:type="pct"/>
            <w:tcBorders>
              <w:top w:val="nil"/>
              <w:left w:val="nil"/>
              <w:bottom w:val="single" w:color="auto" w:sz="4" w:space="0"/>
              <w:right w:val="single" w:color="auto" w:sz="4" w:space="0"/>
            </w:tcBorders>
            <w:shd w:val="clear" w:color="auto" w:fill="auto"/>
            <w:vAlign w:val="center"/>
          </w:tcPr>
          <w:p w14:paraId="09BD43D1">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晋安区第三中心小学区域</w:t>
            </w:r>
          </w:p>
        </w:tc>
        <w:tc>
          <w:tcPr>
            <w:tcW w:w="3201" w:type="pct"/>
            <w:tcBorders>
              <w:top w:val="nil"/>
              <w:left w:val="nil"/>
              <w:bottom w:val="single" w:color="auto" w:sz="4" w:space="0"/>
              <w:right w:val="single" w:color="auto" w:sz="4" w:space="0"/>
            </w:tcBorders>
            <w:shd w:val="clear" w:color="auto" w:fill="auto"/>
            <w:vAlign w:val="center"/>
          </w:tcPr>
          <w:p w14:paraId="3CDF635F">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站东路→沁河路→北二环东路→晋安区第三中心小学东南侧山体边界→晋安区第三中心小学东北侧边界</w:t>
            </w:r>
          </w:p>
        </w:tc>
        <w:tc>
          <w:tcPr>
            <w:tcW w:w="530" w:type="pct"/>
            <w:tcBorders>
              <w:top w:val="nil"/>
              <w:left w:val="nil"/>
              <w:bottom w:val="single" w:color="auto" w:sz="4" w:space="0"/>
              <w:right w:val="single" w:color="auto" w:sz="4" w:space="0"/>
            </w:tcBorders>
            <w:shd w:val="clear" w:color="auto" w:fill="auto"/>
            <w:noWrap/>
            <w:vAlign w:val="center"/>
          </w:tcPr>
          <w:p w14:paraId="60F40110">
            <w:pPr>
              <w:widowControl/>
              <w:spacing w:line="276" w:lineRule="auto"/>
              <w:ind w:firstLine="0" w:firstLineChars="0"/>
              <w:jc w:val="center"/>
              <w:rPr>
                <w:rFonts w:cs="Times New Roman"/>
                <w:kern w:val="0"/>
                <w:szCs w:val="24"/>
              </w:rPr>
            </w:pPr>
            <w:r>
              <w:rPr>
                <w:rFonts w:cs="Times New Roman"/>
                <w:kern w:val="0"/>
                <w:szCs w:val="24"/>
              </w:rPr>
              <w:t xml:space="preserve">0.24 </w:t>
            </w:r>
          </w:p>
        </w:tc>
      </w:tr>
      <w:tr w14:paraId="3CF873B4">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3658A478">
            <w:pPr>
              <w:widowControl/>
              <w:spacing w:line="276" w:lineRule="auto"/>
              <w:ind w:firstLine="0" w:firstLineChars="0"/>
              <w:jc w:val="center"/>
              <w:rPr>
                <w:rFonts w:cs="Times New Roman"/>
                <w:kern w:val="0"/>
                <w:szCs w:val="24"/>
              </w:rPr>
            </w:pPr>
            <w:r>
              <w:rPr>
                <w:rFonts w:cs="Times New Roman"/>
                <w:kern w:val="0"/>
                <w:szCs w:val="24"/>
              </w:rPr>
              <w:t>JZQ043</w:t>
            </w:r>
          </w:p>
        </w:tc>
        <w:tc>
          <w:tcPr>
            <w:tcW w:w="914" w:type="pct"/>
            <w:tcBorders>
              <w:top w:val="nil"/>
              <w:left w:val="nil"/>
              <w:bottom w:val="single" w:color="auto" w:sz="4" w:space="0"/>
              <w:right w:val="single" w:color="auto" w:sz="4" w:space="0"/>
            </w:tcBorders>
            <w:shd w:val="clear" w:color="auto" w:fill="auto"/>
            <w:vAlign w:val="center"/>
          </w:tcPr>
          <w:p w14:paraId="01AA6D1C">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登云小学区域</w:t>
            </w:r>
          </w:p>
        </w:tc>
        <w:tc>
          <w:tcPr>
            <w:tcW w:w="3201" w:type="pct"/>
            <w:tcBorders>
              <w:top w:val="nil"/>
              <w:left w:val="nil"/>
              <w:bottom w:val="single" w:color="auto" w:sz="4" w:space="0"/>
              <w:right w:val="single" w:color="auto" w:sz="4" w:space="0"/>
            </w:tcBorders>
            <w:shd w:val="clear" w:color="auto" w:fill="auto"/>
            <w:vAlign w:val="center"/>
          </w:tcPr>
          <w:p w14:paraId="022872AA">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登云溪河岸→福马铁路→登云小学南侧道路→钻机配件厂西侧边界→福州机场高速</w:t>
            </w:r>
          </w:p>
        </w:tc>
        <w:tc>
          <w:tcPr>
            <w:tcW w:w="530" w:type="pct"/>
            <w:tcBorders>
              <w:top w:val="nil"/>
              <w:left w:val="nil"/>
              <w:bottom w:val="single" w:color="auto" w:sz="4" w:space="0"/>
              <w:right w:val="single" w:color="auto" w:sz="4" w:space="0"/>
            </w:tcBorders>
            <w:shd w:val="clear" w:color="auto" w:fill="auto"/>
            <w:noWrap/>
            <w:vAlign w:val="center"/>
          </w:tcPr>
          <w:p w14:paraId="64C38CAB">
            <w:pPr>
              <w:widowControl/>
              <w:spacing w:line="276" w:lineRule="auto"/>
              <w:ind w:firstLine="0" w:firstLineChars="0"/>
              <w:jc w:val="center"/>
              <w:rPr>
                <w:rFonts w:cs="Times New Roman"/>
                <w:kern w:val="0"/>
                <w:szCs w:val="24"/>
              </w:rPr>
            </w:pPr>
            <w:r>
              <w:rPr>
                <w:rFonts w:cs="Times New Roman"/>
                <w:kern w:val="0"/>
                <w:szCs w:val="24"/>
              </w:rPr>
              <w:t xml:space="preserve">0.34 </w:t>
            </w:r>
          </w:p>
        </w:tc>
      </w:tr>
      <w:tr w14:paraId="726C46E9">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227B8EB1">
            <w:pPr>
              <w:widowControl/>
              <w:spacing w:line="276" w:lineRule="auto"/>
              <w:ind w:firstLine="0" w:firstLineChars="0"/>
              <w:jc w:val="center"/>
              <w:rPr>
                <w:rFonts w:cs="Times New Roman"/>
                <w:kern w:val="0"/>
                <w:szCs w:val="24"/>
              </w:rPr>
            </w:pPr>
            <w:r>
              <w:rPr>
                <w:rFonts w:cs="Times New Roman"/>
                <w:kern w:val="0"/>
                <w:szCs w:val="24"/>
              </w:rPr>
              <w:t>JZQ044</w:t>
            </w:r>
          </w:p>
        </w:tc>
        <w:tc>
          <w:tcPr>
            <w:tcW w:w="914" w:type="pct"/>
            <w:tcBorders>
              <w:top w:val="nil"/>
              <w:left w:val="nil"/>
              <w:bottom w:val="single" w:color="auto" w:sz="4" w:space="0"/>
              <w:right w:val="single" w:color="auto" w:sz="4" w:space="0"/>
            </w:tcBorders>
            <w:shd w:val="clear" w:color="auto" w:fill="auto"/>
            <w:vAlign w:val="center"/>
          </w:tcPr>
          <w:p w14:paraId="791DEF05">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福建海洋职业技术学校区域</w:t>
            </w:r>
          </w:p>
        </w:tc>
        <w:tc>
          <w:tcPr>
            <w:tcW w:w="3201" w:type="pct"/>
            <w:tcBorders>
              <w:top w:val="nil"/>
              <w:left w:val="nil"/>
              <w:bottom w:val="single" w:color="auto" w:sz="4" w:space="0"/>
              <w:right w:val="single" w:color="auto" w:sz="4" w:space="0"/>
            </w:tcBorders>
            <w:shd w:val="clear" w:color="auto" w:fill="auto"/>
            <w:vAlign w:val="center"/>
          </w:tcPr>
          <w:p w14:paraId="0C67810A">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秀峰路→西井支路→西井路→福州机场高速隧道入口及其西南向切线延伸线→凤山新村西南侧边界线→碧桂园融侨时代城边界线→福州机场高速隧道出口及其西北向切线延伸线→地勘院宿舍南侧边界线→祥园新苑南侧及东侧边界线→琴亭小学西南侧边界线→西园支路→西园路→玄南岭路→罗汉山山体边界（不含罗汉山）→玄南岭路</w:t>
            </w:r>
          </w:p>
        </w:tc>
        <w:tc>
          <w:tcPr>
            <w:tcW w:w="530" w:type="pct"/>
            <w:tcBorders>
              <w:top w:val="nil"/>
              <w:left w:val="nil"/>
              <w:bottom w:val="single" w:color="auto" w:sz="4" w:space="0"/>
              <w:right w:val="single" w:color="auto" w:sz="4" w:space="0"/>
            </w:tcBorders>
            <w:shd w:val="clear" w:color="auto" w:fill="auto"/>
            <w:noWrap/>
            <w:vAlign w:val="center"/>
          </w:tcPr>
          <w:p w14:paraId="79CE1799">
            <w:pPr>
              <w:widowControl/>
              <w:spacing w:line="276" w:lineRule="auto"/>
              <w:ind w:firstLine="0" w:firstLineChars="0"/>
              <w:jc w:val="center"/>
              <w:rPr>
                <w:rFonts w:cs="Times New Roman"/>
                <w:kern w:val="0"/>
                <w:szCs w:val="24"/>
              </w:rPr>
            </w:pPr>
            <w:r>
              <w:rPr>
                <w:rFonts w:cs="Times New Roman"/>
                <w:kern w:val="0"/>
                <w:szCs w:val="24"/>
              </w:rPr>
              <w:t xml:space="preserve">0.65 </w:t>
            </w:r>
          </w:p>
        </w:tc>
      </w:tr>
      <w:tr w14:paraId="513E695E">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3EE93C13">
            <w:pPr>
              <w:widowControl/>
              <w:spacing w:line="276" w:lineRule="auto"/>
              <w:ind w:firstLine="0" w:firstLineChars="0"/>
              <w:jc w:val="center"/>
              <w:rPr>
                <w:rFonts w:cs="Times New Roman"/>
                <w:kern w:val="0"/>
                <w:szCs w:val="24"/>
              </w:rPr>
            </w:pPr>
            <w:r>
              <w:rPr>
                <w:rFonts w:cs="Times New Roman"/>
                <w:kern w:val="0"/>
                <w:szCs w:val="24"/>
              </w:rPr>
              <w:t>JZQ045</w:t>
            </w:r>
          </w:p>
        </w:tc>
        <w:tc>
          <w:tcPr>
            <w:tcW w:w="914" w:type="pct"/>
            <w:tcBorders>
              <w:top w:val="nil"/>
              <w:left w:val="nil"/>
              <w:bottom w:val="single" w:color="auto" w:sz="4" w:space="0"/>
              <w:right w:val="single" w:color="auto" w:sz="4" w:space="0"/>
            </w:tcBorders>
            <w:shd w:val="clear" w:color="auto" w:fill="auto"/>
            <w:vAlign w:val="center"/>
          </w:tcPr>
          <w:p w14:paraId="14B2803E">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西园新苑区域</w:t>
            </w:r>
          </w:p>
        </w:tc>
        <w:tc>
          <w:tcPr>
            <w:tcW w:w="3201" w:type="pct"/>
            <w:tcBorders>
              <w:top w:val="nil"/>
              <w:left w:val="nil"/>
              <w:bottom w:val="single" w:color="auto" w:sz="4" w:space="0"/>
              <w:right w:val="single" w:color="auto" w:sz="4" w:space="0"/>
            </w:tcBorders>
            <w:shd w:val="clear" w:color="auto" w:fill="auto"/>
            <w:vAlign w:val="center"/>
          </w:tcPr>
          <w:p w14:paraId="1EEE8E1C">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玄南岭路→西园路→福州机场高速→涧田路</w:t>
            </w:r>
          </w:p>
        </w:tc>
        <w:tc>
          <w:tcPr>
            <w:tcW w:w="530" w:type="pct"/>
            <w:tcBorders>
              <w:top w:val="nil"/>
              <w:left w:val="nil"/>
              <w:bottom w:val="single" w:color="auto" w:sz="4" w:space="0"/>
              <w:right w:val="single" w:color="auto" w:sz="4" w:space="0"/>
            </w:tcBorders>
            <w:shd w:val="clear" w:color="auto" w:fill="auto"/>
            <w:noWrap/>
            <w:vAlign w:val="center"/>
          </w:tcPr>
          <w:p w14:paraId="40CE9BDE">
            <w:pPr>
              <w:widowControl/>
              <w:spacing w:line="276" w:lineRule="auto"/>
              <w:ind w:firstLine="0" w:firstLineChars="0"/>
              <w:jc w:val="center"/>
              <w:rPr>
                <w:rFonts w:cs="Times New Roman"/>
                <w:kern w:val="0"/>
                <w:szCs w:val="24"/>
              </w:rPr>
            </w:pPr>
            <w:r>
              <w:rPr>
                <w:rFonts w:cs="Times New Roman"/>
                <w:kern w:val="0"/>
                <w:szCs w:val="24"/>
              </w:rPr>
              <w:t xml:space="preserve">0.20 </w:t>
            </w:r>
          </w:p>
        </w:tc>
      </w:tr>
      <w:tr w14:paraId="068CBDE0">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25D0D31">
            <w:pPr>
              <w:widowControl/>
              <w:spacing w:line="276" w:lineRule="auto"/>
              <w:ind w:firstLine="0" w:firstLineChars="0"/>
              <w:jc w:val="center"/>
              <w:rPr>
                <w:rFonts w:cs="Times New Roman"/>
                <w:kern w:val="0"/>
                <w:szCs w:val="24"/>
              </w:rPr>
            </w:pPr>
            <w:r>
              <w:rPr>
                <w:rFonts w:cs="Times New Roman"/>
                <w:kern w:val="0"/>
                <w:szCs w:val="24"/>
              </w:rPr>
              <w:t>JZQ046</w:t>
            </w:r>
          </w:p>
        </w:tc>
        <w:tc>
          <w:tcPr>
            <w:tcW w:w="914" w:type="pct"/>
            <w:tcBorders>
              <w:top w:val="nil"/>
              <w:left w:val="nil"/>
              <w:bottom w:val="single" w:color="auto" w:sz="4" w:space="0"/>
              <w:right w:val="single" w:color="auto" w:sz="4" w:space="0"/>
            </w:tcBorders>
            <w:shd w:val="clear" w:color="auto" w:fill="auto"/>
            <w:vAlign w:val="center"/>
          </w:tcPr>
          <w:p w14:paraId="26D00D09">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玫瑰华庭区域</w:t>
            </w:r>
          </w:p>
        </w:tc>
        <w:tc>
          <w:tcPr>
            <w:tcW w:w="3201" w:type="pct"/>
            <w:tcBorders>
              <w:top w:val="nil"/>
              <w:left w:val="nil"/>
              <w:bottom w:val="single" w:color="auto" w:sz="4" w:space="0"/>
              <w:right w:val="single" w:color="auto" w:sz="4" w:space="0"/>
            </w:tcBorders>
            <w:shd w:val="clear" w:color="auto" w:fill="auto"/>
            <w:vAlign w:val="center"/>
          </w:tcPr>
          <w:p w14:paraId="1690CBE4">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山北路→涧田路→主题公园小学南侧道路→涧山巷→西园路→涧田路→福州机场高速→桂山公寓东侧山体边界→新店外环路</w:t>
            </w:r>
          </w:p>
        </w:tc>
        <w:tc>
          <w:tcPr>
            <w:tcW w:w="530" w:type="pct"/>
            <w:tcBorders>
              <w:top w:val="nil"/>
              <w:left w:val="nil"/>
              <w:bottom w:val="single" w:color="auto" w:sz="4" w:space="0"/>
              <w:right w:val="single" w:color="auto" w:sz="4" w:space="0"/>
            </w:tcBorders>
            <w:shd w:val="clear" w:color="auto" w:fill="auto"/>
            <w:noWrap/>
            <w:vAlign w:val="center"/>
          </w:tcPr>
          <w:p w14:paraId="4BEAB774">
            <w:pPr>
              <w:widowControl/>
              <w:spacing w:line="276" w:lineRule="auto"/>
              <w:ind w:firstLine="0" w:firstLineChars="0"/>
              <w:jc w:val="center"/>
              <w:rPr>
                <w:rFonts w:cs="Times New Roman"/>
                <w:kern w:val="0"/>
                <w:szCs w:val="24"/>
              </w:rPr>
            </w:pPr>
            <w:r>
              <w:rPr>
                <w:rFonts w:cs="Times New Roman"/>
                <w:kern w:val="0"/>
                <w:szCs w:val="24"/>
              </w:rPr>
              <w:t xml:space="preserve">2.63 </w:t>
            </w:r>
          </w:p>
        </w:tc>
      </w:tr>
      <w:tr w14:paraId="625BBAC4">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05D00F5">
            <w:pPr>
              <w:widowControl/>
              <w:spacing w:line="276" w:lineRule="auto"/>
              <w:ind w:firstLine="0" w:firstLineChars="0"/>
              <w:jc w:val="center"/>
              <w:rPr>
                <w:rFonts w:cs="Times New Roman"/>
                <w:kern w:val="0"/>
                <w:szCs w:val="24"/>
              </w:rPr>
            </w:pPr>
            <w:r>
              <w:rPr>
                <w:rFonts w:cs="Times New Roman"/>
                <w:kern w:val="0"/>
                <w:szCs w:val="24"/>
              </w:rPr>
              <w:t>JZQ047</w:t>
            </w:r>
          </w:p>
        </w:tc>
        <w:tc>
          <w:tcPr>
            <w:tcW w:w="914" w:type="pct"/>
            <w:tcBorders>
              <w:top w:val="nil"/>
              <w:left w:val="nil"/>
              <w:bottom w:val="single" w:color="auto" w:sz="4" w:space="0"/>
              <w:right w:val="single" w:color="auto" w:sz="4" w:space="0"/>
            </w:tcBorders>
            <w:shd w:val="clear" w:color="auto" w:fill="auto"/>
            <w:vAlign w:val="center"/>
          </w:tcPr>
          <w:p w14:paraId="6AFA94E3">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后山村幸福院区域</w:t>
            </w:r>
          </w:p>
        </w:tc>
        <w:tc>
          <w:tcPr>
            <w:tcW w:w="3201" w:type="pct"/>
            <w:tcBorders>
              <w:top w:val="nil"/>
              <w:left w:val="nil"/>
              <w:bottom w:val="single" w:color="auto" w:sz="4" w:space="0"/>
              <w:right w:val="single" w:color="auto" w:sz="4" w:space="0"/>
            </w:tcBorders>
            <w:shd w:val="clear" w:color="auto" w:fill="auto"/>
            <w:vAlign w:val="center"/>
          </w:tcPr>
          <w:p w14:paraId="2A2EB929">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西园路→双安中学西南侧边界→玄南岭路→涧田路</w:t>
            </w:r>
          </w:p>
        </w:tc>
        <w:tc>
          <w:tcPr>
            <w:tcW w:w="530" w:type="pct"/>
            <w:tcBorders>
              <w:top w:val="nil"/>
              <w:left w:val="nil"/>
              <w:bottom w:val="single" w:color="auto" w:sz="4" w:space="0"/>
              <w:right w:val="single" w:color="auto" w:sz="4" w:space="0"/>
            </w:tcBorders>
            <w:shd w:val="clear" w:color="auto" w:fill="auto"/>
            <w:noWrap/>
            <w:vAlign w:val="center"/>
          </w:tcPr>
          <w:p w14:paraId="5D821490">
            <w:pPr>
              <w:widowControl/>
              <w:spacing w:line="276" w:lineRule="auto"/>
              <w:ind w:firstLine="0" w:firstLineChars="0"/>
              <w:jc w:val="center"/>
              <w:rPr>
                <w:rFonts w:cs="Times New Roman"/>
                <w:kern w:val="0"/>
                <w:szCs w:val="24"/>
              </w:rPr>
            </w:pPr>
            <w:r>
              <w:rPr>
                <w:rFonts w:cs="Times New Roman"/>
                <w:kern w:val="0"/>
                <w:szCs w:val="24"/>
              </w:rPr>
              <w:t xml:space="preserve">0.15 </w:t>
            </w:r>
          </w:p>
        </w:tc>
      </w:tr>
      <w:tr w14:paraId="46897539">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7418E4F7">
            <w:pPr>
              <w:widowControl/>
              <w:spacing w:line="276" w:lineRule="auto"/>
              <w:ind w:firstLine="0" w:firstLineChars="0"/>
              <w:jc w:val="center"/>
              <w:rPr>
                <w:rFonts w:cs="Times New Roman"/>
                <w:kern w:val="0"/>
                <w:szCs w:val="24"/>
              </w:rPr>
            </w:pPr>
            <w:r>
              <w:rPr>
                <w:rFonts w:cs="Times New Roman"/>
                <w:kern w:val="0"/>
                <w:szCs w:val="24"/>
              </w:rPr>
              <w:t>JZQ048</w:t>
            </w:r>
          </w:p>
        </w:tc>
        <w:tc>
          <w:tcPr>
            <w:tcW w:w="914" w:type="pct"/>
            <w:tcBorders>
              <w:top w:val="nil"/>
              <w:left w:val="nil"/>
              <w:bottom w:val="single" w:color="auto" w:sz="4" w:space="0"/>
              <w:right w:val="single" w:color="auto" w:sz="4" w:space="0"/>
            </w:tcBorders>
            <w:shd w:val="clear" w:color="auto" w:fill="auto"/>
            <w:vAlign w:val="center"/>
          </w:tcPr>
          <w:p w14:paraId="7A14C9EB">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香榭丽景区域</w:t>
            </w:r>
          </w:p>
        </w:tc>
        <w:tc>
          <w:tcPr>
            <w:tcW w:w="3201" w:type="pct"/>
            <w:tcBorders>
              <w:top w:val="nil"/>
              <w:left w:val="nil"/>
              <w:bottom w:val="single" w:color="auto" w:sz="4" w:space="0"/>
              <w:right w:val="single" w:color="auto" w:sz="4" w:space="0"/>
            </w:tcBorders>
            <w:shd w:val="clear" w:color="auto" w:fill="auto"/>
            <w:vAlign w:val="center"/>
          </w:tcPr>
          <w:p w14:paraId="0A9335AF">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秀峰路→玄南岭路→西园路→涧田路</w:t>
            </w:r>
          </w:p>
        </w:tc>
        <w:tc>
          <w:tcPr>
            <w:tcW w:w="530" w:type="pct"/>
            <w:tcBorders>
              <w:top w:val="nil"/>
              <w:left w:val="nil"/>
              <w:bottom w:val="single" w:color="auto" w:sz="4" w:space="0"/>
              <w:right w:val="single" w:color="auto" w:sz="4" w:space="0"/>
            </w:tcBorders>
            <w:shd w:val="clear" w:color="auto" w:fill="auto"/>
            <w:noWrap/>
            <w:vAlign w:val="center"/>
          </w:tcPr>
          <w:p w14:paraId="4C7F310C">
            <w:pPr>
              <w:widowControl/>
              <w:spacing w:line="276" w:lineRule="auto"/>
              <w:ind w:firstLine="0" w:firstLineChars="0"/>
              <w:jc w:val="center"/>
              <w:rPr>
                <w:rFonts w:cs="Times New Roman"/>
                <w:kern w:val="0"/>
                <w:szCs w:val="24"/>
              </w:rPr>
            </w:pPr>
            <w:r>
              <w:rPr>
                <w:rFonts w:cs="Times New Roman"/>
                <w:kern w:val="0"/>
                <w:szCs w:val="24"/>
              </w:rPr>
              <w:t xml:space="preserve">1.28 </w:t>
            </w:r>
          </w:p>
        </w:tc>
      </w:tr>
      <w:tr w14:paraId="7DA81DB1">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2262D9B6">
            <w:pPr>
              <w:widowControl/>
              <w:spacing w:line="276" w:lineRule="auto"/>
              <w:ind w:firstLine="0" w:firstLineChars="0"/>
              <w:jc w:val="center"/>
              <w:rPr>
                <w:rFonts w:cs="Times New Roman"/>
                <w:kern w:val="0"/>
                <w:szCs w:val="24"/>
              </w:rPr>
            </w:pPr>
            <w:r>
              <w:rPr>
                <w:rFonts w:cs="Times New Roman"/>
                <w:kern w:val="0"/>
                <w:szCs w:val="24"/>
              </w:rPr>
              <w:t>JZQ049</w:t>
            </w:r>
          </w:p>
        </w:tc>
        <w:tc>
          <w:tcPr>
            <w:tcW w:w="914" w:type="pct"/>
            <w:tcBorders>
              <w:top w:val="nil"/>
              <w:left w:val="nil"/>
              <w:bottom w:val="single" w:color="auto" w:sz="4" w:space="0"/>
              <w:right w:val="single" w:color="auto" w:sz="4" w:space="0"/>
            </w:tcBorders>
            <w:shd w:val="clear" w:color="auto" w:fill="auto"/>
            <w:vAlign w:val="center"/>
          </w:tcPr>
          <w:p w14:paraId="4546D1F7">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赤星新苑区域</w:t>
            </w:r>
          </w:p>
        </w:tc>
        <w:tc>
          <w:tcPr>
            <w:tcW w:w="3201" w:type="pct"/>
            <w:tcBorders>
              <w:top w:val="nil"/>
              <w:left w:val="nil"/>
              <w:bottom w:val="single" w:color="auto" w:sz="4" w:space="0"/>
              <w:right w:val="single" w:color="auto" w:sz="4" w:space="0"/>
            </w:tcBorders>
            <w:shd w:val="clear" w:color="auto" w:fill="auto"/>
            <w:vAlign w:val="center"/>
          </w:tcPr>
          <w:p w14:paraId="48F1C912">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赤星村南侧边界（不含赤星村）→猫岭路以北居民区边界→猫岭路西向延伸线至山体边界→福州机场高速→西庄路</w:t>
            </w:r>
          </w:p>
        </w:tc>
        <w:tc>
          <w:tcPr>
            <w:tcW w:w="530" w:type="pct"/>
            <w:tcBorders>
              <w:top w:val="nil"/>
              <w:left w:val="nil"/>
              <w:bottom w:val="single" w:color="auto" w:sz="4" w:space="0"/>
              <w:right w:val="single" w:color="auto" w:sz="4" w:space="0"/>
            </w:tcBorders>
            <w:shd w:val="clear" w:color="auto" w:fill="auto"/>
            <w:noWrap/>
            <w:vAlign w:val="center"/>
          </w:tcPr>
          <w:p w14:paraId="7EBB974B">
            <w:pPr>
              <w:widowControl/>
              <w:spacing w:line="276" w:lineRule="auto"/>
              <w:ind w:firstLine="0" w:firstLineChars="0"/>
              <w:jc w:val="center"/>
              <w:rPr>
                <w:rFonts w:cs="Times New Roman"/>
                <w:kern w:val="0"/>
                <w:szCs w:val="24"/>
              </w:rPr>
            </w:pPr>
            <w:r>
              <w:rPr>
                <w:rFonts w:cs="Times New Roman"/>
                <w:kern w:val="0"/>
                <w:szCs w:val="24"/>
              </w:rPr>
              <w:t xml:space="preserve">1.08 </w:t>
            </w:r>
          </w:p>
        </w:tc>
      </w:tr>
      <w:tr w14:paraId="4AFC7E91">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3587FC79">
            <w:pPr>
              <w:widowControl/>
              <w:spacing w:line="276" w:lineRule="auto"/>
              <w:ind w:firstLine="0" w:firstLineChars="0"/>
              <w:jc w:val="center"/>
              <w:rPr>
                <w:rFonts w:cs="Times New Roman"/>
                <w:kern w:val="0"/>
                <w:szCs w:val="24"/>
              </w:rPr>
            </w:pPr>
            <w:r>
              <w:rPr>
                <w:rFonts w:cs="Times New Roman"/>
                <w:kern w:val="0"/>
                <w:szCs w:val="24"/>
              </w:rPr>
              <w:t>JZQ050</w:t>
            </w:r>
          </w:p>
        </w:tc>
        <w:tc>
          <w:tcPr>
            <w:tcW w:w="914" w:type="pct"/>
            <w:tcBorders>
              <w:top w:val="nil"/>
              <w:left w:val="nil"/>
              <w:bottom w:val="single" w:color="auto" w:sz="4" w:space="0"/>
              <w:right w:val="single" w:color="auto" w:sz="4" w:space="0"/>
            </w:tcBorders>
            <w:shd w:val="clear" w:color="auto" w:fill="auto"/>
            <w:vAlign w:val="center"/>
          </w:tcPr>
          <w:p w14:paraId="3CED7A76">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新店中心小学区域</w:t>
            </w:r>
          </w:p>
        </w:tc>
        <w:tc>
          <w:tcPr>
            <w:tcW w:w="3201" w:type="pct"/>
            <w:tcBorders>
              <w:top w:val="nil"/>
              <w:left w:val="nil"/>
              <w:bottom w:val="single" w:color="auto" w:sz="4" w:space="0"/>
              <w:right w:val="single" w:color="auto" w:sz="4" w:space="0"/>
            </w:tcBorders>
            <w:shd w:val="clear" w:color="auto" w:fill="auto"/>
            <w:vAlign w:val="center"/>
          </w:tcPr>
          <w:p w14:paraId="7D7FC5CC">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健康工业园以南居民区边界→西庄路→福州机场高速→福飞北路→新店古城遗址公园边界（不含新店古城遗址公园）→新店溪河岸线</w:t>
            </w:r>
          </w:p>
        </w:tc>
        <w:tc>
          <w:tcPr>
            <w:tcW w:w="530" w:type="pct"/>
            <w:tcBorders>
              <w:top w:val="nil"/>
              <w:left w:val="nil"/>
              <w:bottom w:val="single" w:color="auto" w:sz="4" w:space="0"/>
              <w:right w:val="single" w:color="auto" w:sz="4" w:space="0"/>
            </w:tcBorders>
            <w:shd w:val="clear" w:color="auto" w:fill="auto"/>
            <w:noWrap/>
            <w:vAlign w:val="center"/>
          </w:tcPr>
          <w:p w14:paraId="29D42782">
            <w:pPr>
              <w:widowControl/>
              <w:spacing w:line="276" w:lineRule="auto"/>
              <w:ind w:firstLine="0" w:firstLineChars="0"/>
              <w:jc w:val="center"/>
              <w:rPr>
                <w:rFonts w:cs="Times New Roman"/>
                <w:kern w:val="0"/>
                <w:szCs w:val="24"/>
              </w:rPr>
            </w:pPr>
            <w:r>
              <w:rPr>
                <w:rFonts w:cs="Times New Roman"/>
                <w:kern w:val="0"/>
                <w:szCs w:val="24"/>
              </w:rPr>
              <w:t xml:space="preserve">1.15 </w:t>
            </w:r>
          </w:p>
        </w:tc>
      </w:tr>
      <w:tr w14:paraId="6BBBC69D">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5390606F">
            <w:pPr>
              <w:widowControl/>
              <w:spacing w:line="276" w:lineRule="auto"/>
              <w:ind w:firstLine="0" w:firstLineChars="0"/>
              <w:jc w:val="center"/>
              <w:rPr>
                <w:rFonts w:cs="Times New Roman"/>
                <w:kern w:val="0"/>
                <w:szCs w:val="24"/>
              </w:rPr>
            </w:pPr>
            <w:r>
              <w:rPr>
                <w:rFonts w:cs="Times New Roman"/>
                <w:kern w:val="0"/>
                <w:szCs w:val="24"/>
              </w:rPr>
              <w:t>JZQ051</w:t>
            </w:r>
          </w:p>
        </w:tc>
        <w:tc>
          <w:tcPr>
            <w:tcW w:w="914" w:type="pct"/>
            <w:tcBorders>
              <w:top w:val="nil"/>
              <w:left w:val="nil"/>
              <w:bottom w:val="single" w:color="auto" w:sz="4" w:space="0"/>
              <w:right w:val="single" w:color="auto" w:sz="4" w:space="0"/>
            </w:tcBorders>
            <w:shd w:val="clear" w:color="auto" w:fill="auto"/>
            <w:vAlign w:val="center"/>
          </w:tcPr>
          <w:p w14:paraId="64D06168">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福州鲁能公馆三期区域</w:t>
            </w:r>
          </w:p>
        </w:tc>
        <w:tc>
          <w:tcPr>
            <w:tcW w:w="3201" w:type="pct"/>
            <w:tcBorders>
              <w:top w:val="nil"/>
              <w:left w:val="nil"/>
              <w:bottom w:val="single" w:color="auto" w:sz="4" w:space="0"/>
              <w:right w:val="single" w:color="auto" w:sz="4" w:space="0"/>
            </w:tcBorders>
            <w:shd w:val="clear" w:color="auto" w:fill="auto"/>
            <w:vAlign w:val="center"/>
          </w:tcPr>
          <w:p w14:paraId="2935BFE1">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坂中路→福飞北路→福州机场高速→琴亭湖边界（不含琴亭湖）→秀峰路→厦坊路</w:t>
            </w:r>
          </w:p>
        </w:tc>
        <w:tc>
          <w:tcPr>
            <w:tcW w:w="530" w:type="pct"/>
            <w:tcBorders>
              <w:top w:val="nil"/>
              <w:left w:val="nil"/>
              <w:bottom w:val="single" w:color="auto" w:sz="4" w:space="0"/>
              <w:right w:val="single" w:color="auto" w:sz="4" w:space="0"/>
            </w:tcBorders>
            <w:shd w:val="clear" w:color="auto" w:fill="auto"/>
            <w:noWrap/>
            <w:vAlign w:val="center"/>
          </w:tcPr>
          <w:p w14:paraId="0E0EE033">
            <w:pPr>
              <w:widowControl/>
              <w:spacing w:line="276" w:lineRule="auto"/>
              <w:ind w:firstLine="0" w:firstLineChars="0"/>
              <w:jc w:val="center"/>
              <w:rPr>
                <w:rFonts w:cs="Times New Roman"/>
                <w:kern w:val="0"/>
                <w:szCs w:val="24"/>
              </w:rPr>
            </w:pPr>
            <w:r>
              <w:rPr>
                <w:rFonts w:cs="Times New Roman"/>
                <w:kern w:val="0"/>
                <w:szCs w:val="24"/>
              </w:rPr>
              <w:t xml:space="preserve">1.57 </w:t>
            </w:r>
          </w:p>
        </w:tc>
      </w:tr>
      <w:tr w14:paraId="702550E3">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1DBF56D2">
            <w:pPr>
              <w:widowControl/>
              <w:spacing w:line="276" w:lineRule="auto"/>
              <w:ind w:firstLine="0" w:firstLineChars="0"/>
              <w:jc w:val="center"/>
              <w:rPr>
                <w:rFonts w:cs="Times New Roman"/>
                <w:kern w:val="0"/>
                <w:szCs w:val="24"/>
              </w:rPr>
            </w:pPr>
            <w:r>
              <w:rPr>
                <w:rFonts w:cs="Times New Roman"/>
                <w:kern w:val="0"/>
                <w:szCs w:val="24"/>
              </w:rPr>
              <w:t>JZQ052</w:t>
            </w:r>
          </w:p>
        </w:tc>
        <w:tc>
          <w:tcPr>
            <w:tcW w:w="914" w:type="pct"/>
            <w:tcBorders>
              <w:top w:val="nil"/>
              <w:left w:val="nil"/>
              <w:bottom w:val="single" w:color="auto" w:sz="4" w:space="0"/>
              <w:right w:val="single" w:color="auto" w:sz="4" w:space="0"/>
            </w:tcBorders>
            <w:shd w:val="clear" w:color="auto" w:fill="auto"/>
            <w:vAlign w:val="center"/>
          </w:tcPr>
          <w:p w14:paraId="50726B6A">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新榕金岚秀山区域</w:t>
            </w:r>
          </w:p>
        </w:tc>
        <w:tc>
          <w:tcPr>
            <w:tcW w:w="3201" w:type="pct"/>
            <w:tcBorders>
              <w:top w:val="nil"/>
              <w:left w:val="nil"/>
              <w:bottom w:val="single" w:color="auto" w:sz="4" w:space="0"/>
              <w:right w:val="single" w:color="auto" w:sz="4" w:space="0"/>
            </w:tcBorders>
            <w:shd w:val="clear" w:color="auto" w:fill="auto"/>
            <w:vAlign w:val="center"/>
          </w:tcPr>
          <w:p w14:paraId="508F9307">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坂中路→厦坊路→秀峰路→绿城柳岸晓风区域北侧山体边界</w:t>
            </w:r>
          </w:p>
        </w:tc>
        <w:tc>
          <w:tcPr>
            <w:tcW w:w="530" w:type="pct"/>
            <w:tcBorders>
              <w:top w:val="nil"/>
              <w:left w:val="nil"/>
              <w:bottom w:val="single" w:color="auto" w:sz="4" w:space="0"/>
              <w:right w:val="single" w:color="auto" w:sz="4" w:space="0"/>
            </w:tcBorders>
            <w:shd w:val="clear" w:color="auto" w:fill="auto"/>
            <w:noWrap/>
            <w:vAlign w:val="center"/>
          </w:tcPr>
          <w:p w14:paraId="2F08655C">
            <w:pPr>
              <w:widowControl/>
              <w:spacing w:line="276" w:lineRule="auto"/>
              <w:ind w:firstLine="0" w:firstLineChars="0"/>
              <w:jc w:val="center"/>
              <w:rPr>
                <w:rFonts w:cs="Times New Roman"/>
                <w:kern w:val="0"/>
                <w:szCs w:val="24"/>
              </w:rPr>
            </w:pPr>
            <w:r>
              <w:rPr>
                <w:rFonts w:cs="Times New Roman"/>
                <w:kern w:val="0"/>
                <w:szCs w:val="24"/>
              </w:rPr>
              <w:t xml:space="preserve">0.44 </w:t>
            </w:r>
          </w:p>
        </w:tc>
      </w:tr>
      <w:tr w14:paraId="2BA8B872">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29D05D4">
            <w:pPr>
              <w:widowControl/>
              <w:spacing w:line="276" w:lineRule="auto"/>
              <w:ind w:firstLine="0" w:firstLineChars="0"/>
              <w:jc w:val="center"/>
              <w:rPr>
                <w:rFonts w:cs="Times New Roman"/>
                <w:kern w:val="0"/>
                <w:szCs w:val="24"/>
              </w:rPr>
            </w:pPr>
            <w:r>
              <w:rPr>
                <w:rFonts w:cs="Times New Roman"/>
                <w:kern w:val="0"/>
                <w:szCs w:val="24"/>
              </w:rPr>
              <w:t>JZQ053</w:t>
            </w:r>
          </w:p>
        </w:tc>
        <w:tc>
          <w:tcPr>
            <w:tcW w:w="914" w:type="pct"/>
            <w:tcBorders>
              <w:top w:val="nil"/>
              <w:left w:val="nil"/>
              <w:bottom w:val="single" w:color="auto" w:sz="4" w:space="0"/>
              <w:right w:val="single" w:color="auto" w:sz="4" w:space="0"/>
            </w:tcBorders>
            <w:shd w:val="clear" w:color="auto" w:fill="auto"/>
            <w:vAlign w:val="center"/>
          </w:tcPr>
          <w:p w14:paraId="3CF58F7A">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世纪庄园区域</w:t>
            </w:r>
          </w:p>
        </w:tc>
        <w:tc>
          <w:tcPr>
            <w:tcW w:w="3201" w:type="pct"/>
            <w:tcBorders>
              <w:top w:val="nil"/>
              <w:left w:val="nil"/>
              <w:bottom w:val="single" w:color="auto" w:sz="4" w:space="0"/>
              <w:right w:val="single" w:color="auto" w:sz="4" w:space="0"/>
            </w:tcBorders>
            <w:shd w:val="clear" w:color="auto" w:fill="auto"/>
            <w:vAlign w:val="center"/>
          </w:tcPr>
          <w:p w14:paraId="338DFFA8">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秀峰路→涧田路→山北路→杨廷路</w:t>
            </w:r>
          </w:p>
        </w:tc>
        <w:tc>
          <w:tcPr>
            <w:tcW w:w="530" w:type="pct"/>
            <w:tcBorders>
              <w:top w:val="nil"/>
              <w:left w:val="nil"/>
              <w:bottom w:val="single" w:color="auto" w:sz="4" w:space="0"/>
              <w:right w:val="single" w:color="auto" w:sz="4" w:space="0"/>
            </w:tcBorders>
            <w:shd w:val="clear" w:color="auto" w:fill="auto"/>
            <w:noWrap/>
            <w:vAlign w:val="center"/>
          </w:tcPr>
          <w:p w14:paraId="69959CAE">
            <w:pPr>
              <w:widowControl/>
              <w:spacing w:line="276" w:lineRule="auto"/>
              <w:ind w:firstLine="0" w:firstLineChars="0"/>
              <w:jc w:val="center"/>
              <w:rPr>
                <w:rFonts w:cs="Times New Roman"/>
                <w:kern w:val="0"/>
                <w:szCs w:val="24"/>
              </w:rPr>
            </w:pPr>
            <w:r>
              <w:rPr>
                <w:rFonts w:cs="Times New Roman"/>
                <w:kern w:val="0"/>
                <w:szCs w:val="24"/>
              </w:rPr>
              <w:t xml:space="preserve">1.38 </w:t>
            </w:r>
          </w:p>
        </w:tc>
      </w:tr>
      <w:tr w14:paraId="6F7ED029">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02B8C336">
            <w:pPr>
              <w:widowControl/>
              <w:spacing w:line="276" w:lineRule="auto"/>
              <w:ind w:firstLine="0" w:firstLineChars="0"/>
              <w:jc w:val="center"/>
              <w:rPr>
                <w:rFonts w:cs="Times New Roman"/>
                <w:kern w:val="0"/>
                <w:szCs w:val="24"/>
              </w:rPr>
            </w:pPr>
            <w:r>
              <w:rPr>
                <w:rFonts w:cs="Times New Roman"/>
                <w:kern w:val="0"/>
                <w:szCs w:val="24"/>
              </w:rPr>
              <w:t>JZQ054</w:t>
            </w:r>
          </w:p>
        </w:tc>
        <w:tc>
          <w:tcPr>
            <w:tcW w:w="914" w:type="pct"/>
            <w:tcBorders>
              <w:top w:val="nil"/>
              <w:left w:val="nil"/>
              <w:bottom w:val="single" w:color="auto" w:sz="4" w:space="0"/>
              <w:right w:val="single" w:color="auto" w:sz="4" w:space="0"/>
            </w:tcBorders>
            <w:shd w:val="clear" w:color="auto" w:fill="auto"/>
            <w:vAlign w:val="center"/>
          </w:tcPr>
          <w:p w14:paraId="0525A146">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融信澜天区域</w:t>
            </w:r>
          </w:p>
        </w:tc>
        <w:tc>
          <w:tcPr>
            <w:tcW w:w="3201" w:type="pct"/>
            <w:tcBorders>
              <w:top w:val="nil"/>
              <w:left w:val="nil"/>
              <w:bottom w:val="single" w:color="auto" w:sz="4" w:space="0"/>
              <w:right w:val="single" w:color="auto" w:sz="4" w:space="0"/>
            </w:tcBorders>
            <w:shd w:val="clear" w:color="auto" w:fill="auto"/>
            <w:vAlign w:val="center"/>
          </w:tcPr>
          <w:p w14:paraId="0FA8A5D2">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审知路→西垅佳园西侧边界→战坂路→福飞北路→坂中路→厦坊路→坂中综合楼西侧边界→战坂路→晋安区第三实验小学东侧及北侧边界→审知路</w:t>
            </w:r>
          </w:p>
        </w:tc>
        <w:tc>
          <w:tcPr>
            <w:tcW w:w="530" w:type="pct"/>
            <w:tcBorders>
              <w:top w:val="nil"/>
              <w:left w:val="nil"/>
              <w:bottom w:val="single" w:color="auto" w:sz="4" w:space="0"/>
              <w:right w:val="single" w:color="auto" w:sz="4" w:space="0"/>
            </w:tcBorders>
            <w:shd w:val="clear" w:color="auto" w:fill="auto"/>
            <w:noWrap/>
            <w:vAlign w:val="center"/>
          </w:tcPr>
          <w:p w14:paraId="53EE13EA">
            <w:pPr>
              <w:widowControl/>
              <w:spacing w:line="276" w:lineRule="auto"/>
              <w:ind w:firstLine="0" w:firstLineChars="0"/>
              <w:jc w:val="center"/>
              <w:rPr>
                <w:rFonts w:cs="Times New Roman"/>
                <w:kern w:val="0"/>
                <w:szCs w:val="24"/>
              </w:rPr>
            </w:pPr>
            <w:r>
              <w:rPr>
                <w:rFonts w:cs="Times New Roman"/>
                <w:kern w:val="0"/>
                <w:szCs w:val="24"/>
              </w:rPr>
              <w:t xml:space="preserve">0.50 </w:t>
            </w:r>
          </w:p>
        </w:tc>
      </w:tr>
      <w:tr w14:paraId="0D902B7D">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F049673">
            <w:pPr>
              <w:widowControl/>
              <w:spacing w:line="276" w:lineRule="auto"/>
              <w:ind w:firstLine="0" w:firstLineChars="0"/>
              <w:jc w:val="center"/>
              <w:rPr>
                <w:rFonts w:cs="Times New Roman"/>
                <w:kern w:val="0"/>
                <w:szCs w:val="24"/>
              </w:rPr>
            </w:pPr>
            <w:r>
              <w:rPr>
                <w:rFonts w:cs="Times New Roman"/>
                <w:kern w:val="0"/>
                <w:szCs w:val="24"/>
              </w:rPr>
              <w:t>JZQ055</w:t>
            </w:r>
          </w:p>
        </w:tc>
        <w:tc>
          <w:tcPr>
            <w:tcW w:w="914" w:type="pct"/>
            <w:tcBorders>
              <w:top w:val="nil"/>
              <w:left w:val="nil"/>
              <w:bottom w:val="single" w:color="auto" w:sz="4" w:space="0"/>
              <w:right w:val="single" w:color="auto" w:sz="4" w:space="0"/>
            </w:tcBorders>
            <w:shd w:val="clear" w:color="auto" w:fill="auto"/>
            <w:vAlign w:val="center"/>
          </w:tcPr>
          <w:p w14:paraId="1E0CA6CD">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秀山中学区域</w:t>
            </w:r>
          </w:p>
        </w:tc>
        <w:tc>
          <w:tcPr>
            <w:tcW w:w="3201" w:type="pct"/>
            <w:tcBorders>
              <w:top w:val="nil"/>
              <w:left w:val="nil"/>
              <w:bottom w:val="single" w:color="auto" w:sz="4" w:space="0"/>
              <w:right w:val="single" w:color="auto" w:sz="4" w:space="0"/>
            </w:tcBorders>
            <w:shd w:val="clear" w:color="auto" w:fill="auto"/>
            <w:vAlign w:val="center"/>
          </w:tcPr>
          <w:p w14:paraId="6667C509">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审知路→厦坊路→坂中路→秀峰路</w:t>
            </w:r>
          </w:p>
        </w:tc>
        <w:tc>
          <w:tcPr>
            <w:tcW w:w="530" w:type="pct"/>
            <w:tcBorders>
              <w:top w:val="nil"/>
              <w:left w:val="nil"/>
              <w:bottom w:val="single" w:color="auto" w:sz="4" w:space="0"/>
              <w:right w:val="single" w:color="auto" w:sz="4" w:space="0"/>
            </w:tcBorders>
            <w:shd w:val="clear" w:color="auto" w:fill="auto"/>
            <w:noWrap/>
            <w:vAlign w:val="center"/>
          </w:tcPr>
          <w:p w14:paraId="35FEDDCF">
            <w:pPr>
              <w:widowControl/>
              <w:spacing w:line="276" w:lineRule="auto"/>
              <w:ind w:firstLine="0" w:firstLineChars="0"/>
              <w:jc w:val="center"/>
              <w:rPr>
                <w:rFonts w:cs="Times New Roman"/>
                <w:kern w:val="0"/>
                <w:szCs w:val="24"/>
              </w:rPr>
            </w:pPr>
            <w:r>
              <w:rPr>
                <w:rFonts w:cs="Times New Roman"/>
                <w:kern w:val="0"/>
                <w:szCs w:val="24"/>
              </w:rPr>
              <w:t xml:space="preserve">2.00 </w:t>
            </w:r>
          </w:p>
        </w:tc>
      </w:tr>
      <w:tr w14:paraId="7AAACDD9">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6EE1135A">
            <w:pPr>
              <w:widowControl/>
              <w:spacing w:line="276" w:lineRule="auto"/>
              <w:ind w:firstLine="0" w:firstLineChars="0"/>
              <w:jc w:val="center"/>
              <w:rPr>
                <w:rFonts w:cs="Times New Roman"/>
                <w:kern w:val="0"/>
                <w:szCs w:val="24"/>
              </w:rPr>
            </w:pPr>
            <w:r>
              <w:rPr>
                <w:rFonts w:cs="Times New Roman"/>
                <w:kern w:val="0"/>
                <w:szCs w:val="24"/>
              </w:rPr>
              <w:t>JZQ056</w:t>
            </w:r>
          </w:p>
        </w:tc>
        <w:tc>
          <w:tcPr>
            <w:tcW w:w="914" w:type="pct"/>
            <w:tcBorders>
              <w:top w:val="nil"/>
              <w:left w:val="nil"/>
              <w:bottom w:val="single" w:color="auto" w:sz="4" w:space="0"/>
              <w:right w:val="single" w:color="auto" w:sz="4" w:space="0"/>
            </w:tcBorders>
            <w:shd w:val="clear" w:color="auto" w:fill="auto"/>
            <w:vAlign w:val="center"/>
          </w:tcPr>
          <w:p w14:paraId="4BB065B2">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翠湖山庄区域</w:t>
            </w:r>
          </w:p>
        </w:tc>
        <w:tc>
          <w:tcPr>
            <w:tcW w:w="3201" w:type="pct"/>
            <w:tcBorders>
              <w:top w:val="nil"/>
              <w:left w:val="nil"/>
              <w:bottom w:val="single" w:color="auto" w:sz="4" w:space="0"/>
              <w:right w:val="single" w:color="auto" w:sz="4" w:space="0"/>
            </w:tcBorders>
            <w:shd w:val="clear" w:color="auto" w:fill="auto"/>
            <w:vAlign w:val="center"/>
          </w:tcPr>
          <w:p w14:paraId="493A3D33">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赤桥溪河道以西建筑物边界→林产品质量检测中心以西山体边界→翠湖山庄边界→八一水库西侧边界</w:t>
            </w:r>
          </w:p>
        </w:tc>
        <w:tc>
          <w:tcPr>
            <w:tcW w:w="530" w:type="pct"/>
            <w:tcBorders>
              <w:top w:val="nil"/>
              <w:left w:val="nil"/>
              <w:bottom w:val="single" w:color="auto" w:sz="4" w:space="0"/>
              <w:right w:val="single" w:color="auto" w:sz="4" w:space="0"/>
            </w:tcBorders>
            <w:shd w:val="clear" w:color="auto" w:fill="auto"/>
            <w:noWrap/>
            <w:vAlign w:val="center"/>
          </w:tcPr>
          <w:p w14:paraId="5A4A97B4">
            <w:pPr>
              <w:widowControl/>
              <w:spacing w:line="276" w:lineRule="auto"/>
              <w:ind w:firstLine="0" w:firstLineChars="0"/>
              <w:jc w:val="center"/>
              <w:rPr>
                <w:rFonts w:cs="Times New Roman"/>
                <w:kern w:val="0"/>
                <w:szCs w:val="24"/>
              </w:rPr>
            </w:pPr>
            <w:r>
              <w:rPr>
                <w:rFonts w:cs="Times New Roman"/>
                <w:kern w:val="0"/>
                <w:szCs w:val="24"/>
              </w:rPr>
              <w:t xml:space="preserve">0.31 </w:t>
            </w:r>
          </w:p>
        </w:tc>
      </w:tr>
      <w:tr w14:paraId="04FEE026">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05A7E889">
            <w:pPr>
              <w:widowControl/>
              <w:spacing w:line="276" w:lineRule="auto"/>
              <w:ind w:firstLine="0" w:firstLineChars="0"/>
              <w:jc w:val="center"/>
              <w:rPr>
                <w:rFonts w:cs="Times New Roman"/>
                <w:kern w:val="0"/>
                <w:szCs w:val="24"/>
              </w:rPr>
            </w:pPr>
            <w:r>
              <w:rPr>
                <w:rFonts w:cs="Times New Roman"/>
                <w:kern w:val="0"/>
                <w:szCs w:val="24"/>
              </w:rPr>
              <w:t>JZQ057</w:t>
            </w:r>
          </w:p>
        </w:tc>
        <w:tc>
          <w:tcPr>
            <w:tcW w:w="914" w:type="pct"/>
            <w:tcBorders>
              <w:top w:val="nil"/>
              <w:left w:val="nil"/>
              <w:bottom w:val="single" w:color="auto" w:sz="4" w:space="0"/>
              <w:right w:val="single" w:color="auto" w:sz="4" w:space="0"/>
            </w:tcBorders>
            <w:shd w:val="clear" w:color="auto" w:fill="auto"/>
            <w:vAlign w:val="center"/>
          </w:tcPr>
          <w:p w14:paraId="15907610">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福州神康医院区域</w:t>
            </w:r>
          </w:p>
        </w:tc>
        <w:tc>
          <w:tcPr>
            <w:tcW w:w="3201" w:type="pct"/>
            <w:tcBorders>
              <w:top w:val="nil"/>
              <w:left w:val="nil"/>
              <w:bottom w:val="single" w:color="auto" w:sz="4" w:space="0"/>
              <w:right w:val="single" w:color="auto" w:sz="4" w:space="0"/>
            </w:tcBorders>
            <w:shd w:val="clear" w:color="auto" w:fill="auto"/>
            <w:vAlign w:val="center"/>
          </w:tcPr>
          <w:p w14:paraId="620DF051">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古松花园、古榕花园北侧边界→八一水库东侧边界→蓝盾路→福飞北路→古松花园东侧边界</w:t>
            </w:r>
          </w:p>
        </w:tc>
        <w:tc>
          <w:tcPr>
            <w:tcW w:w="530" w:type="pct"/>
            <w:tcBorders>
              <w:top w:val="nil"/>
              <w:left w:val="nil"/>
              <w:bottom w:val="single" w:color="auto" w:sz="4" w:space="0"/>
              <w:right w:val="single" w:color="auto" w:sz="4" w:space="0"/>
            </w:tcBorders>
            <w:shd w:val="clear" w:color="auto" w:fill="auto"/>
            <w:noWrap/>
            <w:vAlign w:val="center"/>
          </w:tcPr>
          <w:p w14:paraId="4BC94F95">
            <w:pPr>
              <w:widowControl/>
              <w:spacing w:line="276" w:lineRule="auto"/>
              <w:ind w:firstLine="0" w:firstLineChars="0"/>
              <w:jc w:val="center"/>
              <w:rPr>
                <w:rFonts w:cs="Times New Roman"/>
                <w:kern w:val="0"/>
                <w:szCs w:val="24"/>
              </w:rPr>
            </w:pPr>
            <w:r>
              <w:rPr>
                <w:rFonts w:cs="Times New Roman"/>
                <w:kern w:val="0"/>
                <w:szCs w:val="24"/>
              </w:rPr>
              <w:t xml:space="preserve">0.31 </w:t>
            </w:r>
          </w:p>
        </w:tc>
      </w:tr>
      <w:tr w14:paraId="6EB37AA0">
        <w:tblPrEx>
          <w:tblCellMar>
            <w:top w:w="0" w:type="dxa"/>
            <w:left w:w="108" w:type="dxa"/>
            <w:bottom w:w="0" w:type="dxa"/>
            <w:right w:w="108" w:type="dxa"/>
          </w:tblCellMar>
        </w:tblPrEx>
        <w:trPr>
          <w:trHeight w:val="20" w:hRule="atLeast"/>
        </w:trPr>
        <w:tc>
          <w:tcPr>
            <w:tcW w:w="355" w:type="pct"/>
            <w:tcBorders>
              <w:top w:val="nil"/>
              <w:left w:val="single" w:color="auto" w:sz="4" w:space="0"/>
              <w:bottom w:val="single" w:color="auto" w:sz="4" w:space="0"/>
              <w:right w:val="single" w:color="auto" w:sz="4" w:space="0"/>
            </w:tcBorders>
            <w:shd w:val="clear" w:color="auto" w:fill="auto"/>
            <w:noWrap/>
            <w:vAlign w:val="center"/>
          </w:tcPr>
          <w:p w14:paraId="40E9BD30">
            <w:pPr>
              <w:widowControl/>
              <w:spacing w:line="276" w:lineRule="auto"/>
              <w:ind w:firstLine="0" w:firstLineChars="0"/>
              <w:jc w:val="center"/>
              <w:rPr>
                <w:rFonts w:cs="Times New Roman"/>
                <w:kern w:val="0"/>
                <w:szCs w:val="24"/>
              </w:rPr>
            </w:pPr>
            <w:r>
              <w:rPr>
                <w:rFonts w:cs="Times New Roman"/>
                <w:kern w:val="0"/>
                <w:szCs w:val="24"/>
              </w:rPr>
              <w:t>JZQ058</w:t>
            </w:r>
          </w:p>
        </w:tc>
        <w:tc>
          <w:tcPr>
            <w:tcW w:w="914" w:type="pct"/>
            <w:tcBorders>
              <w:top w:val="nil"/>
              <w:left w:val="nil"/>
              <w:bottom w:val="single" w:color="auto" w:sz="4" w:space="0"/>
              <w:right w:val="single" w:color="auto" w:sz="4" w:space="0"/>
            </w:tcBorders>
            <w:shd w:val="clear" w:color="auto" w:fill="auto"/>
            <w:vAlign w:val="center"/>
          </w:tcPr>
          <w:p w14:paraId="620BBACB">
            <w:pPr>
              <w:widowControl/>
              <w:spacing w:line="276" w:lineRule="auto"/>
              <w:ind w:firstLine="0" w:firstLineChars="0"/>
              <w:jc w:val="center"/>
              <w:rPr>
                <w:rFonts w:ascii="宋体" w:hAnsi="宋体" w:cs="宋体"/>
                <w:kern w:val="0"/>
                <w:szCs w:val="24"/>
              </w:rPr>
            </w:pPr>
            <w:r>
              <w:rPr>
                <w:rFonts w:hint="eastAsia" w:ascii="宋体" w:hAnsi="宋体" w:cs="宋体"/>
                <w:kern w:val="0"/>
                <w:szCs w:val="24"/>
              </w:rPr>
              <w:t>埠兴新苑区域</w:t>
            </w:r>
          </w:p>
        </w:tc>
        <w:tc>
          <w:tcPr>
            <w:tcW w:w="3201" w:type="pct"/>
            <w:tcBorders>
              <w:top w:val="nil"/>
              <w:left w:val="nil"/>
              <w:bottom w:val="single" w:color="auto" w:sz="4" w:space="0"/>
              <w:right w:val="single" w:color="auto" w:sz="4" w:space="0"/>
            </w:tcBorders>
            <w:shd w:val="clear" w:color="auto" w:fill="auto"/>
            <w:vAlign w:val="center"/>
          </w:tcPr>
          <w:p w14:paraId="7709EE36">
            <w:pPr>
              <w:widowControl/>
              <w:spacing w:line="276" w:lineRule="auto"/>
              <w:ind w:firstLine="0" w:firstLineChars="0"/>
              <w:jc w:val="left"/>
              <w:rPr>
                <w:rFonts w:ascii="宋体" w:hAnsi="宋体" w:cs="宋体"/>
                <w:kern w:val="0"/>
                <w:szCs w:val="24"/>
              </w:rPr>
            </w:pPr>
            <w:r>
              <w:rPr>
                <w:rFonts w:hint="eastAsia" w:ascii="宋体" w:hAnsi="宋体" w:cs="宋体"/>
                <w:kern w:val="0"/>
                <w:szCs w:val="24"/>
              </w:rPr>
              <w:t>福建理工大学鳝溪校区北侧及西侧边界→福州机场高速→洋里新苑南侧边界→洋里新苑东侧山体边界及其东北向石鼓琴湾延伸线→石鼓琴湾东侧山体边界→福建理工大学鳝溪校区东侧边界</w:t>
            </w:r>
          </w:p>
        </w:tc>
        <w:tc>
          <w:tcPr>
            <w:tcW w:w="530" w:type="pct"/>
            <w:tcBorders>
              <w:top w:val="nil"/>
              <w:left w:val="nil"/>
              <w:bottom w:val="single" w:color="auto" w:sz="4" w:space="0"/>
              <w:right w:val="single" w:color="auto" w:sz="4" w:space="0"/>
            </w:tcBorders>
            <w:shd w:val="clear" w:color="auto" w:fill="auto"/>
            <w:noWrap/>
            <w:vAlign w:val="center"/>
          </w:tcPr>
          <w:p w14:paraId="5304801B">
            <w:pPr>
              <w:widowControl/>
              <w:spacing w:line="276" w:lineRule="auto"/>
              <w:ind w:firstLine="0" w:firstLineChars="0"/>
              <w:jc w:val="center"/>
              <w:rPr>
                <w:rFonts w:cs="Times New Roman"/>
                <w:kern w:val="0"/>
                <w:szCs w:val="24"/>
              </w:rPr>
            </w:pPr>
            <w:r>
              <w:rPr>
                <w:rFonts w:cs="Times New Roman"/>
                <w:kern w:val="0"/>
                <w:szCs w:val="24"/>
              </w:rPr>
              <w:t xml:space="preserve">1.98 </w:t>
            </w:r>
          </w:p>
        </w:tc>
      </w:tr>
    </w:tbl>
    <w:p w14:paraId="30A41D1C"/>
    <w:p w14:paraId="7416D399"/>
    <w:p w14:paraId="7EBB3D0E">
      <w:pPr>
        <w:sectPr>
          <w:pgSz w:w="16838" w:h="11906" w:orient="landscape"/>
          <w:pgMar w:top="1800" w:right="1440" w:bottom="1800" w:left="1440" w:header="851" w:footer="992" w:gutter="0"/>
          <w:cols w:space="425" w:num="1"/>
          <w:docGrid w:type="lines" w:linePitch="326" w:charSpace="0"/>
        </w:sectPr>
      </w:pPr>
    </w:p>
    <w:p w14:paraId="0F5BE828">
      <w:pPr>
        <w:pStyle w:val="2"/>
      </w:pPr>
      <w:r>
        <w:rPr>
          <w:rFonts w:hint="eastAsia"/>
        </w:rPr>
        <w:t>附件</w:t>
      </w:r>
    </w:p>
    <w:p w14:paraId="418635E4">
      <w:pPr>
        <w:ind w:firstLine="0" w:firstLineChars="0"/>
        <w:sectPr>
          <w:pgSz w:w="11906" w:h="16838"/>
          <w:pgMar w:top="1440" w:right="1800" w:bottom="1440" w:left="1800" w:header="851" w:footer="992" w:gutter="0"/>
          <w:cols w:space="425" w:num="1"/>
          <w:docGrid w:type="lines" w:linePitch="312" w:charSpace="0"/>
        </w:sectPr>
      </w:pPr>
      <w:r>
        <w:drawing>
          <wp:inline distT="0" distB="0" distL="0" distR="0">
            <wp:extent cx="5234305" cy="7442200"/>
            <wp:effectExtent l="0" t="0" r="4445" b="63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1"/>
                    <a:stretch>
                      <a:fillRect/>
                    </a:stretch>
                  </pic:blipFill>
                  <pic:spPr>
                    <a:xfrm>
                      <a:off x="0" y="0"/>
                      <a:ext cx="5245140" cy="7457241"/>
                    </a:xfrm>
                    <a:prstGeom prst="rect">
                      <a:avLst/>
                    </a:prstGeom>
                  </pic:spPr>
                </pic:pic>
              </a:graphicData>
            </a:graphic>
          </wp:inline>
        </w:drawing>
      </w:r>
    </w:p>
    <w:p w14:paraId="45885C77">
      <w:pPr>
        <w:ind w:firstLine="0" w:firstLineChars="0"/>
        <w:jc w:val="center"/>
        <w:rPr>
          <w:rFonts w:hint="eastAsia"/>
        </w:rPr>
      </w:pPr>
      <w:r>
        <w:drawing>
          <wp:inline distT="0" distB="0" distL="0" distR="0">
            <wp:extent cx="12065000" cy="83439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2" cstate="print">
                      <a:extLst>
                        <a:ext uri="{28A0092B-C50C-407E-A947-70E740481C1C}">
                          <a14:useLocalDpi xmlns:a14="http://schemas.microsoft.com/office/drawing/2010/main" val="0"/>
                        </a:ext>
                      </a:extLst>
                    </a:blip>
                    <a:srcRect l="3145" t="1154" b="4131"/>
                    <a:stretch>
                      <a:fillRect/>
                    </a:stretch>
                  </pic:blipFill>
                  <pic:spPr>
                    <a:xfrm>
                      <a:off x="0" y="0"/>
                      <a:ext cx="12090428" cy="8361382"/>
                    </a:xfrm>
                    <a:prstGeom prst="rect">
                      <a:avLst/>
                    </a:prstGeom>
                    <a:noFill/>
                    <a:ln>
                      <a:noFill/>
                    </a:ln>
                  </pic:spPr>
                </pic:pic>
              </a:graphicData>
            </a:graphic>
          </wp:inline>
        </w:drawing>
      </w:r>
    </w:p>
    <w:sectPr>
      <w:pgSz w:w="23811" w:h="16838" w:orient="landscape"/>
      <w:pgMar w:top="1800" w:right="1440" w:bottom="1800" w:left="1440"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华文中宋">
    <w:altName w:val="宋体"/>
    <w:panose1 w:val="02010600040101010101"/>
    <w:charset w:val="86"/>
    <w:family w:val="auto"/>
    <w:pitch w:val="default"/>
    <w:sig w:usb0="00000000" w:usb1="0000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54418910"/>
      <w:docPartObj>
        <w:docPartGallery w:val="autotext"/>
      </w:docPartObj>
    </w:sdtPr>
    <w:sdtContent>
      <w:p w14:paraId="21B1AAC1">
        <w:pPr>
          <w:pStyle w:val="12"/>
          <w:ind w:firstLine="360"/>
          <w:jc w:val="center"/>
        </w:pPr>
        <w:r>
          <w:fldChar w:fldCharType="begin"/>
        </w:r>
        <w:r>
          <w:instrText xml:space="preserve">PAGE   \* MERGEFORMAT</w:instrText>
        </w:r>
        <w:r>
          <w:fldChar w:fldCharType="separate"/>
        </w:r>
        <w:r>
          <w:rPr>
            <w:lang w:val="zh-CN"/>
          </w:rPr>
          <w:t>2</w:t>
        </w:r>
        <w:r>
          <w:fldChar w:fldCharType="end"/>
        </w:r>
      </w:p>
    </w:sdtContent>
  </w:sdt>
  <w:p w14:paraId="117703C0">
    <w:pPr>
      <w:pStyle w:val="1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48809">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2D4D8">
    <w:pPr>
      <w:pStyle w:val="1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D504CC5"/>
    <w:multiLevelType w:val="multilevel"/>
    <w:tmpl w:val="4D504CC5"/>
    <w:lvl w:ilvl="0" w:tentative="0">
      <w:start w:val="1"/>
      <w:numFmt w:val="decimal"/>
      <w:pStyle w:val="2"/>
      <w:lvlText w:val="%1"/>
      <w:lvlJc w:val="left"/>
      <w:pPr>
        <w:ind w:left="425" w:hanging="425"/>
      </w:pPr>
      <w:rPr>
        <w:rFonts w:hint="eastAsia"/>
      </w:rPr>
    </w:lvl>
    <w:lvl w:ilvl="1" w:tentative="0">
      <w:start w:val="1"/>
      <w:numFmt w:val="decimal"/>
      <w:pStyle w:val="3"/>
      <w:lvlText w:val="%1.%2"/>
      <w:lvlJc w:val="left"/>
      <w:pPr>
        <w:tabs>
          <w:tab w:val="left" w:pos="567"/>
        </w:tabs>
        <w:ind w:left="567" w:hanging="567"/>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2" w:tentative="0">
      <w:start w:val="1"/>
      <w:numFmt w:val="decimal"/>
      <w:pStyle w:val="4"/>
      <w:lvlText w:val="%1.%2.%3"/>
      <w:lvlJc w:val="left"/>
      <w:pPr>
        <w:tabs>
          <w:tab w:val="left" w:pos="709"/>
        </w:tabs>
        <w:ind w:left="709" w:hanging="709"/>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3" w:tentative="0">
      <w:start w:val="1"/>
      <w:numFmt w:val="decimal"/>
      <w:pStyle w:val="5"/>
      <w:lvlText w:val="%1.%2.%3.%4"/>
      <w:lvlJc w:val="left"/>
      <w:pPr>
        <w:tabs>
          <w:tab w:val="left" w:pos="851"/>
        </w:tabs>
        <w:ind w:left="851" w:hanging="851"/>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4" w:tentative="0">
      <w:start w:val="1"/>
      <w:numFmt w:val="decimal"/>
      <w:pStyle w:val="6"/>
      <w:lvlText w:val="%1.%2.%3.%4.%5"/>
      <w:lvlJc w:val="left"/>
      <w:pPr>
        <w:ind w:left="2551" w:hanging="850"/>
      </w:p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
    <w:nsid w:val="4F4A0FEA"/>
    <w:multiLevelType w:val="multilevel"/>
    <w:tmpl w:val="4F4A0FEA"/>
    <w:lvl w:ilvl="0" w:tentative="0">
      <w:start w:val="1"/>
      <w:numFmt w:val="decimal"/>
      <w:isLgl/>
      <w:suff w:val="space"/>
      <w:lvlText w:val="%1"/>
      <w:lvlJc w:val="left"/>
      <w:pPr>
        <w:ind w:left="0" w:firstLine="0"/>
      </w:pPr>
      <w:rPr>
        <w:rFonts w:hint="eastAsia" w:eastAsia="黑体"/>
        <w:b/>
        <w:i w:val="0"/>
        <w:sz w:val="32"/>
      </w:rPr>
    </w:lvl>
    <w:lvl w:ilvl="1" w:tentative="0">
      <w:start w:val="1"/>
      <w:numFmt w:val="decimal"/>
      <w:suff w:val="space"/>
      <w:lvlText w:val="%1.%2"/>
      <w:lvlJc w:val="left"/>
      <w:pPr>
        <w:ind w:left="0" w:firstLine="0"/>
      </w:pPr>
      <w:rPr>
        <w:rFonts w:hint="eastAsia" w:eastAsia="黑体"/>
        <w:b/>
        <w:i w:val="0"/>
        <w:sz w:val="30"/>
      </w:rPr>
    </w:lvl>
    <w:lvl w:ilvl="2" w:tentative="0">
      <w:start w:val="1"/>
      <w:numFmt w:val="decimal"/>
      <w:suff w:val="space"/>
      <w:lvlText w:val="%1.%2.%3"/>
      <w:lvlJc w:val="left"/>
      <w:pPr>
        <w:ind w:left="0" w:firstLine="0"/>
      </w:pPr>
      <w:rPr>
        <w:rFonts w:hint="eastAsia" w:eastAsia="宋体"/>
        <w:b/>
        <w:i w:val="0"/>
        <w:sz w:val="28"/>
      </w:rPr>
    </w:lvl>
    <w:lvl w:ilvl="3" w:tentative="0">
      <w:start w:val="1"/>
      <w:numFmt w:val="decimal"/>
      <w:pStyle w:val="45"/>
      <w:suff w:val="space"/>
      <w:lvlText w:val="%1.%2.%3.%4"/>
      <w:lvlJc w:val="left"/>
      <w:pPr>
        <w:ind w:left="0" w:firstLine="0"/>
      </w:pPr>
      <w:rPr>
        <w:rFonts w:hint="eastAsia" w:eastAsia="宋体"/>
        <w:b/>
        <w:i w:val="0"/>
        <w:sz w:val="24"/>
      </w:rPr>
    </w:lvl>
    <w:lvl w:ilvl="4" w:tentative="0">
      <w:start w:val="1"/>
      <w:numFmt w:val="decimal"/>
      <w:suff w:val="space"/>
      <w:lvlText w:val=" ( %5 )"/>
      <w:lvlJc w:val="left"/>
      <w:pPr>
        <w:ind w:left="0" w:firstLine="0"/>
      </w:pPr>
      <w:rPr>
        <w:rFonts w:hint="eastAsia"/>
        <w:b/>
        <w:i w:val="0"/>
        <w:sz w:val="24"/>
      </w:rPr>
    </w:lvl>
    <w:lvl w:ilvl="5" w:tentative="0">
      <w:start w:val="1"/>
      <w:numFmt w:val="decimalEnclosedCircle"/>
      <w:suff w:val="space"/>
      <w:lvlText w:val="%6"/>
      <w:lvlJc w:val="left"/>
      <w:pPr>
        <w:ind w:left="0" w:firstLine="0"/>
      </w:pPr>
      <w:rPr>
        <w:rFonts w:hint="eastAsia"/>
      </w:rPr>
    </w:lvl>
    <w:lvl w:ilvl="6" w:tentative="0">
      <w:start w:val="1"/>
      <w:numFmt w:val="decimal"/>
      <w:lvlText w:val="%1.%2.%3.%4.%5.%6.%7"/>
      <w:lvlJc w:val="left"/>
      <w:pPr>
        <w:tabs>
          <w:tab w:val="left" w:pos="4315"/>
        </w:tabs>
        <w:ind w:left="4315" w:hanging="1276"/>
      </w:pPr>
      <w:rPr>
        <w:rFonts w:hint="eastAsia"/>
      </w:rPr>
    </w:lvl>
    <w:lvl w:ilvl="7" w:tentative="0">
      <w:start w:val="1"/>
      <w:numFmt w:val="decimal"/>
      <w:lvlText w:val="%1.%2.%3.%4.%5.%6.%7.%8"/>
      <w:lvlJc w:val="left"/>
      <w:pPr>
        <w:tabs>
          <w:tab w:val="left" w:pos="4882"/>
        </w:tabs>
        <w:ind w:left="4882" w:hanging="1418"/>
      </w:pPr>
      <w:rPr>
        <w:rFonts w:hint="eastAsia"/>
      </w:rPr>
    </w:lvl>
    <w:lvl w:ilvl="8" w:tentative="0">
      <w:start w:val="1"/>
      <w:numFmt w:val="decimal"/>
      <w:lvlText w:val="%1.%2.%3.%4.%5.%6.%7.%8.%9"/>
      <w:lvlJc w:val="left"/>
      <w:pPr>
        <w:tabs>
          <w:tab w:val="left" w:pos="5590"/>
        </w:tabs>
        <w:ind w:left="5590" w:hanging="1700"/>
      </w:pPr>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hideSpellingErrors/>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ocumentProtection w:enforcement="0"/>
  <w:defaultTabStop w:val="420"/>
  <w:drawingGridHorizontalSpacing w:val="120"/>
  <w:drawingGridVerticalSpacing w:val="163"/>
  <w:displayHorizontalDrawingGridEvery w:val="2"/>
  <w:displayVerticalDrawingGridEvery w:val="2"/>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MzMTVjNGJlNGY4OTZlOGQwYjZlMTcxMGI3ODhkNDkifQ=="/>
  </w:docVars>
  <w:rsids>
    <w:rsidRoot w:val="004D1588"/>
    <w:rsid w:val="00020951"/>
    <w:rsid w:val="000337E5"/>
    <w:rsid w:val="0004013B"/>
    <w:rsid w:val="000550CB"/>
    <w:rsid w:val="000569C6"/>
    <w:rsid w:val="0007798B"/>
    <w:rsid w:val="000901F0"/>
    <w:rsid w:val="000A70DA"/>
    <w:rsid w:val="000D451B"/>
    <w:rsid w:val="000F1CE3"/>
    <w:rsid w:val="00107292"/>
    <w:rsid w:val="0012113B"/>
    <w:rsid w:val="00123D80"/>
    <w:rsid w:val="00134AEB"/>
    <w:rsid w:val="001468C7"/>
    <w:rsid w:val="001715CE"/>
    <w:rsid w:val="00173CF6"/>
    <w:rsid w:val="001A0CE3"/>
    <w:rsid w:val="001B01D1"/>
    <w:rsid w:val="001D1302"/>
    <w:rsid w:val="001E03D0"/>
    <w:rsid w:val="001E191C"/>
    <w:rsid w:val="001E559A"/>
    <w:rsid w:val="001F5763"/>
    <w:rsid w:val="00200624"/>
    <w:rsid w:val="00202E88"/>
    <w:rsid w:val="0020672B"/>
    <w:rsid w:val="00212B54"/>
    <w:rsid w:val="002240B3"/>
    <w:rsid w:val="00241532"/>
    <w:rsid w:val="002471A1"/>
    <w:rsid w:val="002549A0"/>
    <w:rsid w:val="00270931"/>
    <w:rsid w:val="0027478D"/>
    <w:rsid w:val="002867E8"/>
    <w:rsid w:val="002A7124"/>
    <w:rsid w:val="002C2F70"/>
    <w:rsid w:val="002C4710"/>
    <w:rsid w:val="002D3135"/>
    <w:rsid w:val="002D3D8C"/>
    <w:rsid w:val="002D7E8C"/>
    <w:rsid w:val="002E2C37"/>
    <w:rsid w:val="00310B99"/>
    <w:rsid w:val="003127B5"/>
    <w:rsid w:val="0032618D"/>
    <w:rsid w:val="003321D4"/>
    <w:rsid w:val="00332329"/>
    <w:rsid w:val="00334515"/>
    <w:rsid w:val="00344691"/>
    <w:rsid w:val="00347DD6"/>
    <w:rsid w:val="00353947"/>
    <w:rsid w:val="00361D8E"/>
    <w:rsid w:val="00362258"/>
    <w:rsid w:val="00387B30"/>
    <w:rsid w:val="00394365"/>
    <w:rsid w:val="00397E70"/>
    <w:rsid w:val="003A65BE"/>
    <w:rsid w:val="003B1922"/>
    <w:rsid w:val="003B4424"/>
    <w:rsid w:val="003D3A00"/>
    <w:rsid w:val="00403F2C"/>
    <w:rsid w:val="00405CD2"/>
    <w:rsid w:val="00407EBC"/>
    <w:rsid w:val="004175D6"/>
    <w:rsid w:val="00430ABD"/>
    <w:rsid w:val="004319E4"/>
    <w:rsid w:val="00436A20"/>
    <w:rsid w:val="00491BE3"/>
    <w:rsid w:val="004B58C5"/>
    <w:rsid w:val="004D1588"/>
    <w:rsid w:val="004D4477"/>
    <w:rsid w:val="004D6778"/>
    <w:rsid w:val="004F6095"/>
    <w:rsid w:val="004F6103"/>
    <w:rsid w:val="00506F86"/>
    <w:rsid w:val="005123A9"/>
    <w:rsid w:val="005263B0"/>
    <w:rsid w:val="005354F4"/>
    <w:rsid w:val="0054153D"/>
    <w:rsid w:val="00541C30"/>
    <w:rsid w:val="00557575"/>
    <w:rsid w:val="00565792"/>
    <w:rsid w:val="0057016B"/>
    <w:rsid w:val="00573DE1"/>
    <w:rsid w:val="005818B3"/>
    <w:rsid w:val="005909A3"/>
    <w:rsid w:val="0059351E"/>
    <w:rsid w:val="005C5999"/>
    <w:rsid w:val="005D4077"/>
    <w:rsid w:val="005D5765"/>
    <w:rsid w:val="00617DED"/>
    <w:rsid w:val="006235D8"/>
    <w:rsid w:val="00631FE3"/>
    <w:rsid w:val="0063601C"/>
    <w:rsid w:val="00662E3C"/>
    <w:rsid w:val="00673C73"/>
    <w:rsid w:val="00686468"/>
    <w:rsid w:val="00692409"/>
    <w:rsid w:val="00696DAB"/>
    <w:rsid w:val="0069709F"/>
    <w:rsid w:val="006A0A3C"/>
    <w:rsid w:val="006A4936"/>
    <w:rsid w:val="00711C87"/>
    <w:rsid w:val="00716013"/>
    <w:rsid w:val="00725DB8"/>
    <w:rsid w:val="00732E3D"/>
    <w:rsid w:val="00741B62"/>
    <w:rsid w:val="00745985"/>
    <w:rsid w:val="00746420"/>
    <w:rsid w:val="00747344"/>
    <w:rsid w:val="00750C34"/>
    <w:rsid w:val="00756269"/>
    <w:rsid w:val="00790C84"/>
    <w:rsid w:val="007C05A6"/>
    <w:rsid w:val="007C7BA9"/>
    <w:rsid w:val="007F52FE"/>
    <w:rsid w:val="00803B66"/>
    <w:rsid w:val="008152AA"/>
    <w:rsid w:val="00854CF6"/>
    <w:rsid w:val="00854FFF"/>
    <w:rsid w:val="00856D65"/>
    <w:rsid w:val="008632E3"/>
    <w:rsid w:val="00882767"/>
    <w:rsid w:val="008852AD"/>
    <w:rsid w:val="008858B9"/>
    <w:rsid w:val="008B4347"/>
    <w:rsid w:val="008D618A"/>
    <w:rsid w:val="008D73EF"/>
    <w:rsid w:val="008E1796"/>
    <w:rsid w:val="008E464F"/>
    <w:rsid w:val="00900D67"/>
    <w:rsid w:val="009373EB"/>
    <w:rsid w:val="00953616"/>
    <w:rsid w:val="0097296F"/>
    <w:rsid w:val="00981809"/>
    <w:rsid w:val="00991698"/>
    <w:rsid w:val="009A0326"/>
    <w:rsid w:val="009B3BC8"/>
    <w:rsid w:val="009B665C"/>
    <w:rsid w:val="009D1E27"/>
    <w:rsid w:val="009E530B"/>
    <w:rsid w:val="00A01B33"/>
    <w:rsid w:val="00A02D9A"/>
    <w:rsid w:val="00A4691A"/>
    <w:rsid w:val="00A51C38"/>
    <w:rsid w:val="00A63295"/>
    <w:rsid w:val="00A864DD"/>
    <w:rsid w:val="00AA66BE"/>
    <w:rsid w:val="00AB63EE"/>
    <w:rsid w:val="00AC0430"/>
    <w:rsid w:val="00AC4EB7"/>
    <w:rsid w:val="00AE2043"/>
    <w:rsid w:val="00AF3A03"/>
    <w:rsid w:val="00AF5BFE"/>
    <w:rsid w:val="00B01FBC"/>
    <w:rsid w:val="00B06803"/>
    <w:rsid w:val="00B068DA"/>
    <w:rsid w:val="00B07E53"/>
    <w:rsid w:val="00B10535"/>
    <w:rsid w:val="00B10A1D"/>
    <w:rsid w:val="00B14D8C"/>
    <w:rsid w:val="00B17208"/>
    <w:rsid w:val="00B220A8"/>
    <w:rsid w:val="00B336AD"/>
    <w:rsid w:val="00B50F64"/>
    <w:rsid w:val="00B5116B"/>
    <w:rsid w:val="00B772FC"/>
    <w:rsid w:val="00BA5FA5"/>
    <w:rsid w:val="00BB0FE1"/>
    <w:rsid w:val="00BB3E68"/>
    <w:rsid w:val="00BF013C"/>
    <w:rsid w:val="00BF14EC"/>
    <w:rsid w:val="00BF2DC8"/>
    <w:rsid w:val="00C04229"/>
    <w:rsid w:val="00C134CC"/>
    <w:rsid w:val="00C22AA0"/>
    <w:rsid w:val="00C4175D"/>
    <w:rsid w:val="00C452DD"/>
    <w:rsid w:val="00C4786C"/>
    <w:rsid w:val="00C50F7C"/>
    <w:rsid w:val="00C6049C"/>
    <w:rsid w:val="00C605C7"/>
    <w:rsid w:val="00C6314B"/>
    <w:rsid w:val="00C70587"/>
    <w:rsid w:val="00C737C7"/>
    <w:rsid w:val="00C773D2"/>
    <w:rsid w:val="00C870F6"/>
    <w:rsid w:val="00C9247B"/>
    <w:rsid w:val="00C96EF2"/>
    <w:rsid w:val="00CB3C40"/>
    <w:rsid w:val="00CC7D1F"/>
    <w:rsid w:val="00CD0555"/>
    <w:rsid w:val="00CE02D0"/>
    <w:rsid w:val="00CF54A9"/>
    <w:rsid w:val="00D03EE6"/>
    <w:rsid w:val="00D20A5A"/>
    <w:rsid w:val="00D30558"/>
    <w:rsid w:val="00D417A5"/>
    <w:rsid w:val="00D4462D"/>
    <w:rsid w:val="00D448D5"/>
    <w:rsid w:val="00D50847"/>
    <w:rsid w:val="00D621D3"/>
    <w:rsid w:val="00D65034"/>
    <w:rsid w:val="00D728A9"/>
    <w:rsid w:val="00D869BA"/>
    <w:rsid w:val="00D9152D"/>
    <w:rsid w:val="00DA1789"/>
    <w:rsid w:val="00DA2B8A"/>
    <w:rsid w:val="00DB4E69"/>
    <w:rsid w:val="00DC09EC"/>
    <w:rsid w:val="00DD031D"/>
    <w:rsid w:val="00DD164B"/>
    <w:rsid w:val="00DE64BE"/>
    <w:rsid w:val="00DE73E1"/>
    <w:rsid w:val="00E158F5"/>
    <w:rsid w:val="00E31342"/>
    <w:rsid w:val="00E36A58"/>
    <w:rsid w:val="00E419B9"/>
    <w:rsid w:val="00E450CF"/>
    <w:rsid w:val="00E62C57"/>
    <w:rsid w:val="00E6436D"/>
    <w:rsid w:val="00E719BF"/>
    <w:rsid w:val="00E76CEE"/>
    <w:rsid w:val="00E77170"/>
    <w:rsid w:val="00E87FC4"/>
    <w:rsid w:val="00EA4928"/>
    <w:rsid w:val="00EB53D2"/>
    <w:rsid w:val="00EC7DC6"/>
    <w:rsid w:val="00ED185F"/>
    <w:rsid w:val="00F2591E"/>
    <w:rsid w:val="00F423B9"/>
    <w:rsid w:val="00F44E7B"/>
    <w:rsid w:val="00F61BE6"/>
    <w:rsid w:val="00F86BFA"/>
    <w:rsid w:val="00F949E1"/>
    <w:rsid w:val="00FA40B3"/>
    <w:rsid w:val="00FD6843"/>
    <w:rsid w:val="00FE6502"/>
    <w:rsid w:val="00FF3A7B"/>
    <w:rsid w:val="21131DEB"/>
    <w:rsid w:val="21905B79"/>
    <w:rsid w:val="33E6071E"/>
    <w:rsid w:val="34DC3F89"/>
    <w:rsid w:val="390E386E"/>
    <w:rsid w:val="41431821"/>
    <w:rsid w:val="44E20CE5"/>
    <w:rsid w:val="4DE11EDF"/>
    <w:rsid w:val="532312DE"/>
    <w:rsid w:val="5A1D69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qFormat="1"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qFormat="1"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name="Body Text First Indent"/>
    <w:lsdException w:uiPriority="99" w:semiHidden="0" w:name="Body Text First Indent 2"/>
    <w:lsdException w:uiPriority="99" w:name="Note Heading"/>
    <w:lsdException w:uiPriority="99" w:name="Body Text 2"/>
    <w:lsdException w:uiPriority="99" w:name="Body Text 3"/>
    <w:lsdException w:qFormat="1"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unhideWhenUsed="0" w:uiPriority="20" w:semiHidden="0" w:name="Emphasis"/>
    <w:lsdException w:qFormat="1" w:uiPriority="99" w:name="Document Map"/>
    <w:lsdException w:qFormat="1"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8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38"/>
    <w:qFormat/>
    <w:uiPriority w:val="9"/>
    <w:pPr>
      <w:keepNext/>
      <w:keepLines/>
      <w:numPr>
        <w:ilvl w:val="0"/>
        <w:numId w:val="1"/>
      </w:numPr>
      <w:spacing w:before="180" w:after="180"/>
      <w:ind w:firstLineChars="0"/>
      <w:outlineLvl w:val="0"/>
    </w:pPr>
    <w:rPr>
      <w:rFonts w:eastAsia="黑体"/>
      <w:b/>
      <w:bCs/>
      <w:kern w:val="44"/>
      <w:sz w:val="44"/>
      <w:szCs w:val="44"/>
    </w:rPr>
  </w:style>
  <w:style w:type="paragraph" w:styleId="3">
    <w:name w:val="heading 2"/>
    <w:basedOn w:val="1"/>
    <w:next w:val="1"/>
    <w:link w:val="28"/>
    <w:autoRedefine/>
    <w:unhideWhenUsed/>
    <w:qFormat/>
    <w:uiPriority w:val="9"/>
    <w:pPr>
      <w:keepNext/>
      <w:keepLines/>
      <w:numPr>
        <w:ilvl w:val="1"/>
        <w:numId w:val="1"/>
      </w:numPr>
      <w:spacing w:before="120" w:after="120"/>
      <w:ind w:left="0" w:firstLine="0" w:firstLineChars="0"/>
      <w:outlineLvl w:val="1"/>
    </w:pPr>
    <w:rPr>
      <w:rFonts w:eastAsia="楷体" w:cstheme="majorBidi"/>
      <w:b/>
      <w:bCs/>
      <w:sz w:val="32"/>
      <w:szCs w:val="32"/>
    </w:rPr>
  </w:style>
  <w:style w:type="paragraph" w:styleId="4">
    <w:name w:val="heading 3"/>
    <w:basedOn w:val="1"/>
    <w:next w:val="1"/>
    <w:link w:val="29"/>
    <w:autoRedefine/>
    <w:unhideWhenUsed/>
    <w:qFormat/>
    <w:uiPriority w:val="9"/>
    <w:pPr>
      <w:keepNext/>
      <w:keepLines/>
      <w:numPr>
        <w:ilvl w:val="2"/>
        <w:numId w:val="1"/>
      </w:numPr>
      <w:ind w:left="0" w:firstLine="0" w:firstLineChars="0"/>
      <w:outlineLvl w:val="2"/>
    </w:pPr>
    <w:rPr>
      <w:b/>
      <w:bCs/>
      <w:sz w:val="28"/>
      <w:szCs w:val="32"/>
    </w:rPr>
  </w:style>
  <w:style w:type="paragraph" w:styleId="5">
    <w:name w:val="heading 4"/>
    <w:basedOn w:val="1"/>
    <w:next w:val="1"/>
    <w:link w:val="30"/>
    <w:autoRedefine/>
    <w:unhideWhenUsed/>
    <w:qFormat/>
    <w:uiPriority w:val="9"/>
    <w:pPr>
      <w:keepNext/>
      <w:keepLines/>
      <w:numPr>
        <w:ilvl w:val="3"/>
        <w:numId w:val="1"/>
      </w:numPr>
      <w:spacing w:before="40" w:after="40"/>
      <w:ind w:left="0" w:firstLine="0" w:firstLineChars="0"/>
      <w:outlineLvl w:val="3"/>
    </w:pPr>
    <w:rPr>
      <w:rFonts w:cstheme="majorBidi"/>
      <w:b/>
      <w:bCs/>
      <w:szCs w:val="28"/>
    </w:rPr>
  </w:style>
  <w:style w:type="paragraph" w:styleId="6">
    <w:name w:val="heading 5"/>
    <w:basedOn w:val="1"/>
    <w:next w:val="1"/>
    <w:link w:val="31"/>
    <w:autoRedefine/>
    <w:unhideWhenUsed/>
    <w:qFormat/>
    <w:uiPriority w:val="9"/>
    <w:pPr>
      <w:keepNext/>
      <w:keepLines/>
      <w:numPr>
        <w:ilvl w:val="4"/>
        <w:numId w:val="1"/>
      </w:numPr>
      <w:adjustRightInd w:val="0"/>
      <w:ind w:left="0" w:firstLine="0" w:firstLineChars="0"/>
      <w:jc w:val="left"/>
      <w:outlineLvl w:val="4"/>
    </w:pPr>
    <w:rPr>
      <w:bCs/>
      <w:szCs w:val="28"/>
    </w:rPr>
  </w:style>
  <w:style w:type="paragraph" w:styleId="7">
    <w:name w:val="heading 6"/>
    <w:basedOn w:val="1"/>
    <w:next w:val="1"/>
    <w:link w:val="32"/>
    <w:autoRedefine/>
    <w:semiHidden/>
    <w:unhideWhenUsed/>
    <w:qFormat/>
    <w:uiPriority w:val="9"/>
    <w:pPr>
      <w:spacing w:before="2"/>
      <w:ind w:left="1060"/>
      <w:outlineLvl w:val="5"/>
    </w:pPr>
    <w:rPr>
      <w:rFonts w:ascii="宋体" w:hAnsi="宋体" w:cs="宋体"/>
      <w:b/>
      <w:bCs/>
      <w:szCs w:val="24"/>
      <w:lang w:val="zh-CN" w:bidi="zh-CN"/>
    </w:rPr>
  </w:style>
  <w:style w:type="paragraph" w:styleId="8">
    <w:name w:val="heading 7"/>
    <w:basedOn w:val="1"/>
    <w:next w:val="1"/>
    <w:autoRedefine/>
    <w:semiHidden/>
    <w:unhideWhenUsed/>
    <w:qFormat/>
    <w:uiPriority w:val="9"/>
    <w:pPr>
      <w:outlineLvl w:val="6"/>
    </w:pPr>
    <w:rPr>
      <w:rFonts w:ascii="宋体" w:hAnsi="宋体" w:cs="宋体"/>
      <w:b/>
      <w:bCs/>
      <w:szCs w:val="24"/>
    </w:rPr>
  </w:style>
  <w:style w:type="paragraph" w:styleId="9">
    <w:name w:val="heading 8"/>
    <w:basedOn w:val="1"/>
    <w:next w:val="1"/>
    <w:link w:val="39"/>
    <w:autoRedefine/>
    <w:semiHidden/>
    <w:unhideWhenUsed/>
    <w:qFormat/>
    <w:uiPriority w:val="9"/>
    <w:pPr>
      <w:keepNext/>
      <w:keepLines/>
      <w:spacing w:before="240" w:after="64" w:line="320" w:lineRule="auto"/>
      <w:outlineLvl w:val="7"/>
    </w:pPr>
    <w:rPr>
      <w:rFonts w:asciiTheme="majorHAnsi" w:hAnsiTheme="majorHAnsi" w:eastAsiaTheme="majorEastAsia" w:cstheme="majorBidi"/>
      <w:szCs w:val="24"/>
    </w:rPr>
  </w:style>
  <w:style w:type="character" w:default="1" w:styleId="19">
    <w:name w:val="Default Paragraph Font"/>
    <w:semiHidden/>
    <w:unhideWhenUsed/>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10">
    <w:name w:val="caption"/>
    <w:basedOn w:val="1"/>
    <w:next w:val="1"/>
    <w:link w:val="42"/>
    <w:unhideWhenUsed/>
    <w:qFormat/>
    <w:uiPriority w:val="35"/>
    <w:pPr>
      <w:ind w:firstLine="0" w:firstLineChars="0"/>
      <w:jc w:val="center"/>
    </w:pPr>
    <w:rPr>
      <w:rFonts w:eastAsia="黑体" w:asciiTheme="majorHAnsi" w:hAnsiTheme="majorHAnsi" w:cstheme="majorBidi"/>
      <w:sz w:val="20"/>
      <w:szCs w:val="20"/>
    </w:rPr>
  </w:style>
  <w:style w:type="paragraph" w:styleId="11">
    <w:name w:val="annotation text"/>
    <w:basedOn w:val="1"/>
    <w:link w:val="40"/>
    <w:semiHidden/>
    <w:unhideWhenUsed/>
    <w:qFormat/>
    <w:uiPriority w:val="99"/>
    <w:pPr>
      <w:jc w:val="left"/>
    </w:pPr>
  </w:style>
  <w:style w:type="paragraph" w:styleId="12">
    <w:name w:val="footer"/>
    <w:basedOn w:val="1"/>
    <w:link w:val="24"/>
    <w:unhideWhenUsed/>
    <w:qFormat/>
    <w:uiPriority w:val="99"/>
    <w:pPr>
      <w:tabs>
        <w:tab w:val="center" w:pos="4153"/>
        <w:tab w:val="right" w:pos="8306"/>
      </w:tabs>
      <w:snapToGrid w:val="0"/>
      <w:spacing w:line="240" w:lineRule="auto"/>
      <w:jc w:val="left"/>
    </w:pPr>
    <w:rPr>
      <w:sz w:val="18"/>
      <w:szCs w:val="18"/>
    </w:rPr>
  </w:style>
  <w:style w:type="paragraph" w:styleId="13">
    <w:name w:val="header"/>
    <w:basedOn w:val="1"/>
    <w:link w:val="33"/>
    <w:autoRedefine/>
    <w:unhideWhenUsed/>
    <w:qFormat/>
    <w:uiPriority w:val="99"/>
    <w:pPr>
      <w:pBdr>
        <w:bottom w:val="single" w:color="auto" w:sz="6" w:space="1"/>
      </w:pBdr>
      <w:tabs>
        <w:tab w:val="center" w:pos="4153"/>
        <w:tab w:val="right" w:pos="8306"/>
      </w:tabs>
      <w:snapToGrid w:val="0"/>
      <w:ind w:firstLine="360"/>
      <w:jc w:val="center"/>
    </w:pPr>
    <w:rPr>
      <w:sz w:val="18"/>
      <w:szCs w:val="18"/>
    </w:rPr>
  </w:style>
  <w:style w:type="paragraph" w:styleId="14">
    <w:name w:val="toc 1"/>
    <w:basedOn w:val="1"/>
    <w:next w:val="1"/>
    <w:autoRedefine/>
    <w:unhideWhenUsed/>
    <w:qFormat/>
    <w:uiPriority w:val="39"/>
  </w:style>
  <w:style w:type="paragraph" w:styleId="15">
    <w:name w:val="toc 2"/>
    <w:basedOn w:val="1"/>
    <w:next w:val="1"/>
    <w:autoRedefine/>
    <w:unhideWhenUsed/>
    <w:qFormat/>
    <w:uiPriority w:val="39"/>
    <w:pPr>
      <w:tabs>
        <w:tab w:val="left" w:pos="1680"/>
        <w:tab w:val="right" w:leader="dot" w:pos="9060"/>
      </w:tabs>
      <w:ind w:left="480" w:leftChars="200"/>
    </w:pPr>
  </w:style>
  <w:style w:type="paragraph" w:styleId="16">
    <w:name w:val="Title"/>
    <w:basedOn w:val="1"/>
    <w:next w:val="1"/>
    <w:link w:val="34"/>
    <w:autoRedefine/>
    <w:qFormat/>
    <w:uiPriority w:val="10"/>
    <w:pPr>
      <w:widowControl/>
      <w:ind w:firstLine="0" w:firstLineChars="0"/>
      <w:jc w:val="center"/>
    </w:pPr>
    <w:rPr>
      <w:rFonts w:ascii="华文中宋" w:eastAsia="华文中宋" w:cs="Times New Roman"/>
      <w:b/>
      <w:kern w:val="0"/>
      <w:sz w:val="44"/>
      <w:szCs w:val="44"/>
    </w:rPr>
  </w:style>
  <w:style w:type="table" w:styleId="18">
    <w:name w:val="Table Grid"/>
    <w:basedOn w:val="17"/>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basedOn w:val="19"/>
    <w:autoRedefine/>
    <w:semiHidden/>
    <w:unhideWhenUsed/>
    <w:qFormat/>
    <w:uiPriority w:val="99"/>
  </w:style>
  <w:style w:type="character" w:styleId="21">
    <w:name w:val="Hyperlink"/>
    <w:basedOn w:val="19"/>
    <w:unhideWhenUsed/>
    <w:qFormat/>
    <w:uiPriority w:val="99"/>
    <w:rPr>
      <w:color w:val="0563C1" w:themeColor="hyperlink"/>
      <w:u w:val="single"/>
      <w14:textFill>
        <w14:solidFill>
          <w14:schemeClr w14:val="hlink"/>
        </w14:solidFill>
      </w14:textFill>
    </w:rPr>
  </w:style>
  <w:style w:type="character" w:styleId="22">
    <w:name w:val="annotation reference"/>
    <w:basedOn w:val="19"/>
    <w:semiHidden/>
    <w:unhideWhenUsed/>
    <w:qFormat/>
    <w:uiPriority w:val="99"/>
    <w:rPr>
      <w:sz w:val="21"/>
      <w:szCs w:val="21"/>
    </w:rPr>
  </w:style>
  <w:style w:type="paragraph" w:styleId="23">
    <w:name w:val="List Paragraph"/>
    <w:basedOn w:val="1"/>
    <w:semiHidden/>
    <w:qFormat/>
    <w:uiPriority w:val="34"/>
    <w:pPr>
      <w:ind w:firstLine="420"/>
    </w:pPr>
  </w:style>
  <w:style w:type="character" w:customStyle="1" w:styleId="24">
    <w:name w:val="页脚 字符"/>
    <w:basedOn w:val="19"/>
    <w:link w:val="12"/>
    <w:qFormat/>
    <w:uiPriority w:val="99"/>
    <w:rPr>
      <w:rFonts w:ascii="Times New Roman" w:hAnsi="Times New Roman" w:eastAsia="宋体"/>
      <w:kern w:val="2"/>
      <w:sz w:val="18"/>
      <w:szCs w:val="18"/>
    </w:rPr>
  </w:style>
  <w:style w:type="paragraph" w:customStyle="1" w:styleId="25">
    <w:name w:val="tu"/>
    <w:basedOn w:val="1"/>
    <w:link w:val="26"/>
    <w:autoRedefine/>
    <w:qFormat/>
    <w:uiPriority w:val="94"/>
    <w:pPr>
      <w:keepNext/>
      <w:spacing w:line="240" w:lineRule="auto"/>
      <w:ind w:firstLine="0" w:firstLineChars="0"/>
      <w:jc w:val="center"/>
    </w:pPr>
    <w:rPr>
      <w:sz w:val="21"/>
    </w:rPr>
  </w:style>
  <w:style w:type="character" w:customStyle="1" w:styleId="26">
    <w:name w:val="tu 字符"/>
    <w:basedOn w:val="19"/>
    <w:link w:val="25"/>
    <w:qFormat/>
    <w:uiPriority w:val="94"/>
    <w:rPr>
      <w:rFonts w:ascii="Times New Roman" w:hAnsi="Times New Roman" w:eastAsia="宋体"/>
      <w:kern w:val="2"/>
      <w:sz w:val="21"/>
      <w:szCs w:val="22"/>
    </w:rPr>
  </w:style>
  <w:style w:type="paragraph" w:customStyle="1" w:styleId="27">
    <w:name w:val="B表格-莆田高新区"/>
    <w:basedOn w:val="2"/>
    <w:link w:val="44"/>
    <w:qFormat/>
    <w:uiPriority w:val="0"/>
    <w:pPr>
      <w:outlineLvl w:val="9"/>
    </w:pPr>
  </w:style>
  <w:style w:type="character" w:customStyle="1" w:styleId="28">
    <w:name w:val="标题 2 字符"/>
    <w:basedOn w:val="19"/>
    <w:link w:val="3"/>
    <w:autoRedefine/>
    <w:qFormat/>
    <w:uiPriority w:val="9"/>
    <w:rPr>
      <w:rFonts w:ascii="Times New Roman" w:hAnsi="Times New Roman" w:eastAsia="楷体" w:cstheme="majorBidi"/>
      <w:b/>
      <w:bCs/>
      <w:kern w:val="2"/>
      <w:sz w:val="32"/>
      <w:szCs w:val="32"/>
    </w:rPr>
  </w:style>
  <w:style w:type="character" w:customStyle="1" w:styleId="29">
    <w:name w:val="标题 3 字符"/>
    <w:basedOn w:val="19"/>
    <w:link w:val="4"/>
    <w:autoRedefine/>
    <w:qFormat/>
    <w:uiPriority w:val="9"/>
    <w:rPr>
      <w:rFonts w:ascii="Times New Roman" w:hAnsi="Times New Roman" w:eastAsia="宋体"/>
      <w:b/>
      <w:bCs/>
      <w:kern w:val="2"/>
      <w:sz w:val="28"/>
      <w:szCs w:val="32"/>
    </w:rPr>
  </w:style>
  <w:style w:type="character" w:customStyle="1" w:styleId="30">
    <w:name w:val="标题 4 字符"/>
    <w:basedOn w:val="19"/>
    <w:link w:val="5"/>
    <w:autoRedefine/>
    <w:qFormat/>
    <w:uiPriority w:val="9"/>
    <w:rPr>
      <w:rFonts w:ascii="Times New Roman" w:hAnsi="Times New Roman" w:eastAsia="宋体" w:cstheme="majorBidi"/>
      <w:b/>
      <w:bCs/>
      <w:kern w:val="2"/>
      <w:sz w:val="24"/>
      <w:szCs w:val="28"/>
    </w:rPr>
  </w:style>
  <w:style w:type="character" w:customStyle="1" w:styleId="31">
    <w:name w:val="标题 5 字符"/>
    <w:basedOn w:val="19"/>
    <w:link w:val="6"/>
    <w:autoRedefine/>
    <w:qFormat/>
    <w:uiPriority w:val="9"/>
    <w:rPr>
      <w:rFonts w:ascii="Times New Roman" w:hAnsi="Times New Roman" w:eastAsia="宋体"/>
      <w:bCs/>
      <w:kern w:val="2"/>
      <w:sz w:val="24"/>
      <w:szCs w:val="28"/>
    </w:rPr>
  </w:style>
  <w:style w:type="character" w:customStyle="1" w:styleId="32">
    <w:name w:val="标题 6 字符"/>
    <w:basedOn w:val="19"/>
    <w:link w:val="7"/>
    <w:autoRedefine/>
    <w:qFormat/>
    <w:uiPriority w:val="9"/>
    <w:rPr>
      <w:rFonts w:ascii="宋体" w:hAnsi="宋体" w:eastAsia="宋体" w:cs="宋体"/>
      <w:b/>
      <w:bCs/>
      <w:sz w:val="24"/>
      <w:szCs w:val="24"/>
      <w:lang w:val="zh-CN" w:bidi="zh-CN"/>
    </w:rPr>
  </w:style>
  <w:style w:type="character" w:customStyle="1" w:styleId="33">
    <w:name w:val="页眉 字符"/>
    <w:basedOn w:val="19"/>
    <w:link w:val="13"/>
    <w:autoRedefine/>
    <w:qFormat/>
    <w:uiPriority w:val="99"/>
    <w:rPr>
      <w:rFonts w:ascii="Times New Roman" w:hAnsi="Times New Roman" w:eastAsia="宋体"/>
      <w:kern w:val="2"/>
      <w:sz w:val="18"/>
      <w:szCs w:val="18"/>
    </w:rPr>
  </w:style>
  <w:style w:type="character" w:customStyle="1" w:styleId="34">
    <w:name w:val="标题 字符"/>
    <w:basedOn w:val="19"/>
    <w:link w:val="16"/>
    <w:autoRedefine/>
    <w:qFormat/>
    <w:uiPriority w:val="10"/>
    <w:rPr>
      <w:rFonts w:ascii="华文中宋" w:hAnsi="Times New Roman" w:eastAsia="华文中宋" w:cs="Times New Roman"/>
      <w:b/>
      <w:sz w:val="44"/>
      <w:szCs w:val="44"/>
    </w:rPr>
  </w:style>
  <w:style w:type="paragraph" w:customStyle="1" w:styleId="35">
    <w:name w:val="修订1"/>
    <w:autoRedefine/>
    <w:hidden/>
    <w:qFormat/>
    <w:uiPriority w:val="99"/>
    <w:rPr>
      <w:rFonts w:asciiTheme="minorHAnsi" w:hAnsiTheme="minorHAnsi" w:eastAsiaTheme="minorEastAsia" w:cstheme="minorBidi"/>
      <w:kern w:val="2"/>
      <w:sz w:val="21"/>
      <w:szCs w:val="22"/>
      <w:lang w:val="en-US" w:eastAsia="zh-CN" w:bidi="ar-SA"/>
    </w:rPr>
  </w:style>
  <w:style w:type="paragraph" w:customStyle="1" w:styleId="36">
    <w:name w:val="修订2"/>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37">
    <w:name w:val="修订21"/>
    <w:autoRedefine/>
    <w:hidden/>
    <w:unhideWhenUsed/>
    <w:qFormat/>
    <w:uiPriority w:val="99"/>
    <w:rPr>
      <w:rFonts w:asciiTheme="minorHAnsi" w:hAnsiTheme="minorHAnsi" w:eastAsiaTheme="minorEastAsia" w:cstheme="minorBidi"/>
      <w:kern w:val="2"/>
      <w:sz w:val="21"/>
      <w:szCs w:val="22"/>
      <w:lang w:val="en-US" w:eastAsia="zh-CN" w:bidi="ar-SA"/>
    </w:rPr>
  </w:style>
  <w:style w:type="character" w:customStyle="1" w:styleId="38">
    <w:name w:val="标题 1 字符"/>
    <w:link w:val="2"/>
    <w:autoRedefine/>
    <w:qFormat/>
    <w:uiPriority w:val="9"/>
    <w:rPr>
      <w:rFonts w:ascii="Times New Roman" w:hAnsi="Times New Roman" w:eastAsia="黑体"/>
      <w:b/>
      <w:bCs/>
      <w:kern w:val="44"/>
      <w:sz w:val="44"/>
      <w:szCs w:val="44"/>
    </w:rPr>
  </w:style>
  <w:style w:type="character" w:customStyle="1" w:styleId="39">
    <w:name w:val="标题 8 字符"/>
    <w:basedOn w:val="19"/>
    <w:link w:val="9"/>
    <w:autoRedefine/>
    <w:semiHidden/>
    <w:qFormat/>
    <w:uiPriority w:val="0"/>
    <w:rPr>
      <w:rFonts w:asciiTheme="majorHAnsi" w:hAnsiTheme="majorHAnsi" w:eastAsiaTheme="majorEastAsia" w:cstheme="majorBidi"/>
    </w:rPr>
  </w:style>
  <w:style w:type="character" w:customStyle="1" w:styleId="40">
    <w:name w:val="批注文字 字符"/>
    <w:basedOn w:val="19"/>
    <w:link w:val="11"/>
    <w:semiHidden/>
    <w:qFormat/>
    <w:uiPriority w:val="99"/>
    <w:rPr>
      <w:rFonts w:ascii="Times New Roman" w:hAnsi="Times New Roman" w:eastAsia="宋体"/>
      <w:kern w:val="2"/>
      <w:sz w:val="24"/>
      <w:szCs w:val="22"/>
    </w:rPr>
  </w:style>
  <w:style w:type="paragraph" w:customStyle="1" w:styleId="41">
    <w:name w:val="B题注与下段同页"/>
    <w:basedOn w:val="10"/>
    <w:link w:val="43"/>
    <w:qFormat/>
    <w:uiPriority w:val="0"/>
    <w:pPr>
      <w:keepNext/>
    </w:pPr>
  </w:style>
  <w:style w:type="character" w:customStyle="1" w:styleId="42">
    <w:name w:val="题注 字符"/>
    <w:basedOn w:val="19"/>
    <w:link w:val="10"/>
    <w:qFormat/>
    <w:uiPriority w:val="35"/>
    <w:rPr>
      <w:rFonts w:eastAsia="黑体" w:asciiTheme="majorHAnsi" w:hAnsiTheme="majorHAnsi" w:cstheme="majorBidi"/>
      <w:kern w:val="2"/>
    </w:rPr>
  </w:style>
  <w:style w:type="character" w:customStyle="1" w:styleId="43">
    <w:name w:val="B题注与下段同页 字符"/>
    <w:basedOn w:val="42"/>
    <w:link w:val="41"/>
    <w:qFormat/>
    <w:uiPriority w:val="0"/>
    <w:rPr>
      <w:rFonts w:eastAsia="黑体" w:asciiTheme="majorHAnsi" w:hAnsiTheme="majorHAnsi" w:cstheme="majorBidi"/>
      <w:kern w:val="2"/>
    </w:rPr>
  </w:style>
  <w:style w:type="character" w:customStyle="1" w:styleId="44">
    <w:name w:val="B表格-莆田高新区 Char"/>
    <w:link w:val="27"/>
    <w:qFormat/>
    <w:uiPriority w:val="0"/>
    <w:rPr>
      <w:rFonts w:ascii="Times New Roman" w:hAnsi="Times New Roman" w:eastAsia="黑体"/>
      <w:b/>
      <w:bCs/>
      <w:kern w:val="44"/>
      <w:sz w:val="44"/>
      <w:szCs w:val="44"/>
    </w:rPr>
  </w:style>
  <w:style w:type="paragraph" w:customStyle="1" w:styleId="45">
    <w:name w:val="样式 标题 4标题 4（241）¶Î段H4h4 sub sub heading. (A.)款标题1.1.1.1条..."/>
    <w:basedOn w:val="5"/>
    <w:autoRedefine/>
    <w:qFormat/>
    <w:uiPriority w:val="0"/>
    <w:pPr>
      <w:numPr>
        <w:numId w:val="2"/>
      </w:numPr>
      <w:tabs>
        <w:tab w:val="left" w:pos="0"/>
        <w:tab w:val="clear" w:pos="851"/>
      </w:tabs>
      <w:adjustRightInd w:val="0"/>
      <w:spacing w:before="120" w:beforeLines="50" w:after="120" w:afterLines="50" w:line="240" w:lineRule="auto"/>
      <w:jc w:val="left"/>
    </w:pPr>
    <w:rPr>
      <w:rFonts w:eastAsia="黑体" w:cs="宋体"/>
      <w:b w:val="0"/>
      <w:sz w:val="2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customXml" Target="../customXml/item1.xml"/><Relationship Id="rId23" Type="http://schemas.openxmlformats.org/officeDocument/2006/relationships/numbering" Target="numbering.xml"/><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A5D72B-29E1-4CEB-A05C-5A9E29BAA227}">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15</Pages>
  <Words>1792</Words>
  <Characters>1917</Characters>
  <Lines>36</Lines>
  <Paragraphs>10</Paragraphs>
  <TotalTime>152</TotalTime>
  <ScaleCrop>false</ScaleCrop>
  <LinksUpToDate>false</LinksUpToDate>
  <CharactersWithSpaces>1925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2024-06-26T02:14:00Z</dcterms:created>
  <dc:creator>Administrator</dc:creator>
  <cp:lastModifiedBy>风</cp:lastModifiedBy>
  <cp:lastPrinted>2025-07-21T04:39:48Z</cp:lastPrinted>
  <dcterms:modified xsi:type="dcterms:W3CDTF">2025-07-21T07:07:49Z</dcterms:modified>
  <cp:revision>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471A5A8B4CB14A61B7DB2032724A39E4_13</vt:lpwstr>
  </property>
  <property fmtid="{D5CDD505-2E9C-101B-9397-08002B2CF9AE}" pid="4" name="KSOTemplateDocerSaveRecord">
    <vt:lpwstr>eyJoZGlkIjoiZjk5ZjZmMDU3YWY0YTI3MDMwYjAyZTJhZWZhY2RkYjEiLCJ1c2VySWQiOiI0NzM2NTUzNTcifQ==</vt:lpwstr>
  </property>
</Properties>
</file>