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90E6">
      <w:pPr>
        <w:spacing w:line="600" w:lineRule="exact"/>
        <w:rPr>
          <w:rFonts w:ascii="楷体" w:hAnsi="楷体" w:eastAsia="楷体"/>
          <w:sz w:val="32"/>
          <w:szCs w:val="32"/>
        </w:rPr>
      </w:pPr>
      <w:r>
        <w:rPr>
          <w:rFonts w:hint="eastAsia" w:ascii="楷体" w:hAnsi="楷体" w:eastAsia="楷体"/>
          <w:sz w:val="32"/>
          <w:szCs w:val="32"/>
        </w:rPr>
        <w:t>区人大常委会</w:t>
      </w:r>
    </w:p>
    <w:p w14:paraId="515707AB">
      <w:pPr>
        <w:spacing w:line="600" w:lineRule="exact"/>
        <w:rPr>
          <w:rFonts w:ascii="楷体" w:hAnsi="楷体" w:eastAsia="楷体"/>
          <w:spacing w:val="10"/>
          <w:sz w:val="32"/>
          <w:szCs w:val="32"/>
        </w:rPr>
      </w:pPr>
      <w:r>
        <w:rPr>
          <w:rFonts w:hint="eastAsia" w:ascii="楷体" w:hAnsi="楷体" w:eastAsia="楷体"/>
          <w:spacing w:val="10"/>
          <w:sz w:val="32"/>
          <w:szCs w:val="32"/>
        </w:rPr>
        <w:t>会 议 材 料</w:t>
      </w:r>
    </w:p>
    <w:p w14:paraId="3C35AFD4">
      <w:pPr>
        <w:spacing w:line="600" w:lineRule="exact"/>
        <w:rPr>
          <w:rFonts w:ascii="楷体" w:hAnsi="楷体" w:eastAsia="楷体"/>
          <w:spacing w:val="10"/>
          <w:sz w:val="32"/>
          <w:szCs w:val="32"/>
        </w:rPr>
      </w:pPr>
    </w:p>
    <w:p w14:paraId="79865728">
      <w:pPr>
        <w:spacing w:line="600" w:lineRule="exact"/>
        <w:jc w:val="center"/>
        <w:rPr>
          <w:rFonts w:hint="eastAsia" w:ascii="宋体" w:hAnsi="宋体" w:eastAsia="宋体"/>
          <w:sz w:val="44"/>
          <w:szCs w:val="44"/>
          <w:lang w:val="en-US" w:eastAsia="zh-CN"/>
        </w:rPr>
      </w:pPr>
      <w:bookmarkStart w:id="0" w:name="OLE_LINK1"/>
      <w:r>
        <w:rPr>
          <w:rFonts w:hint="eastAsia" w:ascii="宋体" w:hAnsi="宋体" w:eastAsia="宋体"/>
          <w:sz w:val="44"/>
          <w:szCs w:val="44"/>
          <w:lang w:val="en-US" w:eastAsia="zh-CN"/>
        </w:rPr>
        <w:t>关于2024年度国有资产管理工作情况的</w:t>
      </w:r>
      <w:bookmarkEnd w:id="0"/>
    </w:p>
    <w:p w14:paraId="3205118E">
      <w:pPr>
        <w:spacing w:line="600" w:lineRule="exact"/>
        <w:jc w:val="center"/>
        <w:rPr>
          <w:rFonts w:ascii="宋体" w:hAnsi="宋体" w:eastAsia="宋体"/>
          <w:sz w:val="44"/>
          <w:szCs w:val="44"/>
        </w:rPr>
      </w:pPr>
      <w:r>
        <w:rPr>
          <w:rFonts w:ascii="宋体" w:hAnsi="宋体" w:eastAsia="宋体"/>
          <w:sz w:val="44"/>
          <w:szCs w:val="44"/>
        </w:rPr>
        <w:t>报告</w:t>
      </w:r>
    </w:p>
    <w:p w14:paraId="1E37D3E6">
      <w:pPr>
        <w:spacing w:line="600" w:lineRule="exact"/>
        <w:jc w:val="center"/>
        <w:rPr>
          <w:rFonts w:ascii="楷体" w:hAnsi="楷体" w:eastAsia="楷体"/>
          <w:sz w:val="32"/>
          <w:szCs w:val="32"/>
        </w:rPr>
      </w:pPr>
      <w:r>
        <w:rPr>
          <w:rFonts w:ascii="楷体" w:hAnsi="楷体" w:eastAsia="楷体"/>
          <w:sz w:val="32"/>
          <w:szCs w:val="32"/>
        </w:rPr>
        <w:t>(20</w:t>
      </w:r>
      <w:r>
        <w:rPr>
          <w:rFonts w:hint="eastAsia" w:ascii="楷体" w:hAnsi="楷体" w:eastAsia="楷体"/>
          <w:sz w:val="32"/>
          <w:szCs w:val="32"/>
          <w:lang w:val="en-US" w:eastAsia="zh-CN"/>
        </w:rPr>
        <w:t>25</w:t>
      </w:r>
      <w:r>
        <w:rPr>
          <w:rFonts w:hint="eastAsia" w:ascii="楷体" w:hAnsi="楷体" w:eastAsia="楷体"/>
          <w:sz w:val="32"/>
          <w:szCs w:val="32"/>
        </w:rPr>
        <w:t>年</w:t>
      </w:r>
      <w:r>
        <w:rPr>
          <w:rFonts w:hint="eastAsia" w:ascii="楷体" w:hAnsi="楷体" w:eastAsia="楷体"/>
          <w:sz w:val="32"/>
          <w:szCs w:val="32"/>
          <w:lang w:val="en-US" w:eastAsia="zh-CN"/>
        </w:rPr>
        <w:t>7</w:t>
      </w:r>
      <w:r>
        <w:rPr>
          <w:rFonts w:hint="eastAsia" w:ascii="楷体" w:hAnsi="楷体" w:eastAsia="楷体"/>
          <w:sz w:val="32"/>
          <w:szCs w:val="32"/>
        </w:rPr>
        <w:t>月</w:t>
      </w:r>
      <w:r>
        <w:rPr>
          <w:rFonts w:hint="eastAsia" w:ascii="楷体" w:hAnsi="楷体" w:eastAsia="楷体"/>
          <w:sz w:val="32"/>
          <w:szCs w:val="32"/>
          <w:lang w:val="en-US" w:eastAsia="zh-CN"/>
        </w:rPr>
        <w:t>29</w:t>
      </w:r>
      <w:r>
        <w:rPr>
          <w:rFonts w:hint="eastAsia" w:ascii="楷体" w:hAnsi="楷体" w:eastAsia="楷体"/>
          <w:sz w:val="32"/>
          <w:szCs w:val="32"/>
        </w:rPr>
        <w:t>日</w:t>
      </w:r>
      <w:r>
        <w:rPr>
          <w:rFonts w:ascii="楷体" w:hAnsi="楷体" w:eastAsia="楷体"/>
          <w:sz w:val="32"/>
          <w:szCs w:val="32"/>
        </w:rPr>
        <w:t>在福州市晋安区第十</w:t>
      </w:r>
      <w:r>
        <w:rPr>
          <w:rFonts w:hint="eastAsia" w:ascii="楷体" w:hAnsi="楷体" w:eastAsia="楷体"/>
          <w:sz w:val="32"/>
          <w:szCs w:val="32"/>
          <w:lang w:val="en-US" w:eastAsia="zh-CN"/>
        </w:rPr>
        <w:t>三</w:t>
      </w:r>
      <w:r>
        <w:rPr>
          <w:rFonts w:ascii="楷体" w:hAnsi="楷体" w:eastAsia="楷体"/>
          <w:sz w:val="32"/>
          <w:szCs w:val="32"/>
        </w:rPr>
        <w:t>届</w:t>
      </w:r>
    </w:p>
    <w:p w14:paraId="31A4A42D">
      <w:pPr>
        <w:spacing w:line="600" w:lineRule="exact"/>
        <w:jc w:val="center"/>
        <w:rPr>
          <w:rFonts w:ascii="楷体" w:hAnsi="楷体" w:eastAsia="楷体"/>
          <w:sz w:val="32"/>
          <w:szCs w:val="32"/>
        </w:rPr>
      </w:pPr>
      <w:r>
        <w:rPr>
          <w:rFonts w:ascii="楷体" w:hAnsi="楷体" w:eastAsia="楷体"/>
          <w:sz w:val="32"/>
          <w:szCs w:val="32"/>
        </w:rPr>
        <w:t>人大常委会第</w:t>
      </w:r>
      <w:r>
        <w:rPr>
          <w:rFonts w:hint="eastAsia" w:ascii="楷体" w:hAnsi="楷体" w:eastAsia="楷体"/>
          <w:sz w:val="32"/>
          <w:szCs w:val="32"/>
          <w:lang w:val="en-US" w:eastAsia="zh-CN"/>
        </w:rPr>
        <w:t>二十八</w:t>
      </w:r>
      <w:r>
        <w:rPr>
          <w:rFonts w:hint="eastAsia" w:ascii="楷体" w:hAnsi="楷体" w:eastAsia="楷体"/>
          <w:sz w:val="32"/>
          <w:szCs w:val="32"/>
        </w:rPr>
        <w:t>次</w:t>
      </w:r>
      <w:r>
        <w:rPr>
          <w:rFonts w:ascii="楷体" w:hAnsi="楷体" w:eastAsia="楷体"/>
          <w:sz w:val="32"/>
          <w:szCs w:val="32"/>
        </w:rPr>
        <w:t>会议上</w:t>
      </w:r>
      <w:r>
        <w:rPr>
          <w:rFonts w:hint="eastAsia" w:ascii="楷体" w:hAnsi="楷体" w:eastAsia="楷体"/>
          <w:sz w:val="32"/>
          <w:szCs w:val="32"/>
        </w:rPr>
        <w:t>)</w:t>
      </w:r>
    </w:p>
    <w:p w14:paraId="332E122A">
      <w:pPr>
        <w:spacing w:line="600" w:lineRule="exact"/>
        <w:jc w:val="center"/>
        <w:rPr>
          <w:rFonts w:ascii="楷体" w:hAnsi="楷体" w:eastAsia="楷体"/>
          <w:sz w:val="32"/>
          <w:szCs w:val="32"/>
        </w:rPr>
      </w:pPr>
      <w:r>
        <w:rPr>
          <w:rFonts w:hint="eastAsia" w:ascii="楷体" w:hAnsi="楷体" w:eastAsia="楷体"/>
          <w:sz w:val="32"/>
          <w:szCs w:val="32"/>
        </w:rPr>
        <w:t>福州市</w:t>
      </w:r>
      <w:r>
        <w:rPr>
          <w:rFonts w:ascii="楷体" w:hAnsi="楷体" w:eastAsia="楷体"/>
          <w:sz w:val="32"/>
          <w:szCs w:val="32"/>
        </w:rPr>
        <w:t>晋安区</w:t>
      </w:r>
      <w:r>
        <w:rPr>
          <w:rFonts w:hint="eastAsia" w:ascii="楷体" w:hAnsi="楷体" w:eastAsia="楷体"/>
          <w:sz w:val="32"/>
          <w:szCs w:val="32"/>
          <w:lang w:eastAsia="zh-CN"/>
        </w:rPr>
        <w:t>财政</w:t>
      </w:r>
      <w:r>
        <w:rPr>
          <w:rFonts w:hint="eastAsia" w:ascii="楷体" w:hAnsi="楷体" w:eastAsia="楷体"/>
          <w:sz w:val="32"/>
          <w:szCs w:val="32"/>
        </w:rPr>
        <w:t>局</w:t>
      </w:r>
    </w:p>
    <w:p w14:paraId="0985833C">
      <w:pPr>
        <w:spacing w:line="600" w:lineRule="exact"/>
        <w:jc w:val="center"/>
        <w:rPr>
          <w:rFonts w:ascii="楷体" w:hAnsi="楷体" w:eastAsia="楷体"/>
          <w:sz w:val="32"/>
          <w:szCs w:val="32"/>
        </w:rPr>
      </w:pPr>
    </w:p>
    <w:p w14:paraId="570A2D01">
      <w:pPr>
        <w:spacing w:line="600" w:lineRule="exact"/>
        <w:jc w:val="left"/>
        <w:rPr>
          <w:rFonts w:ascii="仿宋" w:hAnsi="仿宋" w:eastAsia="仿宋"/>
          <w:sz w:val="32"/>
          <w:szCs w:val="32"/>
        </w:rPr>
      </w:pPr>
      <w:r>
        <w:rPr>
          <w:rFonts w:ascii="仿宋" w:hAnsi="仿宋" w:eastAsia="仿宋"/>
          <w:sz w:val="32"/>
          <w:szCs w:val="32"/>
        </w:rPr>
        <w:t>主任</w:t>
      </w:r>
      <w:r>
        <w:rPr>
          <w:rFonts w:hint="eastAsia" w:ascii="仿宋" w:hAnsi="仿宋" w:eastAsia="仿宋"/>
          <w:sz w:val="32"/>
          <w:szCs w:val="32"/>
        </w:rPr>
        <w:t>、</w:t>
      </w:r>
      <w:r>
        <w:rPr>
          <w:rFonts w:ascii="仿宋" w:hAnsi="仿宋" w:eastAsia="仿宋"/>
          <w:sz w:val="32"/>
          <w:szCs w:val="32"/>
        </w:rPr>
        <w:t>各位副主任、各位委员：</w:t>
      </w:r>
    </w:p>
    <w:p w14:paraId="6300F2B6">
      <w:pPr>
        <w:spacing w:line="600" w:lineRule="exact"/>
        <w:ind w:firstLine="645"/>
        <w:jc w:val="left"/>
        <w:rPr>
          <w:rFonts w:ascii="仿宋" w:hAnsi="仿宋" w:eastAsia="仿宋"/>
          <w:sz w:val="32"/>
          <w:szCs w:val="32"/>
        </w:rPr>
      </w:pPr>
      <w:r>
        <w:rPr>
          <w:rFonts w:hint="eastAsia" w:ascii="仿宋" w:hAnsi="仿宋" w:eastAsia="仿宋"/>
          <w:sz w:val="32"/>
          <w:szCs w:val="32"/>
        </w:rPr>
        <w:t>我</w:t>
      </w:r>
      <w:r>
        <w:rPr>
          <w:rFonts w:ascii="仿宋" w:hAnsi="仿宋" w:eastAsia="仿宋"/>
          <w:sz w:val="32"/>
          <w:szCs w:val="32"/>
        </w:rPr>
        <w:t>受区人民政府委托，向区人大常委会会议作</w:t>
      </w:r>
      <w:r>
        <w:rPr>
          <w:rFonts w:hint="eastAsia" w:ascii="仿宋" w:hAnsi="仿宋" w:eastAsia="仿宋"/>
          <w:sz w:val="32"/>
          <w:szCs w:val="32"/>
          <w:lang w:val="en-US" w:eastAsia="zh-CN"/>
        </w:rPr>
        <w:t>2024年度国有资产管理工作情况</w:t>
      </w:r>
      <w:r>
        <w:rPr>
          <w:rFonts w:hint="eastAsia" w:ascii="仿宋" w:hAnsi="仿宋" w:eastAsia="仿宋"/>
          <w:sz w:val="32"/>
          <w:szCs w:val="32"/>
        </w:rPr>
        <w:t>报告</w:t>
      </w:r>
      <w:r>
        <w:rPr>
          <w:rFonts w:ascii="仿宋" w:hAnsi="仿宋" w:eastAsia="仿宋"/>
          <w:sz w:val="32"/>
          <w:szCs w:val="32"/>
        </w:rPr>
        <w:t>。</w:t>
      </w:r>
    </w:p>
    <w:p w14:paraId="13CEA166">
      <w:pPr>
        <w:spacing w:line="600" w:lineRule="exact"/>
        <w:ind w:firstLine="630"/>
        <w:rPr>
          <w:rFonts w:hint="eastAsia" w:ascii="黑体" w:hAnsi="黑体" w:eastAsia="黑体" w:cs="仿宋_GB2312"/>
          <w:sz w:val="32"/>
          <w:szCs w:val="32"/>
        </w:rPr>
      </w:pPr>
      <w:r>
        <w:rPr>
          <w:rFonts w:hint="eastAsia" w:ascii="黑体" w:hAnsi="黑体" w:eastAsia="黑体" w:cs="仿宋_GB2312"/>
          <w:sz w:val="32"/>
          <w:szCs w:val="32"/>
        </w:rPr>
        <w:t>一、区行政事业单位国有资产分布情况</w:t>
      </w:r>
    </w:p>
    <w:p w14:paraId="4A5B9189">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年行政事业单位资产报表统计，截至202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年12月31日，晋安区纳入编报范围的行政事业单位共1</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户，资产总额</w:t>
      </w:r>
      <w:r>
        <w:rPr>
          <w:rFonts w:hint="eastAsia" w:ascii="仿宋_GB2312" w:hAnsi="仿宋_GB2312" w:eastAsia="仿宋_GB2312" w:cs="仿宋_GB2312"/>
          <w:sz w:val="32"/>
          <w:szCs w:val="32"/>
          <w:lang w:val="en-US" w:eastAsia="zh-CN"/>
        </w:rPr>
        <w:t>46.44</w:t>
      </w:r>
      <w:r>
        <w:rPr>
          <w:rFonts w:hint="eastAsia" w:ascii="仿宋_GB2312" w:hAnsi="仿宋_GB2312" w:eastAsia="仿宋_GB2312" w:cs="仿宋_GB2312"/>
          <w:sz w:val="32"/>
          <w:szCs w:val="32"/>
        </w:rPr>
        <w:t>亿元。其中：行政单位</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户，资产总额</w:t>
      </w:r>
      <w:r>
        <w:rPr>
          <w:rFonts w:hint="eastAsia" w:ascii="仿宋_GB2312" w:hAnsi="仿宋_GB2312" w:eastAsia="仿宋_GB2312" w:cs="仿宋_GB2312"/>
          <w:sz w:val="32"/>
          <w:szCs w:val="32"/>
          <w:lang w:val="en-US" w:eastAsia="zh-CN"/>
        </w:rPr>
        <w:t>22.08</w:t>
      </w:r>
      <w:r>
        <w:rPr>
          <w:rFonts w:hint="eastAsia" w:ascii="仿宋_GB2312" w:hAnsi="仿宋_GB2312" w:eastAsia="仿宋_GB2312" w:cs="仿宋_GB2312"/>
          <w:sz w:val="32"/>
          <w:szCs w:val="32"/>
        </w:rPr>
        <w:t>亿元，占</w:t>
      </w:r>
      <w:r>
        <w:rPr>
          <w:rFonts w:hint="eastAsia" w:ascii="仿宋_GB2312" w:hAnsi="仿宋_GB2312" w:eastAsia="仿宋_GB2312" w:cs="仿宋_GB2312"/>
          <w:sz w:val="32"/>
          <w:szCs w:val="32"/>
          <w:lang w:val="en-US" w:eastAsia="zh-CN"/>
        </w:rPr>
        <w:t>47.54</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户，资产总额</w:t>
      </w:r>
      <w:r>
        <w:rPr>
          <w:rFonts w:hint="eastAsia" w:ascii="仿宋_GB2312" w:hAnsi="仿宋_GB2312" w:eastAsia="仿宋_GB2312" w:cs="仿宋_GB2312"/>
          <w:sz w:val="32"/>
          <w:szCs w:val="32"/>
          <w:lang w:val="en-US" w:eastAsia="zh-CN"/>
        </w:rPr>
        <w:t>24.36</w:t>
      </w:r>
      <w:r>
        <w:rPr>
          <w:rFonts w:hint="eastAsia" w:ascii="仿宋_GB2312" w:hAnsi="仿宋_GB2312" w:eastAsia="仿宋_GB2312" w:cs="仿宋_GB2312"/>
          <w:sz w:val="32"/>
          <w:szCs w:val="32"/>
        </w:rPr>
        <w:t>亿元，占5</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w:t>
      </w:r>
    </w:p>
    <w:p w14:paraId="41C453C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按部门分类，教育系统资产原值</w:t>
      </w:r>
      <w:r>
        <w:rPr>
          <w:rFonts w:hint="eastAsia" w:ascii="仿宋_GB2312" w:hAnsi="仿宋_GB2312" w:eastAsia="仿宋_GB2312" w:cs="仿宋_GB2312"/>
          <w:sz w:val="32"/>
          <w:szCs w:val="32"/>
          <w:lang w:val="en-US" w:eastAsia="zh-CN"/>
        </w:rPr>
        <w:t>8.36</w:t>
      </w:r>
      <w:r>
        <w:rPr>
          <w:rFonts w:hint="eastAsia" w:ascii="仿宋_GB2312" w:hAnsi="仿宋_GB2312" w:eastAsia="仿宋_GB2312" w:cs="仿宋_GB2312"/>
          <w:sz w:val="32"/>
          <w:szCs w:val="32"/>
        </w:rPr>
        <w:t>亿元，卫健系统资产原值</w:t>
      </w:r>
      <w:r>
        <w:rPr>
          <w:rFonts w:hint="eastAsia" w:ascii="仿宋_GB2312" w:hAnsi="仿宋_GB2312" w:eastAsia="仿宋_GB2312" w:cs="仿宋_GB2312"/>
          <w:sz w:val="32"/>
          <w:szCs w:val="32"/>
          <w:lang w:val="en-US" w:eastAsia="zh-CN"/>
        </w:rPr>
        <w:t>7.77</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水利、环境和公共设施</w:t>
      </w:r>
      <w:r>
        <w:rPr>
          <w:rFonts w:hint="eastAsia" w:ascii="仿宋_GB2312" w:hAnsi="仿宋_GB2312" w:eastAsia="仿宋_GB2312" w:cs="仿宋_GB2312"/>
          <w:sz w:val="32"/>
          <w:szCs w:val="32"/>
        </w:rPr>
        <w:t>资产原值</w:t>
      </w:r>
      <w:r>
        <w:rPr>
          <w:rFonts w:hint="eastAsia" w:ascii="仿宋_GB2312" w:hAnsi="仿宋_GB2312" w:eastAsia="仿宋_GB2312" w:cs="仿宋_GB2312"/>
          <w:sz w:val="32"/>
          <w:szCs w:val="32"/>
          <w:lang w:val="en-US" w:eastAsia="zh-CN"/>
        </w:rPr>
        <w:t>2亿元，</w:t>
      </w:r>
      <w:r>
        <w:rPr>
          <w:rFonts w:hint="eastAsia" w:ascii="仿宋_GB2312" w:hAnsi="仿宋_GB2312" w:eastAsia="仿宋_GB2312" w:cs="仿宋_GB2312"/>
          <w:sz w:val="32"/>
          <w:szCs w:val="32"/>
        </w:rPr>
        <w:t>文化、体育和娱乐业资产原值0.</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公共管理、社会保障和社会组织资产原值</w:t>
      </w:r>
      <w:r>
        <w:rPr>
          <w:rFonts w:hint="eastAsia" w:ascii="仿宋_GB2312" w:hAnsi="仿宋_GB2312" w:eastAsia="仿宋_GB2312" w:cs="仿宋_GB2312"/>
          <w:sz w:val="32"/>
          <w:szCs w:val="32"/>
          <w:lang w:val="en-US" w:eastAsia="zh-CN"/>
        </w:rPr>
        <w:t>27.65亿元，</w:t>
      </w:r>
      <w:r>
        <w:rPr>
          <w:rFonts w:hint="eastAsia" w:ascii="仿宋_GB2312" w:hAnsi="仿宋_GB2312" w:eastAsia="仿宋_GB2312" w:cs="仿宋_GB2312"/>
          <w:sz w:val="32"/>
          <w:szCs w:val="32"/>
        </w:rPr>
        <w:t>其他行政事业单位资产原值</w:t>
      </w:r>
      <w:r>
        <w:rPr>
          <w:rFonts w:hint="eastAsia" w:ascii="仿宋_GB2312" w:hAnsi="仿宋_GB2312" w:eastAsia="仿宋_GB2312" w:cs="仿宋_GB2312"/>
          <w:sz w:val="32"/>
          <w:szCs w:val="32"/>
          <w:lang w:val="en-US" w:eastAsia="zh-CN"/>
        </w:rPr>
        <w:t>0.01</w:t>
      </w:r>
      <w:r>
        <w:rPr>
          <w:rFonts w:hint="eastAsia" w:ascii="仿宋_GB2312" w:hAnsi="仿宋_GB2312" w:eastAsia="仿宋_GB2312" w:cs="仿宋_GB2312"/>
          <w:sz w:val="32"/>
          <w:szCs w:val="32"/>
        </w:rPr>
        <w:t>亿元。</w:t>
      </w:r>
    </w:p>
    <w:p w14:paraId="158C36F2">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我区行政事业单位固定资产原值</w:t>
      </w:r>
      <w:r>
        <w:rPr>
          <w:rFonts w:hint="eastAsia" w:ascii="仿宋_GB2312" w:hAnsi="仿宋_GB2312" w:eastAsia="仿宋_GB2312" w:cs="仿宋_GB2312"/>
          <w:sz w:val="32"/>
          <w:szCs w:val="32"/>
          <w:lang w:val="en-US" w:eastAsia="zh-CN"/>
        </w:rPr>
        <w:t>22.71</w:t>
      </w:r>
      <w:r>
        <w:rPr>
          <w:rFonts w:hint="eastAsia" w:ascii="仿宋_GB2312" w:hAnsi="仿宋_GB2312" w:eastAsia="仿宋_GB2312" w:cs="仿宋_GB2312"/>
          <w:sz w:val="32"/>
          <w:szCs w:val="32"/>
        </w:rPr>
        <w:t>亿元，其中按资产类别分类，土地、房屋和构筑物原值</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亿元，设备原值</w:t>
      </w:r>
      <w:r>
        <w:rPr>
          <w:rFonts w:hint="eastAsia" w:ascii="仿宋_GB2312" w:hAnsi="仿宋_GB2312" w:eastAsia="仿宋_GB2312" w:cs="仿宋_GB2312"/>
          <w:sz w:val="32"/>
          <w:szCs w:val="32"/>
          <w:lang w:val="en-US" w:eastAsia="zh-CN"/>
        </w:rPr>
        <w:t>8.45</w:t>
      </w:r>
      <w:r>
        <w:rPr>
          <w:rFonts w:hint="eastAsia" w:ascii="仿宋_GB2312" w:hAnsi="仿宋_GB2312" w:eastAsia="仿宋_GB2312" w:cs="仿宋_GB2312"/>
          <w:sz w:val="32"/>
          <w:szCs w:val="32"/>
        </w:rPr>
        <w:t>亿元，文物和陈列品原值0.12亿元，图书档案原值0.3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亿元，家具、用具及特种动植物原值1.</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亿元。</w:t>
      </w:r>
    </w:p>
    <w:p w14:paraId="584FB7DF">
      <w:pPr>
        <w:spacing w:line="600" w:lineRule="exact"/>
        <w:ind w:firstLine="630"/>
        <w:rPr>
          <w:rFonts w:hint="eastAsia" w:ascii="黑体" w:hAnsi="黑体" w:eastAsia="黑体" w:cs="仿宋_GB2312"/>
          <w:sz w:val="32"/>
          <w:szCs w:val="32"/>
        </w:rPr>
      </w:pPr>
      <w:r>
        <w:rPr>
          <w:rFonts w:hint="eastAsia" w:ascii="黑体" w:hAnsi="黑体" w:eastAsia="黑体" w:cs="仿宋_GB2312"/>
          <w:sz w:val="32"/>
          <w:szCs w:val="32"/>
        </w:rPr>
        <w:t>二、区行政事业单位国有资产管理情况</w:t>
      </w:r>
    </w:p>
    <w:p w14:paraId="7B823433">
      <w:pPr>
        <w:spacing w:line="600" w:lineRule="exact"/>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（一）建立规章制度，规范行政事业单位国有资产管理</w:t>
      </w:r>
    </w:p>
    <w:p w14:paraId="59965BC6">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为切实做好区行政事业国有资产管理工作，提高国有资产使用效益，防止国有资产流失，我区出台了《福州市晋安区人民政府关于印发&lt;晋安区行政事业单位国有资产管理办法&gt;的通知》（榕晋政综〔</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〕225号），对行政事业单位国有资产调拨、处置、转让及出租等各环节工作进行了规范。</w:t>
      </w:r>
    </w:p>
    <w:p w14:paraId="0AB7ABFE">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为加强各单位国有资产管理，确保各单位国有资产账表相符、账实相符、账账相符，出台了《福州市晋安区财政局关于持续做好行政事业单位国有资产清查工作的通知》（榕晋财（综）〔</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〕11号），要求各单位</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固定</w:t>
      </w:r>
      <w:r>
        <w:rPr>
          <w:rFonts w:hint="eastAsia" w:ascii="仿宋_GB2312" w:hAnsi="仿宋_GB2312" w:eastAsia="仿宋_GB2312" w:cs="仿宋_GB2312"/>
          <w:sz w:val="32"/>
          <w:szCs w:val="32"/>
        </w:rPr>
        <w:t>资产台账、对202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年资产进行清查</w:t>
      </w:r>
      <w:r>
        <w:rPr>
          <w:rFonts w:hint="eastAsia" w:ascii="仿宋_GB2312" w:hAnsi="仿宋_GB2312" w:eastAsia="仿宋_GB2312" w:cs="仿宋_GB2312"/>
          <w:sz w:val="32"/>
          <w:szCs w:val="32"/>
          <w:lang w:eastAsia="zh-CN"/>
        </w:rPr>
        <w:t>确保账实相符</w:t>
      </w:r>
      <w:r>
        <w:rPr>
          <w:rFonts w:hint="eastAsia" w:ascii="仿宋_GB2312" w:hAnsi="仿宋_GB2312" w:eastAsia="仿宋_GB2312" w:cs="仿宋_GB2312"/>
          <w:sz w:val="32"/>
          <w:szCs w:val="32"/>
        </w:rPr>
        <w:t>。</w:t>
      </w:r>
    </w:p>
    <w:p w14:paraId="6CCC08C8">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为健全完善国有资产管理制度，明确原值10万元（含10万元）以上国有资产处置流程，出台了《福州市晋安区人民政府办公室关于健全完善国有资产管理制度的通知》（榕晋政(办）〔</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〕232号），调整充实国有资产领导小组成员，建立定期联席会议制度。</w:t>
      </w:r>
    </w:p>
    <w:p w14:paraId="0E54FCE3">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为指导区行政事业单位处置机动车辆，出台了《关于机动车辆处置的补充规定》（榕晋财（综）〔</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〕117号），明确了机动车辆的处置方式、报废审批程序和标准。</w:t>
      </w:r>
    </w:p>
    <w:p w14:paraId="68EC64A2">
      <w:pPr>
        <w:spacing w:line="600" w:lineRule="exact"/>
        <w:ind w:firstLine="630"/>
        <w:rPr>
          <w:rFonts w:hint="eastAsia" w:ascii="楷体" w:hAnsi="楷体" w:eastAsia="楷体" w:cs="楷体"/>
          <w:sz w:val="32"/>
          <w:szCs w:val="32"/>
        </w:rPr>
      </w:pPr>
      <w:r>
        <w:rPr>
          <w:rFonts w:hint="eastAsia" w:ascii="楷体" w:hAnsi="楷体" w:eastAsia="楷体" w:cs="楷体"/>
          <w:sz w:val="32"/>
          <w:szCs w:val="32"/>
        </w:rPr>
        <w:t>（二）加强资产全过程监管，防范国有资产流失</w:t>
      </w:r>
    </w:p>
    <w:p w14:paraId="0EA862C8">
      <w:pPr>
        <w:spacing w:line="600" w:lineRule="exact"/>
        <w:ind w:firstLine="63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规范资产配置管理。严格根据《晋安区财政局关于转发&lt;福州市财政局关于印发福州市政府集中采购目录及限额标准的通知&gt;的通知》（榕晋财（综）〔</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〕36号）、《晋安区财政局关于转发福建省财政厅关于调整省级行政事业单位通用办公设备和办公家具购置费预算标准的通知》（榕晋财（综）〔</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〕206号）</w:t>
      </w:r>
      <w:r>
        <w:rPr>
          <w:rFonts w:hint="eastAsia" w:ascii="仿宋_GB2312" w:hAnsi="仿宋_GB2312" w:eastAsia="仿宋_GB2312" w:cs="仿宋_GB2312"/>
          <w:sz w:val="32"/>
          <w:szCs w:val="32"/>
          <w:highlight w:val="none"/>
        </w:rPr>
        <w:t>等文件要求配置资产，从严控制无标准资产的配置。</w:t>
      </w:r>
    </w:p>
    <w:p w14:paraId="3CC560C3">
      <w:pPr>
        <w:spacing w:line="600" w:lineRule="exact"/>
        <w:ind w:firstLine="63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加强财政资源统筹。</w:t>
      </w:r>
      <w:r>
        <w:rPr>
          <w:rFonts w:hint="eastAsia" w:ascii="仿宋_GB2312" w:hAnsi="仿宋_GB2312" w:eastAsia="仿宋_GB2312" w:cs="仿宋_GB2312"/>
          <w:sz w:val="32"/>
          <w:szCs w:val="32"/>
          <w:highlight w:val="none"/>
          <w:lang w:eastAsia="zh-CN"/>
        </w:rPr>
        <w:t>为落实政府过紧日子要求，进一步做好我区行政事业单位国有资产盘活工作，出台了</w:t>
      </w:r>
      <w:r>
        <w:rPr>
          <w:rFonts w:hint="eastAsia" w:ascii="仿宋_GB2312" w:hAnsi="仿宋_GB2312" w:eastAsia="仿宋_GB2312" w:cs="仿宋_GB2312"/>
          <w:sz w:val="32"/>
          <w:szCs w:val="32"/>
          <w:highlight w:val="none"/>
        </w:rPr>
        <w:t>《晋安区财政局关于转发&lt;福州市</w:t>
      </w:r>
      <w:r>
        <w:rPr>
          <w:rFonts w:hint="eastAsia" w:ascii="仿宋_GB2312" w:hAnsi="仿宋_GB2312" w:eastAsia="仿宋_GB2312" w:cs="仿宋_GB2312"/>
          <w:sz w:val="32"/>
          <w:szCs w:val="32"/>
          <w:highlight w:val="none"/>
          <w:lang w:eastAsia="zh-CN"/>
        </w:rPr>
        <w:t>财政局转发</w:t>
      </w:r>
      <w:r>
        <w:rPr>
          <w:rFonts w:hint="eastAsia" w:ascii="仿宋_GB2312" w:hAnsi="仿宋_GB2312" w:eastAsia="仿宋_GB2312" w:cs="仿宋_GB2312"/>
          <w:sz w:val="32"/>
          <w:szCs w:val="32"/>
          <w:highlight w:val="none"/>
          <w:lang w:val="en-US" w:eastAsia="zh-CN"/>
        </w:rPr>
        <w:t>&lt;财政部关于盘活行政事业单位国有资产的指导意见&gt;的通知&gt;的通知</w:t>
      </w:r>
      <w:r>
        <w:rPr>
          <w:rFonts w:hint="eastAsia" w:ascii="仿宋_GB2312" w:hAnsi="仿宋_GB2312" w:eastAsia="仿宋_GB2312" w:cs="仿宋_GB2312"/>
          <w:sz w:val="32"/>
          <w:szCs w:val="32"/>
          <w:highlight w:val="none"/>
        </w:rPr>
        <w:t>》（榕晋财（综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lang w:eastAsia="zh-CN"/>
        </w:rPr>
        <w:t>号），要求各单位通过盘活低效运转资产、闲置资产，推进存量资产充分利用和调剂共享，切实提高资产效益，充分发挥资产效能。</w:t>
      </w:r>
    </w:p>
    <w:p w14:paraId="61F3B56B">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资产处置管理。严把资产“出口”关，遵循公开、公平、公正的原则，通过拍卖、招投标等公开方式进行资产处置，规范处置行为，防止国有资产流失。推行电子废弃物定点统一回收处理。按照单位性质和收入类型，严格规范收支行为，应收尽收。行政事业单位国有资产处置收入和资产出租出借收入，扣除相关税费后及时、足额上缴国库。</w:t>
      </w:r>
    </w:p>
    <w:p w14:paraId="3F35330E">
      <w:pPr>
        <w:spacing w:line="60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组织全区进行资产清查。为加强我区国有资产管理，组织我区单位以202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为基准日，开展资产清查工作，对盘盈、盘亏、待报废资产及时做好相应处理，确保账实相符、账表相符、账账相符，根据各单位反馈情况，存在待报废、盘亏、盘盈的情况，将督促各单位在今后按规定程序及时做好账务处理。</w:t>
      </w:r>
    </w:p>
    <w:p w14:paraId="2D3F4F59">
      <w:pPr>
        <w:spacing w:line="600" w:lineRule="exact"/>
        <w:ind w:firstLine="630"/>
        <w:rPr>
          <w:rFonts w:hint="eastAsia" w:ascii="黑体" w:hAnsi="黑体" w:eastAsia="黑体" w:cs="仿宋_GB2312"/>
          <w:sz w:val="32"/>
          <w:szCs w:val="32"/>
        </w:rPr>
      </w:pPr>
      <w:r>
        <w:rPr>
          <w:rFonts w:hint="eastAsia" w:ascii="黑体" w:hAnsi="黑体" w:eastAsia="黑体" w:cs="仿宋_GB2312"/>
          <w:sz w:val="32"/>
          <w:szCs w:val="32"/>
        </w:rPr>
        <w:t>三、区行政事业单位国有资产管理存在的问题</w:t>
      </w:r>
    </w:p>
    <w:p w14:paraId="7C314719">
      <w:pPr>
        <w:spacing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管理制度不够健全、不够具体。</w:t>
      </w:r>
      <w:r>
        <w:rPr>
          <w:rFonts w:hint="eastAsia" w:ascii="仿宋_GB2312" w:eastAsia="仿宋_GB2312"/>
          <w:sz w:val="32"/>
          <w:szCs w:val="32"/>
        </w:rPr>
        <w:t>部分单位资产管理制度不全，财务管理与资产管理脱节，资产处置、权属转移未及时办理相应手续，资产登记不及时、信息登记不准确。管理人员的配置、人员素质能力与现行资产管理要求不相适应</w:t>
      </w:r>
      <w:r>
        <w:rPr>
          <w:rFonts w:hint="eastAsia" w:ascii="仿宋_GB2312" w:eastAsia="仿宋_GB2312"/>
          <w:sz w:val="32"/>
          <w:szCs w:val="32"/>
          <w:lang w:eastAsia="zh-CN"/>
        </w:rPr>
        <w:t>，</w:t>
      </w:r>
      <w:r>
        <w:rPr>
          <w:rFonts w:hint="eastAsia" w:ascii="仿宋_GB2312" w:eastAsia="仿宋_GB2312"/>
          <w:sz w:val="32"/>
          <w:szCs w:val="32"/>
        </w:rPr>
        <w:t>不少单位没有专职资产管理人员，资产管理职责分散在各使用单位，造成资产日常管理和监督不到位。</w:t>
      </w:r>
    </w:p>
    <w:p w14:paraId="3DE4A616">
      <w:pPr>
        <w:spacing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）资产配置不合理。</w:t>
      </w:r>
      <w:r>
        <w:rPr>
          <w:rFonts w:hint="eastAsia" w:ascii="仿宋_GB2312" w:eastAsia="仿宋_GB2312"/>
          <w:sz w:val="32"/>
          <w:szCs w:val="32"/>
        </w:rPr>
        <w:t>个别单位不能严格按照标准配置资产，超规格、超数量的现象仍有存在，如公车改革后，部分无车辆编制的单位仍有车辆；有的单位办公设备配置标准、规格不适当，形成闲置、浪费。</w:t>
      </w:r>
    </w:p>
    <w:p w14:paraId="366FE03A">
      <w:pPr>
        <w:spacing w:line="600" w:lineRule="exact"/>
        <w:ind w:firstLine="630"/>
        <w:rPr>
          <w:rFonts w:hint="eastAsia" w:ascii="黑体" w:hAnsi="黑体" w:eastAsia="黑体" w:cs="仿宋_GB2312"/>
          <w:sz w:val="32"/>
          <w:szCs w:val="32"/>
        </w:rPr>
      </w:pPr>
      <w:r>
        <w:rPr>
          <w:rFonts w:hint="eastAsia" w:ascii="黑体" w:hAnsi="黑体" w:eastAsia="黑体" w:cs="仿宋_GB2312"/>
          <w:sz w:val="32"/>
          <w:szCs w:val="32"/>
        </w:rPr>
        <w:t>四、区行政事业单位国有资产管理下一步工作方案</w:t>
      </w:r>
    </w:p>
    <w:p w14:paraId="0EE5A837">
      <w:pPr>
        <w:spacing w:line="60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）不断细化法规制度和机制建设。</w:t>
      </w:r>
      <w:r>
        <w:rPr>
          <w:rFonts w:hint="eastAsia" w:ascii="仿宋_GB2312" w:eastAsia="仿宋_GB2312"/>
          <w:sz w:val="32"/>
          <w:szCs w:val="32"/>
        </w:rPr>
        <w:t>按照上级新出台的行政事业性国有资产管理法规制度，及时修订完善我区相关规定和规章制度，建立健全资产配置、处置、调剂、有偿使用的审批程序，进一步细化资产的配置标准、收入处置等管理办法，落实资产监管单位、产权单位和使用单位的权利和责任。强化资产管理与预算管理、财务管理的衔接，严格按规定合理配置资产。建立资产调配统筹机制，加强闲置资产调配，盘活国有资产，提高资产使用效率，避免资产闲置浪费甚至流失。</w:t>
      </w:r>
    </w:p>
    <w:p w14:paraId="70E5B9AE">
      <w:pPr>
        <w:spacing w:line="60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）抓紧妥善解决部分单位资产权属不清、难以处置的遗留问题。</w:t>
      </w:r>
      <w:r>
        <w:rPr>
          <w:rFonts w:hint="eastAsia" w:ascii="仿宋_GB2312" w:eastAsia="仿宋_GB2312"/>
          <w:sz w:val="32"/>
          <w:szCs w:val="32"/>
        </w:rPr>
        <w:t>按照尊重历史、实事求是、依法依规、妥善解决的原则，抓紧对历史遗留问题深入调研，划清责任，分类处理，做到责任明确、处理恰当。进一步规范行政事业单位资产权属管理，各行政事业单位按期对资产进行彻底清查，弄清家底，做到实物清楚、数据准确、账实相符，在此基础上对产权进行全面确认登记。对由于历史问题而未处置的资产，各相关单位应高度重视，加派人力查明来龙去脉，搜集相关证据，争取早日解决未处置问题。</w:t>
      </w:r>
    </w:p>
    <w:p w14:paraId="0742E606">
      <w:pPr>
        <w:spacing w:line="600" w:lineRule="exact"/>
        <w:ind w:firstLine="630"/>
        <w:rPr>
          <w:rFonts w:hint="eastAsia" w:ascii="黑体" w:hAnsi="黑体" w:eastAsia="黑体" w:cs="仿宋_GB2312"/>
          <w:sz w:val="32"/>
          <w:szCs w:val="32"/>
        </w:rPr>
      </w:pPr>
      <w:r>
        <w:rPr>
          <w:rFonts w:hint="eastAsia" w:ascii="黑体" w:hAnsi="黑体" w:eastAsia="黑体" w:cs="仿宋_GB2312"/>
          <w:sz w:val="32"/>
          <w:szCs w:val="32"/>
          <w:lang w:eastAsia="zh-CN"/>
        </w:rPr>
        <w:t>五</w:t>
      </w:r>
      <w:r>
        <w:rPr>
          <w:rFonts w:hint="eastAsia" w:ascii="黑体" w:hAnsi="黑体" w:eastAsia="黑体" w:cs="仿宋_GB2312"/>
          <w:sz w:val="32"/>
          <w:szCs w:val="32"/>
        </w:rPr>
        <w:t>、区属国有企业情况</w:t>
      </w:r>
    </w:p>
    <w:p w14:paraId="698A73A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推动国企改革向更广更深落实，对</w:t>
      </w:r>
      <w:r>
        <w:rPr>
          <w:rFonts w:hint="eastAsia" w:ascii="仿宋_GB2312" w:hAnsi="仿宋_GB2312" w:eastAsia="仿宋_GB2312" w:cs="仿宋_GB2312"/>
          <w:color w:val="000000"/>
          <w:sz w:val="32"/>
          <w:szCs w:val="32"/>
          <w:highlight w:val="none"/>
          <w:lang w:val="en-US" w:eastAsia="zh-CN"/>
        </w:rPr>
        <w:t>区属国有企业</w:t>
      </w:r>
      <w:r>
        <w:rPr>
          <w:rFonts w:hint="eastAsia" w:ascii="仿宋_GB2312" w:hAnsi="仿宋_GB2312" w:eastAsia="仿宋_GB2312" w:cs="仿宋_GB2312"/>
          <w:color w:val="000000"/>
          <w:sz w:val="32"/>
          <w:szCs w:val="32"/>
          <w:highlight w:val="none"/>
        </w:rPr>
        <w:t>进行逐个分析，对于无实际经营业务企业、亏损企业，根据实际情况“一企一分析”，符合注销条件的，剥离资产进行注销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2024年，</w:t>
      </w:r>
      <w:r>
        <w:rPr>
          <w:rFonts w:hint="eastAsia" w:ascii="仿宋_GB2312" w:hAnsi="仿宋_GB2312" w:eastAsia="仿宋_GB2312" w:cs="仿宋_GB2312"/>
          <w:color w:val="000000"/>
          <w:sz w:val="32"/>
          <w:szCs w:val="32"/>
          <w:highlight w:val="none"/>
        </w:rPr>
        <w:t>对新晋数投公司下设的数投榕博、数投农旅、数投教育3家全资子公司进行注销；严格控制企业层级，</w:t>
      </w:r>
      <w:r>
        <w:rPr>
          <w:rFonts w:hint="eastAsia" w:ascii="仿宋_GB2312" w:hAnsi="仿宋_GB2312" w:eastAsia="仿宋_GB2312" w:cs="仿宋_GB2312"/>
          <w:color w:val="000000"/>
          <w:sz w:val="32"/>
          <w:szCs w:val="32"/>
          <w:highlight w:val="none"/>
          <w:lang w:val="en-US" w:eastAsia="zh-CN"/>
        </w:rPr>
        <w:t>将1家二级合资企业调整为三级，对2家四级子企业进行调整，完成</w:t>
      </w:r>
      <w:r>
        <w:rPr>
          <w:rFonts w:hint="eastAsia" w:ascii="仿宋_GB2312" w:hAnsi="仿宋_GB2312" w:eastAsia="仿宋_GB2312" w:cs="仿宋_GB2312"/>
          <w:color w:val="000000"/>
          <w:sz w:val="32"/>
          <w:szCs w:val="32"/>
          <w:highlight w:val="none"/>
        </w:rPr>
        <w:t>原则上第三层级及以下子企业不再设立子公司</w:t>
      </w:r>
      <w:r>
        <w:rPr>
          <w:rFonts w:hint="eastAsia" w:ascii="仿宋_GB2312" w:hAnsi="仿宋_GB2312" w:eastAsia="仿宋_GB2312" w:cs="仿宋_GB2312"/>
          <w:color w:val="000000"/>
          <w:sz w:val="32"/>
          <w:szCs w:val="32"/>
          <w:highlight w:val="none"/>
          <w:lang w:val="en-US" w:eastAsia="zh-CN"/>
        </w:rPr>
        <w:t>目标。截至目前，形成1+6+16的区属国有企业架构。</w:t>
      </w:r>
    </w:p>
    <w:p w14:paraId="6CE3374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Cs/>
          <w:color w:val="000000"/>
          <w:sz w:val="32"/>
          <w:szCs w:val="32"/>
          <w:highlight w:val="none"/>
        </w:rPr>
      </w:pPr>
      <w:r>
        <w:rPr>
          <w:rFonts w:hint="eastAsia" w:ascii="仿宋_GB2312" w:hAnsi="仿宋_GB2312" w:eastAsia="仿宋_GB2312" w:cs="仿宋_GB2312"/>
          <w:color w:val="000000"/>
          <w:sz w:val="32"/>
          <w:szCs w:val="32"/>
          <w:highlight w:val="none"/>
        </w:rPr>
        <w:t>截至2024年12月底，区国投集团总资产规模36.35亿元，同比增加58.25%，集团净资产10.81亿元，实现营业收入12.71亿元</w:t>
      </w:r>
      <w:r>
        <w:rPr>
          <w:rFonts w:hint="eastAsia" w:ascii="仿宋_GB2312" w:hAnsi="仿宋_GB2312" w:eastAsia="仿宋_GB2312" w:cs="仿宋_GB2312"/>
          <w:color w:val="000000"/>
          <w:sz w:val="32"/>
          <w:szCs w:val="32"/>
          <w:highlight w:val="none"/>
          <w:lang w:eastAsia="zh-CN"/>
        </w:rPr>
        <w:t>。</w:t>
      </w:r>
    </w:p>
    <w:p w14:paraId="6951974D">
      <w:pPr>
        <w:spacing w:line="600" w:lineRule="exact"/>
        <w:ind w:firstLine="630"/>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六、区属国有企业主要工作及成效</w:t>
      </w:r>
    </w:p>
    <w:p w14:paraId="7564BE83">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（一）加强国企监察审计体系建设。</w:t>
      </w:r>
      <w:r>
        <w:rPr>
          <w:rFonts w:hint="eastAsia" w:ascii="仿宋_GB2312" w:hAnsi="仿宋_GB2312" w:eastAsia="仿宋_GB2312" w:cs="仿宋_GB2312"/>
          <w:b w:val="0"/>
          <w:bCs w:val="0"/>
          <w:color w:val="auto"/>
          <w:kern w:val="0"/>
          <w:sz w:val="32"/>
          <w:szCs w:val="32"/>
          <w:highlight w:val="none"/>
          <w:lang w:val="en-US" w:eastAsia="zh-CN" w:bidi="ar-SA"/>
        </w:rPr>
        <w:t>推动“一把手”直接领导内审，确保整改经营性不动产管理专项审计问题，实现规范管理。指导组建区国投集团内审机构，通过第三方招聘社会审计人员，壮大内审力量。</w:t>
      </w:r>
      <w:r>
        <w:rPr>
          <w:rFonts w:hint="eastAsia" w:ascii="仿宋_GB2312" w:hAnsi="Times New Roman" w:eastAsia="仿宋_GB2312" w:cs="Times New Roman"/>
          <w:sz w:val="32"/>
          <w:szCs w:val="32"/>
          <w:highlight w:val="none"/>
        </w:rPr>
        <w:t>认真落实</w:t>
      </w:r>
      <w:r>
        <w:rPr>
          <w:rFonts w:hint="eastAsia" w:ascii="仿宋_GB2312" w:hAnsi="Times New Roman" w:eastAsia="仿宋_GB2312" w:cs="Times New Roman"/>
          <w:sz w:val="32"/>
          <w:szCs w:val="32"/>
          <w:highlight w:val="none"/>
          <w:lang w:val="en-US" w:eastAsia="zh-CN"/>
        </w:rPr>
        <w:t>区委</w:t>
      </w:r>
      <w:r>
        <w:rPr>
          <w:rFonts w:hint="eastAsia" w:ascii="仿宋_GB2312" w:hAnsi="Times New Roman" w:eastAsia="仿宋_GB2312" w:cs="Times New Roman"/>
          <w:sz w:val="32"/>
          <w:szCs w:val="32"/>
          <w:highlight w:val="none"/>
        </w:rPr>
        <w:t>审计委员会办公室印发的</w:t>
      </w:r>
      <w:r>
        <w:rPr>
          <w:rFonts w:hint="eastAsia" w:ascii="仿宋_GB2312" w:hAnsi="Times New Roman" w:eastAsia="仿宋_GB2312" w:cs="Times New Roman"/>
          <w:sz w:val="32"/>
          <w:szCs w:val="32"/>
          <w:highlight w:val="none"/>
          <w:lang w:val="en-US" w:eastAsia="zh-CN"/>
        </w:rPr>
        <w:t>内审工作推进实施方案</w:t>
      </w:r>
      <w:r>
        <w:rPr>
          <w:rFonts w:hint="eastAsia" w:ascii="仿宋_GB2312" w:hAnsi="Times New Roman" w:eastAsia="仿宋_GB2312" w:cs="Times New Roman"/>
          <w:sz w:val="32"/>
          <w:szCs w:val="32"/>
          <w:highlight w:val="none"/>
        </w:rPr>
        <w:t>，从</w:t>
      </w:r>
      <w:r>
        <w:rPr>
          <w:rFonts w:hint="eastAsia" w:ascii="仿宋_GB2312" w:hAnsi="Times New Roman" w:eastAsia="仿宋_GB2312" w:cs="Times New Roman"/>
          <w:sz w:val="32"/>
          <w:szCs w:val="32"/>
          <w:highlight w:val="none"/>
          <w:lang w:val="en-US" w:eastAsia="zh-CN"/>
        </w:rPr>
        <w:t>建立</w:t>
      </w:r>
      <w:r>
        <w:rPr>
          <w:rFonts w:hint="eastAsia" w:ascii="仿宋_GB2312" w:hAnsi="Times New Roman" w:eastAsia="仿宋_GB2312" w:cs="Times New Roman"/>
          <w:sz w:val="32"/>
          <w:szCs w:val="32"/>
          <w:highlight w:val="none"/>
        </w:rPr>
        <w:t>内部审计工作</w:t>
      </w:r>
      <w:r>
        <w:rPr>
          <w:rFonts w:hint="eastAsia" w:ascii="仿宋_GB2312" w:hAnsi="Times New Roman" w:eastAsia="仿宋_GB2312" w:cs="Times New Roman"/>
          <w:sz w:val="32"/>
          <w:szCs w:val="32"/>
          <w:highlight w:val="none"/>
          <w:lang w:val="en-US" w:eastAsia="zh-CN"/>
        </w:rPr>
        <w:t>制度</w:t>
      </w:r>
      <w:r>
        <w:rPr>
          <w:rFonts w:hint="eastAsia" w:ascii="仿宋_GB2312" w:hAnsi="Times New Roman" w:eastAsia="仿宋_GB2312" w:cs="Times New Roman"/>
          <w:sz w:val="32"/>
          <w:szCs w:val="32"/>
          <w:highlight w:val="none"/>
        </w:rPr>
        <w:t>和</w:t>
      </w:r>
      <w:r>
        <w:rPr>
          <w:rFonts w:hint="eastAsia" w:ascii="仿宋_GB2312" w:hAnsi="Times New Roman" w:eastAsia="仿宋_GB2312" w:cs="Times New Roman"/>
          <w:sz w:val="32"/>
          <w:szCs w:val="32"/>
          <w:highlight w:val="none"/>
          <w:lang w:val="en-US" w:eastAsia="zh-CN"/>
        </w:rPr>
        <w:t>规范</w:t>
      </w:r>
      <w:r>
        <w:rPr>
          <w:rFonts w:hint="eastAsia" w:ascii="仿宋_GB2312" w:hAnsi="Times New Roman" w:eastAsia="仿宋_GB2312" w:cs="Times New Roman"/>
          <w:sz w:val="32"/>
          <w:szCs w:val="32"/>
          <w:highlight w:val="none"/>
        </w:rPr>
        <w:t>内部审计工作入手，</w:t>
      </w:r>
      <w:r>
        <w:rPr>
          <w:rFonts w:hint="eastAsia" w:ascii="仿宋_GB2312" w:hAnsi="Times New Roman" w:eastAsia="仿宋_GB2312" w:cs="Times New Roman"/>
          <w:sz w:val="32"/>
          <w:szCs w:val="32"/>
          <w:highlight w:val="none"/>
          <w:lang w:val="en-US" w:eastAsia="zh-CN"/>
        </w:rPr>
        <w:t>制定《内部审计管理办法（试行）》和《内部审计工作指南》，</w:t>
      </w:r>
      <w:r>
        <w:rPr>
          <w:rFonts w:hint="eastAsia" w:ascii="仿宋_GB2312" w:hAnsi="Times New Roman" w:eastAsia="仿宋_GB2312" w:cs="Times New Roman"/>
          <w:sz w:val="32"/>
          <w:szCs w:val="32"/>
          <w:highlight w:val="none"/>
        </w:rPr>
        <w:t>为</w:t>
      </w:r>
      <w:r>
        <w:rPr>
          <w:rFonts w:hint="eastAsia" w:ascii="仿宋_GB2312" w:hAnsi="Times New Roman" w:eastAsia="仿宋_GB2312" w:cs="Times New Roman"/>
          <w:sz w:val="32"/>
          <w:szCs w:val="32"/>
          <w:highlight w:val="none"/>
          <w:lang w:val="en-US" w:eastAsia="zh-CN"/>
        </w:rPr>
        <w:t>区属国有企业</w:t>
      </w:r>
      <w:r>
        <w:rPr>
          <w:rFonts w:hint="eastAsia" w:ascii="仿宋_GB2312" w:hAnsi="Times New Roman" w:eastAsia="仿宋_GB2312" w:cs="Times New Roman"/>
          <w:sz w:val="32"/>
          <w:szCs w:val="32"/>
          <w:highlight w:val="none"/>
        </w:rPr>
        <w:t>内部审计管理工作建立明确指引，初步形成内部审计工作规范，保障内部审计工作的规范性与程序性。</w:t>
      </w:r>
    </w:p>
    <w:p w14:paraId="47278927">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（二）加速构建国企制度框架。</w:t>
      </w:r>
      <w:r>
        <w:rPr>
          <w:rFonts w:hint="eastAsia" w:ascii="仿宋_GB2312" w:hAnsi="仿宋_GB2312" w:eastAsia="仿宋_GB2312" w:cs="仿宋_GB2312"/>
          <w:b w:val="0"/>
          <w:bCs w:val="0"/>
          <w:color w:val="auto"/>
          <w:kern w:val="0"/>
          <w:sz w:val="32"/>
          <w:szCs w:val="32"/>
          <w:highlight w:val="none"/>
          <w:lang w:val="en-US" w:eastAsia="zh-CN" w:bidi="ar-SA"/>
        </w:rPr>
        <w:t>指导区国投集团完善“三重一大”决策制度、投资管理制度，二级企业在“三重一大”决策制度明晰主营业务范围，新增业务强化风控研判，严控非主业投资。完善考核分配制度，推进实行二级企业负责人薪酬方案和经营业绩考核办法，探索职业经理人管理办法和工资总额制度，“一司一策”对子公司开展个性化业绩考核，实现负责人薪酬和业绩强挂钩。谋划修订管理制度，完成集团管理制度汇编，将福兴资产运营公司纳入区国投集团制度管控，助推区属国有企业制度化、规范化、科学化管理。加强企业内部管理，促进国资国企发展提质增效。</w:t>
      </w:r>
    </w:p>
    <w:p w14:paraId="7F94565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（三）提升国资运营管理效能。</w:t>
      </w:r>
      <w:r>
        <w:rPr>
          <w:rFonts w:hint="eastAsia" w:ascii="仿宋_GB2312" w:hAnsi="仿宋_GB2312" w:eastAsia="仿宋_GB2312" w:cs="仿宋_GB2312"/>
          <w:b w:val="0"/>
          <w:bCs w:val="0"/>
          <w:kern w:val="0"/>
          <w:sz w:val="32"/>
          <w:szCs w:val="32"/>
          <w:highlight w:val="none"/>
          <w:lang w:val="en-US" w:eastAsia="zh-CN" w:bidi="ar-SA"/>
        </w:rPr>
        <w:t>推进区国投集团对区属经营性国有资产集中统一监管</w:t>
      </w:r>
      <w:r>
        <w:rPr>
          <w:rFonts w:hint="eastAsia" w:ascii="仿宋_GB2312" w:eastAsia="仿宋_GB2312"/>
          <w:color w:val="000000"/>
          <w:sz w:val="32"/>
          <w:szCs w:val="32"/>
          <w:highlight w:val="none"/>
          <w:lang w:val="en-US" w:eastAsia="zh-CN"/>
        </w:rPr>
        <w:t>。截至2024年底，区国投集团已全面接管资产共计54处（其中2024年新增10处,涉及面积1.05万平方米），总面积7.74万平方米，2024年全年实现资产收益突破3000万元大关。同时，集团积极盘活国有存量资产，加速推进快递服务用房等关键资产的接收与盘活工作，至今已顺利接收6处快递服务用房，总面积253平方米，有效促进了资产的高效利用。此外，晋安资产服务平台自2024年4月正式运营以来，已成为推动资产租赁透明化、规范化的重要力量，吸引了鼓山镇、新店镇等多家单位入驻，成功上线64处租赁标的，并促成交易合同价款高达1078万元，彰显了平台强大的市场影响力和服务效能。</w:t>
      </w:r>
    </w:p>
    <w:p w14:paraId="467AAC0A">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（四）推进重大项目谋划。</w:t>
      </w:r>
      <w:r>
        <w:rPr>
          <w:rFonts w:hint="eastAsia" w:ascii="仿宋_GB2312" w:hAnsi="仿宋_GB2312" w:eastAsia="仿宋_GB2312" w:cs="仿宋_GB2312"/>
          <w:b w:val="0"/>
          <w:bCs w:val="0"/>
          <w:kern w:val="0"/>
          <w:sz w:val="32"/>
          <w:szCs w:val="32"/>
          <w:highlight w:val="none"/>
          <w:lang w:val="en-US" w:eastAsia="zh-CN" w:bidi="ar-SA"/>
        </w:rPr>
        <w:t>指导区国投集团</w:t>
      </w:r>
      <w:r>
        <w:rPr>
          <w:rFonts w:hint="eastAsia" w:ascii="仿宋_GB2312" w:hAnsi="仿宋_GB2312" w:eastAsia="仿宋_GB2312" w:cs="仿宋_GB2312"/>
          <w:kern w:val="0"/>
          <w:sz w:val="32"/>
          <w:szCs w:val="32"/>
          <w:highlight w:val="none"/>
          <w:lang w:val="en-US" w:eastAsia="zh-CN" w:bidi="ar-SA"/>
        </w:rPr>
        <w:t>积极申报2024年一般债（1个）、专项债（7个）、增发国债（15个）、超长期国债（2个）和中央预算内投资项目（2个），2024年度累计获批资金10.2866亿元，涵盖晋安区综合信息基础设施升级项目、“三创”示范园、老旧小区改造、北峰污水治理、全域停车场、体育馆改造和宦溪工业园、水利水毁山洪沟城乡供水及监测项目等，助力区国投集团做强做优做大。</w:t>
      </w:r>
      <w:r>
        <w:rPr>
          <w:rFonts w:hint="eastAsia" w:ascii="仿宋_GB2312" w:hAnsi="仿宋_GB2312" w:eastAsia="仿宋_GB2312" w:cs="仿宋_GB2312"/>
          <w:b w:val="0"/>
          <w:bCs w:val="0"/>
          <w:kern w:val="0"/>
          <w:sz w:val="32"/>
          <w:szCs w:val="32"/>
          <w:highlight w:val="none"/>
          <w:lang w:val="en-US" w:eastAsia="zh-CN" w:bidi="ar-SA"/>
        </w:rPr>
        <w:t>加强民生基础设施建设，</w:t>
      </w:r>
      <w:r>
        <w:rPr>
          <w:rFonts w:hint="eastAsia" w:ascii="仿宋_GB2312" w:hAnsi="仿宋_GB2312" w:eastAsia="仿宋_GB2312" w:cs="仿宋_GB2312"/>
          <w:kern w:val="0"/>
          <w:sz w:val="32"/>
          <w:szCs w:val="32"/>
          <w:highlight w:val="none"/>
          <w:lang w:val="en-US" w:eastAsia="zh-CN" w:bidi="ar-SA"/>
        </w:rPr>
        <w:t>全年续建工程项目13个，新开工项目6个，竣工验收项目4个，</w:t>
      </w:r>
      <w:r>
        <w:rPr>
          <w:rFonts w:hint="eastAsia" w:ascii="仿宋_GB2312" w:eastAsia="仿宋_GB2312"/>
          <w:color w:val="000000"/>
          <w:sz w:val="32"/>
          <w:szCs w:val="32"/>
          <w:highlight w:val="none"/>
          <w:lang w:val="en-US" w:eastAsia="zh-CN"/>
        </w:rPr>
        <w:t>承接了总金额约10.5亿元的7大区内建设项目，涵盖农村供水修复、老旧小区改造、污水治理、土地开发整理、燃气管道更新</w:t>
      </w:r>
      <w:r>
        <w:rPr>
          <w:rFonts w:hint="eastAsia" w:ascii="仿宋_GB2312" w:eastAsia="仿宋_GB2312"/>
          <w:color w:val="000000"/>
          <w:sz w:val="32"/>
          <w:szCs w:val="32"/>
          <w:lang w:val="en-US" w:eastAsia="zh-CN"/>
        </w:rPr>
        <w:t>、樟林路转角公园建设及两中心装修。</w:t>
      </w:r>
      <w:r>
        <w:rPr>
          <w:rFonts w:hint="eastAsia" w:ascii="仿宋_GB2312" w:hAnsi="仿宋_GB2312" w:eastAsia="仿宋_GB2312" w:cs="仿宋_GB2312"/>
          <w:b w:val="0"/>
          <w:bCs w:val="0"/>
          <w:color w:val="000000"/>
          <w:kern w:val="0"/>
          <w:sz w:val="32"/>
          <w:szCs w:val="32"/>
          <w:highlight w:val="none"/>
          <w:lang w:val="en-US" w:eastAsia="zh-CN" w:bidi="ar-SA"/>
        </w:rPr>
        <w:t>积极承接并管理了50片室外体育设施及晋安体育馆，通过细致摸排与分类施策，对设施进行了有效维护与管理。目前，已有6片足球场及1片篮球场修缮完成并投入使用对外开放，剩余设施也在逐步规划修缮或寻求合作运营。</w:t>
      </w:r>
    </w:p>
    <w:p w14:paraId="033BBD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Cs/>
          <w:sz w:val="32"/>
          <w:szCs w:val="32"/>
          <w:highlight w:val="none"/>
        </w:rPr>
      </w:pPr>
      <w:r>
        <w:rPr>
          <w:rFonts w:hint="eastAsia" w:ascii="黑体" w:hAnsi="黑体" w:eastAsia="黑体"/>
          <w:bCs/>
          <w:sz w:val="32"/>
          <w:szCs w:val="32"/>
          <w:highlight w:val="none"/>
          <w:lang w:eastAsia="zh-CN"/>
        </w:rPr>
        <w:t>七</w:t>
      </w:r>
      <w:r>
        <w:rPr>
          <w:rFonts w:hint="eastAsia" w:ascii="黑体" w:hAnsi="黑体" w:eastAsia="黑体"/>
          <w:bCs/>
          <w:sz w:val="32"/>
          <w:szCs w:val="32"/>
          <w:highlight w:val="none"/>
        </w:rPr>
        <w:t>、区属国有企业下一步工作方案</w:t>
      </w:r>
    </w:p>
    <w:p w14:paraId="7DED73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（一）继续</w:t>
      </w:r>
      <w:bookmarkStart w:id="1" w:name="_GoBack"/>
      <w:bookmarkEnd w:id="1"/>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深化国有企业改革。</w:t>
      </w:r>
      <w:r>
        <w:rPr>
          <w:rFonts w:hint="eastAsia" w:ascii="仿宋_GB2312" w:hAnsi="仿宋_GB2312" w:eastAsia="仿宋_GB2312" w:cs="仿宋_GB2312"/>
          <w:b w:val="0"/>
          <w:bCs w:val="0"/>
          <w:color w:val="000000"/>
          <w:kern w:val="0"/>
          <w:sz w:val="32"/>
          <w:szCs w:val="32"/>
          <w:highlight w:val="none"/>
          <w:lang w:val="en-US" w:eastAsia="zh-CN" w:bidi="ar-SA"/>
        </w:rPr>
        <w:t>国有企业整合深度不足，多停留于结构层面的表面整合，缺乏对各企业深层次的分析与实质性融合，导致区属企业部分业务竞争力不足、盈利能力薄弱。进一步盘点深层次分析各区属企业，逐步退出低效、无竞争力业务，整合资源，关停并注销小弱散、无实质性业务企业。</w:t>
      </w:r>
    </w:p>
    <w:p w14:paraId="685BFE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（二）积极构建财务预算管理平台。</w:t>
      </w:r>
      <w:r>
        <w:rPr>
          <w:rFonts w:hint="eastAsia" w:ascii="仿宋_GB2312" w:hAnsi="仿宋_GB2312" w:eastAsia="仿宋_GB2312" w:cs="仿宋_GB2312"/>
          <w:b w:val="0"/>
          <w:bCs w:val="0"/>
          <w:i w:val="0"/>
          <w:iCs w:val="0"/>
          <w:caps w:val="0"/>
          <w:color w:val="040404"/>
          <w:spacing w:val="0"/>
          <w:kern w:val="2"/>
          <w:sz w:val="32"/>
          <w:szCs w:val="32"/>
          <w:shd w:val="clear" w:color="auto" w:fill="FFFFFF"/>
          <w:lang w:val="en-US" w:eastAsia="zh-CN" w:bidi="ar-SA"/>
        </w:rPr>
        <w:t>推进区国投集团财务预算管理平台建设，有机融合滚动与年度预算策略。不断强化审批制度，切实优化资源配置，精准精细控制成本，确保每一笔支出均经过严格审核。通过定期对预算执行情况进行监控与分析，及时调整策略，以实现资金的最大效益。在国企改革领域，持续深化“一企一策”改革思路，精准剥离无效资产，优化内部考核激励机制，充分激发企业活力与员工创造力，同时积极盘活存量</w:t>
      </w:r>
      <w:r>
        <w:rPr>
          <w:rFonts w:hint="eastAsia" w:ascii="仿宋_GB2312" w:hAnsi="仿宋_GB2312" w:eastAsia="仿宋_GB2312" w:cs="仿宋_GB2312"/>
          <w:b w:val="0"/>
          <w:bCs w:val="0"/>
          <w:i w:val="0"/>
          <w:iCs w:val="0"/>
          <w:caps w:val="0"/>
          <w:color w:val="040404"/>
          <w:spacing w:val="0"/>
          <w:kern w:val="2"/>
          <w:sz w:val="32"/>
          <w:szCs w:val="32"/>
          <w:highlight w:val="none"/>
          <w:shd w:val="clear" w:color="auto" w:fill="FFFFFF"/>
          <w:lang w:val="en-US" w:eastAsia="zh-CN" w:bidi="ar-SA"/>
        </w:rPr>
        <w:t>资产，为企业注入强劲发展动力。</w:t>
      </w:r>
    </w:p>
    <w:p w14:paraId="2551D0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b w:val="0"/>
          <w:bCs w:val="0"/>
          <w:i w:val="0"/>
          <w:iCs w:val="0"/>
          <w:caps w:val="0"/>
          <w:color w:val="040404"/>
          <w:spacing w:val="0"/>
          <w:kern w:val="2"/>
          <w:sz w:val="32"/>
          <w:szCs w:val="32"/>
          <w:highlight w:val="none"/>
          <w:shd w:val="clear" w:color="auto" w:fill="FFFFFF"/>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shd w:val="clear" w:color="auto" w:fill="FFFFFF"/>
          <w:lang w:val="en-US" w:eastAsia="zh-CN" w:bidi="ar-SA"/>
        </w:rPr>
        <w:t>（三）规范内审流程，开展内部审计工作。</w:t>
      </w:r>
      <w:r>
        <w:rPr>
          <w:rFonts w:hint="eastAsia" w:ascii="仿宋_GB2312" w:hAnsi="仿宋_GB2312" w:eastAsia="仿宋_GB2312" w:cs="仿宋_GB2312"/>
          <w:b w:val="0"/>
          <w:bCs w:val="0"/>
          <w:color w:val="000000"/>
          <w:kern w:val="0"/>
          <w:sz w:val="32"/>
          <w:szCs w:val="32"/>
          <w:highlight w:val="none"/>
          <w:lang w:val="en-US" w:eastAsia="zh-CN" w:bidi="ar-SA"/>
        </w:rPr>
        <w:t>指导区国投集团规范内</w:t>
      </w:r>
      <w:r>
        <w:rPr>
          <w:rFonts w:hint="eastAsia" w:ascii="仿宋_GB2312" w:hAnsi="仿宋_GB2312" w:eastAsia="仿宋_GB2312" w:cs="仿宋_GB2312"/>
          <w:b w:val="0"/>
          <w:bCs w:val="0"/>
          <w:i w:val="0"/>
          <w:iCs w:val="0"/>
          <w:caps w:val="0"/>
          <w:color w:val="040404"/>
          <w:spacing w:val="0"/>
          <w:kern w:val="2"/>
          <w:sz w:val="32"/>
          <w:szCs w:val="32"/>
          <w:highlight w:val="none"/>
          <w:shd w:val="clear" w:color="auto" w:fill="FFFFFF"/>
          <w:lang w:val="en-US" w:eastAsia="zh-CN" w:bidi="ar-SA"/>
        </w:rPr>
        <w:t>部审计流程，确保从审前调研到审计整改的每一个环节都精准高效。全面铺开区属企业的内部审计工作，通过对区属企业开展全面审计、专项审计与财务大检查，强化对区属国有企业的经营管理、财务监督，推动企业管理、财务管理制度化、规范化。健全审计结果运用机制，将审计发现的问题转化为改进的动力，为干部任用、经营考核提供有力依据。</w:t>
      </w:r>
    </w:p>
    <w:p w14:paraId="0BE9D1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Fonts w:hint="eastAsia" w:ascii="仿宋_GB2312" w:hAnsi="仿宋_GB2312" w:eastAsia="仿宋_GB2312" w:cs="仿宋_GB2312"/>
          <w:b w:val="0"/>
          <w:bCs w:val="0"/>
          <w:i w:val="0"/>
          <w:iCs w:val="0"/>
          <w:caps w:val="0"/>
          <w:color w:val="040404"/>
          <w:spacing w:val="0"/>
          <w:kern w:val="2"/>
          <w:sz w:val="32"/>
          <w:szCs w:val="32"/>
          <w:highlight w:val="none"/>
          <w:shd w:val="clear" w:color="auto" w:fill="FFFFFF"/>
          <w:lang w:val="en-US" w:eastAsia="zh-CN" w:bidi="ar-SA"/>
        </w:rPr>
      </w:pPr>
      <w:r>
        <w:rPr>
          <w:rFonts w:hint="eastAsia" w:ascii="楷体_GB2312" w:hAnsi="楷体_GB2312" w:eastAsia="楷体_GB2312" w:cs="楷体_GB2312"/>
          <w:b w:val="0"/>
          <w:bCs w:val="0"/>
          <w:i w:val="0"/>
          <w:iCs w:val="0"/>
          <w:caps w:val="0"/>
          <w:color w:val="040404"/>
          <w:spacing w:val="0"/>
          <w:kern w:val="2"/>
          <w:sz w:val="32"/>
          <w:szCs w:val="32"/>
          <w:highlight w:val="none"/>
          <w:shd w:val="clear" w:color="auto" w:fill="FFFFFF"/>
          <w:lang w:val="en-US" w:eastAsia="zh-CN" w:bidi="ar-SA"/>
        </w:rPr>
        <w:t>（四）做强做优做大区国投集团。</w:t>
      </w:r>
      <w:r>
        <w:rPr>
          <w:rFonts w:hint="eastAsia" w:ascii="仿宋_GB2312" w:hAnsi="仿宋_GB2312" w:eastAsia="仿宋_GB2312" w:cs="仿宋_GB2312"/>
          <w:b w:val="0"/>
          <w:bCs w:val="0"/>
          <w:kern w:val="2"/>
          <w:sz w:val="32"/>
          <w:szCs w:val="32"/>
          <w:highlight w:val="none"/>
          <w:lang w:val="en-US" w:eastAsia="zh-CN" w:bidi="ar-SA"/>
        </w:rPr>
        <w:t>加强区属国有资产管理，继续推动区直部门和集体企业经营性资产移交至区国投集团，梳理盘活闲置低效资产，完善</w:t>
      </w:r>
      <w:r>
        <w:rPr>
          <w:rFonts w:hint="eastAsia" w:ascii="仿宋_GB2312" w:hAnsi="仿宋_GB2312" w:eastAsia="仿宋_GB2312" w:cs="仿宋_GB2312"/>
          <w:b w:val="0"/>
          <w:bCs w:val="0"/>
          <w:i w:val="0"/>
          <w:iCs w:val="0"/>
          <w:caps w:val="0"/>
          <w:color w:val="040404"/>
          <w:spacing w:val="0"/>
          <w:kern w:val="2"/>
          <w:sz w:val="32"/>
          <w:szCs w:val="32"/>
          <w:highlight w:val="none"/>
          <w:shd w:val="clear" w:color="auto" w:fill="FFFFFF"/>
          <w:lang w:val="en-US" w:eastAsia="zh-CN" w:bidi="ar-SA"/>
        </w:rPr>
        <w:t>资产租赁管理规程。积极探索通过抖音、第三方招商等多平台宣传渠道，以切实扩大宣传面，提升资产租赁工作的成效，为经济的稳定发展贡献力量。</w:t>
      </w:r>
    </w:p>
    <w:p w14:paraId="0336E040">
      <w:pPr>
        <w:spacing w:line="600" w:lineRule="exact"/>
        <w:ind w:firstLine="645"/>
        <w:jc w:val="left"/>
        <w:rPr>
          <w:rFonts w:ascii="仿宋" w:hAnsi="仿宋" w:eastAsia="仿宋"/>
          <w:sz w:val="32"/>
          <w:szCs w:val="32"/>
        </w:rPr>
      </w:pPr>
      <w:r>
        <w:rPr>
          <w:rFonts w:hint="eastAsia" w:ascii="仿宋" w:hAnsi="仿宋" w:eastAsia="仿宋"/>
          <w:sz w:val="32"/>
          <w:szCs w:val="32"/>
        </w:rPr>
        <w:t>以上报告</w:t>
      </w:r>
      <w:r>
        <w:rPr>
          <w:rFonts w:ascii="仿宋" w:hAnsi="仿宋" w:eastAsia="仿宋"/>
          <w:sz w:val="32"/>
          <w:szCs w:val="32"/>
        </w:rPr>
        <w:t>，请予审议。</w:t>
      </w:r>
    </w:p>
    <w:p w14:paraId="01ED0017">
      <w:pPr>
        <w:spacing w:line="600" w:lineRule="exact"/>
        <w:ind w:firstLine="645"/>
        <w:jc w:val="left"/>
        <w:rPr>
          <w:rFonts w:ascii="仿宋" w:hAnsi="仿宋" w:eastAsia="仿宋"/>
          <w:sz w:val="32"/>
          <w:szCs w:val="32"/>
        </w:rPr>
      </w:pPr>
    </w:p>
    <w:p w14:paraId="0FBD988D">
      <w:pPr>
        <w:spacing w:line="600" w:lineRule="exact"/>
        <w:ind w:firstLine="645"/>
        <w:jc w:val="left"/>
        <w:rPr>
          <w:rFonts w:ascii="仿宋" w:hAnsi="仿宋" w:eastAsia="仿宋"/>
          <w:sz w:val="32"/>
          <w:szCs w:val="32"/>
        </w:rPr>
      </w:pPr>
    </w:p>
    <w:p w14:paraId="48BDC6AA">
      <w:pPr>
        <w:spacing w:line="600" w:lineRule="exact"/>
        <w:ind w:firstLine="645"/>
        <w:jc w:val="left"/>
        <w:rPr>
          <w:rFonts w:ascii="仿宋" w:hAnsi="仿宋" w:eastAsia="仿宋"/>
          <w:sz w:val="32"/>
          <w:szCs w:val="32"/>
        </w:rPr>
      </w:pPr>
    </w:p>
    <w:p w14:paraId="373F0DCF">
      <w:pPr>
        <w:spacing w:line="600" w:lineRule="exact"/>
        <w:ind w:firstLine="645"/>
        <w:jc w:val="left"/>
        <w:rPr>
          <w:rFonts w:ascii="仿宋" w:hAnsi="仿宋" w:eastAsia="仿宋"/>
          <w:sz w:val="32"/>
          <w:szCs w:val="32"/>
        </w:rPr>
      </w:pPr>
    </w:p>
    <w:p w14:paraId="15A51932">
      <w:pPr>
        <w:spacing w:line="600" w:lineRule="exact"/>
        <w:ind w:firstLine="645"/>
        <w:jc w:val="left"/>
        <w:rPr>
          <w:rFonts w:ascii="仿宋" w:hAnsi="仿宋" w:eastAsia="仿宋"/>
          <w:sz w:val="32"/>
          <w:szCs w:val="32"/>
        </w:rPr>
      </w:pPr>
    </w:p>
    <w:p w14:paraId="0DE496B1">
      <w:pPr>
        <w:spacing w:line="600" w:lineRule="exact"/>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5MWEwNDUwYTNkMTFmMWY1MTJkZTIwMzRkYzZlZGYifQ=="/>
  </w:docVars>
  <w:rsids>
    <w:rsidRoot w:val="006A7CA6"/>
    <w:rsid w:val="00033E4B"/>
    <w:rsid w:val="00615B3B"/>
    <w:rsid w:val="006A7CA6"/>
    <w:rsid w:val="0078701B"/>
    <w:rsid w:val="007B2BB1"/>
    <w:rsid w:val="00C51044"/>
    <w:rsid w:val="00EE4A3C"/>
    <w:rsid w:val="013A2059"/>
    <w:rsid w:val="0D3E14D5"/>
    <w:rsid w:val="0E3236E2"/>
    <w:rsid w:val="112C2A33"/>
    <w:rsid w:val="12434AD3"/>
    <w:rsid w:val="13214697"/>
    <w:rsid w:val="19586D6E"/>
    <w:rsid w:val="1CB065E1"/>
    <w:rsid w:val="1E293D31"/>
    <w:rsid w:val="22763460"/>
    <w:rsid w:val="2B0A524A"/>
    <w:rsid w:val="2E3D100E"/>
    <w:rsid w:val="398353D9"/>
    <w:rsid w:val="3A807940"/>
    <w:rsid w:val="3B683397"/>
    <w:rsid w:val="40A05C4C"/>
    <w:rsid w:val="433D6DFA"/>
    <w:rsid w:val="44196B94"/>
    <w:rsid w:val="4B156F72"/>
    <w:rsid w:val="4DE03C0F"/>
    <w:rsid w:val="54507D8F"/>
    <w:rsid w:val="568467CE"/>
    <w:rsid w:val="56E73F91"/>
    <w:rsid w:val="5A163362"/>
    <w:rsid w:val="5B971660"/>
    <w:rsid w:val="61663065"/>
    <w:rsid w:val="6D476F63"/>
    <w:rsid w:val="6EC34F5B"/>
    <w:rsid w:val="708E7675"/>
    <w:rsid w:val="742648AE"/>
    <w:rsid w:val="79770076"/>
    <w:rsid w:val="7DBA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next w:val="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4370</Words>
  <Characters>4574</Characters>
  <Lines>1</Lines>
  <Paragraphs>1</Paragraphs>
  <TotalTime>0</TotalTime>
  <ScaleCrop>false</ScaleCrop>
  <LinksUpToDate>false</LinksUpToDate>
  <CharactersWithSpaces>4596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2018-05-15T09:54:00Z</dcterms:created>
  <dc:creator>Administrator</dc:creator>
  <cp:lastModifiedBy>肖玲琳</cp:lastModifiedBy>
  <dcterms:modified xsi:type="dcterms:W3CDTF">2026-02-03T10:01:16Z</dcterms:modified>
  <dc:title>区人大常委会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1EA02C4C8A9F4D4E9D041FF456433501</vt:lpwstr>
  </property>
  <property fmtid="{D5CDD505-2E9C-101B-9397-08002B2CF9AE}" pid="4" name="KSOTemplateDocerSaveRecord">
    <vt:lpwstr>eyJoZGlkIjoiZDE1ZTc3ZGY4NDdmMzA3NzNiMTQwMTcxZjMwYTFkY2EiLCJ1c2VySWQiOiIxNjg0ODMzMjMzIn0=</vt:lpwstr>
  </property>
</Properties>
</file>