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附件3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晋安区信息化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建设项目验收工作大纲</w:t>
      </w:r>
    </w:p>
    <w:bookmarkEnd w:id="0"/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第一条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项目建设单位在项目竣工后应自行组织初步验收，并试运行三个月后，向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区发改局（区大数据局）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提出项目竣工验收申请。如不能按建设计划进行竣工验收的，项目建设单位应向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区发改局（区大数据局）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提出延迟竣工验收申请，说明推迟竣工验收的理由。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第二条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项目建设单位申请竣工验收时应提供下列验收文件、资料。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1.项目竣工验收申请表；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2.项目工作报告；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3.项目技术报告；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4.系统测试报告（第三方测试，重要系统含安全测试）；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5.用户使用情况报告；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6.效益分析报告；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7.项目经费使用情况报告；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8.项目运行保障措施；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9.项目建设单位初步验收意见；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10.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其他有关附件（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区发改局（区大数据局）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项目可行性研究报告暨初步设计方案的批复文件、项目可行性研究报告暨初步设计方案、招标文件、承建方的中标方案即投标文件、项目合同、项目监理情况报告等）。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第三条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项目竣工验收以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区发改局（区大数据局）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批复的项目可行性研究报告暨初步设计方案建设内容、项目可行性研究报告暨初步设计方案、中标方案、中标合同的内容和确定的考核目标为基本依据，对建设内容完成情况、经费使用的合理性、项目的经济和社会效益等作出客观的、实事求是的评价，形成项目竣工验收意见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第四条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对未通过竣工验收的项目，项目建设单位应按验收委员会提出的意见及时整改，经整改完善后可再提出竣工验收申请。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第五条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对整改后仍未通过竣工验收或逾期一年仍未通过竣工验收的项目，予以通报批评并停止拨付项目剩余的财政性投入资金。</w:t>
      </w:r>
    </w:p>
    <w:p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第六条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项目竣工验收意见将作为拨付项目运行维护经费的主要依据之一。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F6004"/>
    <w:rsid w:val="0D3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 w:val="0"/>
      <w:spacing w:before="100" w:beforeAutospacing="1" w:after="100" w:afterAutospacing="1"/>
    </w:pPr>
    <w:rPr>
      <w:rFonts w:ascii="宋体" w:hAnsi="Calibri" w:eastAsia="宋体" w:cs="黑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2020-09-07T09:01:00Z</dcterms:created>
  <dc:creator>浮世灬繁华</dc:creator>
  <cp:lastModifiedBy>浮世灬繁华</cp:lastModifiedBy>
  <dcterms:modified xsi:type="dcterms:W3CDTF">2020-09-07T09:02:05Z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