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ED907">
      <w:pPr>
        <w:jc w:val="center"/>
        <w:rPr>
          <w:rFonts w:hint="eastAsia" w:ascii="黑体" w:hAnsi="黑体" w:eastAsia="黑体" w:cs="黑体"/>
          <w:color w:val="auto"/>
          <w:sz w:val="32"/>
          <w:szCs w:val="32"/>
          <w:highlight w:val="none"/>
          <w:rtl w:val="0"/>
          <w:lang w:val="en-US" w:eastAsia="zh-CN"/>
        </w:rPr>
      </w:pPr>
      <w:r>
        <w:rPr>
          <w:rFonts w:hint="eastAsia" w:ascii="黑体" w:hAnsi="黑体" w:eastAsia="黑体" w:cs="黑体"/>
          <w:color w:val="auto"/>
          <w:sz w:val="32"/>
          <w:szCs w:val="32"/>
          <w:highlight w:val="none"/>
          <w:lang w:val="en-US" w:eastAsia="zh-CN"/>
        </w:rPr>
        <w:t>晋安区</w:t>
      </w:r>
      <w:r>
        <w:rPr>
          <w:rFonts w:hint="eastAsia" w:ascii="黑体" w:hAnsi="黑体" w:eastAsia="黑体" w:cs="黑体"/>
          <w:color w:val="auto"/>
          <w:sz w:val="32"/>
          <w:szCs w:val="32"/>
          <w:highlight w:val="none"/>
          <w:rtl w:val="0"/>
          <w:lang w:val="en-US" w:eastAsia="zh-CN"/>
        </w:rPr>
        <w:t>“3·6”高处坠落一般生产安全事故</w:t>
      </w:r>
    </w:p>
    <w:p w14:paraId="340A16DE">
      <w:pPr>
        <w:jc w:val="cente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整改措施落实情况评估报告</w:t>
      </w:r>
    </w:p>
    <w:p w14:paraId="405A1CA2">
      <w:pPr>
        <w:jc w:val="center"/>
        <w:rPr>
          <w:rFonts w:hint="eastAsia" w:ascii="黑体" w:hAnsi="黑体" w:eastAsia="黑体" w:cs="黑体"/>
          <w:color w:val="auto"/>
          <w:sz w:val="32"/>
          <w:szCs w:val="32"/>
          <w:highlight w:val="none"/>
          <w:lang w:val="en-US" w:eastAsia="zh-CN"/>
        </w:rPr>
      </w:pPr>
    </w:p>
    <w:p w14:paraId="4A1A6D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2025</w:t>
      </w:r>
      <w:r>
        <w:rPr>
          <w:rFonts w:hint="eastAsia" w:ascii="仿宋" w:hAnsi="仿宋" w:eastAsia="仿宋" w:cs="仿宋"/>
          <w:b w:val="0"/>
          <w:bCs w:val="0"/>
          <w:color w:val="auto"/>
          <w:sz w:val="32"/>
          <w:szCs w:val="32"/>
          <w:highlight w:val="none"/>
          <w:rtl w:val="0"/>
          <w:lang w:val="zh-TW" w:eastAsia="zh-TW"/>
        </w:rPr>
        <w:t>年</w:t>
      </w:r>
      <w:r>
        <w:rPr>
          <w:rFonts w:hint="eastAsia" w:ascii="仿宋" w:hAnsi="仿宋" w:eastAsia="仿宋" w:cs="仿宋"/>
          <w:b w:val="0"/>
          <w:bCs w:val="0"/>
          <w:color w:val="auto"/>
          <w:sz w:val="32"/>
          <w:szCs w:val="32"/>
          <w:highlight w:val="none"/>
          <w:rtl w:val="0"/>
          <w:lang w:val="en-US" w:eastAsia="zh-CN"/>
        </w:rPr>
        <w:t>3</w:t>
      </w:r>
      <w:r>
        <w:rPr>
          <w:rFonts w:hint="eastAsia" w:ascii="仿宋" w:hAnsi="仿宋" w:eastAsia="仿宋" w:cs="仿宋"/>
          <w:b w:val="0"/>
          <w:bCs w:val="0"/>
          <w:color w:val="auto"/>
          <w:sz w:val="32"/>
          <w:szCs w:val="32"/>
          <w:highlight w:val="none"/>
          <w:rtl w:val="0"/>
          <w:lang w:val="zh-TW" w:eastAsia="zh-TW"/>
        </w:rPr>
        <w:t>月</w:t>
      </w:r>
      <w:r>
        <w:rPr>
          <w:rFonts w:hint="eastAsia" w:ascii="仿宋" w:hAnsi="仿宋" w:eastAsia="仿宋" w:cs="仿宋"/>
          <w:b w:val="0"/>
          <w:bCs w:val="0"/>
          <w:color w:val="auto"/>
          <w:sz w:val="32"/>
          <w:szCs w:val="32"/>
          <w:highlight w:val="none"/>
          <w:rtl w:val="0"/>
          <w:lang w:val="en-US" w:eastAsia="zh-CN"/>
        </w:rPr>
        <w:t>6</w:t>
      </w:r>
      <w:r>
        <w:rPr>
          <w:rFonts w:hint="eastAsia" w:ascii="仿宋" w:hAnsi="仿宋" w:eastAsia="仿宋" w:cs="仿宋"/>
          <w:b w:val="0"/>
          <w:bCs w:val="0"/>
          <w:color w:val="auto"/>
          <w:sz w:val="32"/>
          <w:szCs w:val="32"/>
          <w:highlight w:val="none"/>
          <w:rtl w:val="0"/>
          <w:lang w:val="zh-TW" w:eastAsia="zh-TW"/>
        </w:rPr>
        <w:t>日</w:t>
      </w:r>
      <w:r>
        <w:rPr>
          <w:rFonts w:hint="eastAsia" w:ascii="仿宋" w:hAnsi="仿宋" w:eastAsia="仿宋" w:cs="仿宋"/>
          <w:b w:val="0"/>
          <w:bCs w:val="0"/>
          <w:color w:val="auto"/>
          <w:sz w:val="32"/>
          <w:szCs w:val="32"/>
          <w:highlight w:val="none"/>
          <w:rtl w:val="0"/>
          <w:lang w:val="en-US" w:eastAsia="zh-CN"/>
        </w:rPr>
        <w:t>9时50分许，在晋安区鼓山镇福厝·远山拾里1#楼、2#楼二次改造工程项目工地内，一名福州亿顺达建筑劳务有限公司的模板工人，在施工作业时不慎从高处坠落至地面，经120医护人员现场确认死亡。事故造成</w:t>
      </w:r>
      <w:r>
        <w:rPr>
          <w:rFonts w:hint="eastAsia" w:ascii="仿宋" w:hAnsi="仿宋" w:eastAsia="仿宋" w:cs="仿宋"/>
          <w:color w:val="auto"/>
          <w:sz w:val="32"/>
          <w:szCs w:val="32"/>
          <w:highlight w:val="none"/>
        </w:rPr>
        <w:t>直接经济损失约</w:t>
      </w:r>
      <w:r>
        <w:rPr>
          <w:rFonts w:hint="eastAsia" w:ascii="仿宋" w:hAnsi="仿宋" w:eastAsia="仿宋" w:cs="仿宋"/>
          <w:color w:val="auto"/>
          <w:sz w:val="32"/>
          <w:szCs w:val="32"/>
          <w:highlight w:val="none"/>
          <w:lang w:val="en-US" w:eastAsia="zh-CN"/>
        </w:rPr>
        <w:t>180</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val="en-US" w:eastAsia="zh-CN"/>
        </w:rPr>
        <w:t>。</w:t>
      </w:r>
    </w:p>
    <w:p w14:paraId="0982C5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i w:val="0"/>
          <w:iCs w:val="0"/>
          <w:caps w:val="0"/>
          <w:color w:val="auto"/>
          <w:spacing w:val="0"/>
          <w:sz w:val="32"/>
          <w:szCs w:val="32"/>
          <w:highlight w:val="none"/>
          <w:shd w:val="clear" w:color="auto" w:fill="FFFFFF"/>
        </w:rPr>
      </w:pPr>
      <w:r>
        <w:rPr>
          <w:rFonts w:hint="eastAsia" w:ascii="仿宋" w:hAnsi="仿宋" w:eastAsia="仿宋" w:cs="仿宋"/>
          <w:b w:val="0"/>
          <w:bCs w:val="0"/>
          <w:color w:val="auto"/>
          <w:sz w:val="32"/>
          <w:szCs w:val="32"/>
          <w:highlight w:val="none"/>
          <w:rtl w:val="0"/>
          <w:lang w:val="en-US" w:eastAsia="zh-CN"/>
        </w:rPr>
        <w:t>事故发生后，晋安区政府依法成立事故调查组开展调查，</w:t>
      </w:r>
      <w:r>
        <w:rPr>
          <w:rFonts w:hint="eastAsia" w:ascii="仿宋" w:hAnsi="仿宋" w:eastAsia="仿宋" w:cs="仿宋"/>
          <w:b w:val="0"/>
          <w:bCs w:val="0"/>
          <w:color w:val="auto"/>
          <w:sz w:val="32"/>
          <w:szCs w:val="32"/>
          <w:highlight w:val="none"/>
          <w:lang w:eastAsia="zh-CN"/>
        </w:rPr>
        <w:t>并邀请区监察委、晋安区人民检察院派员参加，同时委托福州市政府</w:t>
      </w:r>
      <w:r>
        <w:rPr>
          <w:rFonts w:hint="eastAsia" w:ascii="仿宋" w:hAnsi="仿宋" w:eastAsia="仿宋" w:cs="仿宋"/>
          <w:b w:val="0"/>
          <w:bCs w:val="0"/>
          <w:color w:val="auto"/>
          <w:sz w:val="32"/>
          <w:szCs w:val="32"/>
          <w:highlight w:val="none"/>
          <w:lang w:val="en-US" w:eastAsia="zh-CN"/>
        </w:rPr>
        <w:t>应急管理</w:t>
      </w:r>
      <w:r>
        <w:rPr>
          <w:rFonts w:hint="eastAsia" w:ascii="仿宋" w:hAnsi="仿宋" w:eastAsia="仿宋" w:cs="仿宋"/>
          <w:b w:val="0"/>
          <w:bCs w:val="0"/>
          <w:color w:val="auto"/>
          <w:sz w:val="32"/>
          <w:szCs w:val="32"/>
          <w:highlight w:val="none"/>
          <w:lang w:eastAsia="zh-CN"/>
        </w:rPr>
        <w:t>专家</w:t>
      </w:r>
      <w:r>
        <w:rPr>
          <w:rFonts w:hint="eastAsia" w:ascii="仿宋" w:hAnsi="仿宋" w:eastAsia="仿宋" w:cs="仿宋"/>
          <w:b w:val="0"/>
          <w:bCs w:val="0"/>
          <w:color w:val="auto"/>
          <w:sz w:val="32"/>
          <w:szCs w:val="32"/>
          <w:highlight w:val="none"/>
          <w:lang w:val="en-US" w:eastAsia="zh-CN"/>
        </w:rPr>
        <w:t>宋阳、辛武进行</w:t>
      </w:r>
      <w:r>
        <w:rPr>
          <w:rFonts w:hint="eastAsia" w:ascii="仿宋" w:hAnsi="仿宋" w:eastAsia="仿宋" w:cs="仿宋"/>
          <w:b w:val="0"/>
          <w:bCs w:val="0"/>
          <w:color w:val="auto"/>
          <w:sz w:val="32"/>
          <w:szCs w:val="32"/>
          <w:highlight w:val="none"/>
          <w:lang w:eastAsia="zh-CN"/>
        </w:rPr>
        <w:t>事故技术鉴定。</w:t>
      </w:r>
      <w:r>
        <w:rPr>
          <w:rFonts w:hint="eastAsia" w:ascii="仿宋" w:hAnsi="仿宋" w:eastAsia="仿宋" w:cs="仿宋"/>
          <w:b w:val="0"/>
          <w:bCs w:val="0"/>
          <w:color w:val="auto"/>
          <w:sz w:val="32"/>
          <w:szCs w:val="32"/>
          <w:highlight w:val="none"/>
          <w:lang w:val="en-US" w:eastAsia="zh-CN"/>
        </w:rPr>
        <w:t>事故调查组编制</w:t>
      </w:r>
      <w:r>
        <w:rPr>
          <w:rFonts w:hint="eastAsia" w:ascii="仿宋" w:hAnsi="仿宋" w:eastAsia="仿宋" w:cs="仿宋"/>
          <w:b w:val="0"/>
          <w:bCs w:val="0"/>
          <w:color w:val="auto"/>
          <w:sz w:val="32"/>
          <w:szCs w:val="32"/>
          <w:highlight w:val="none"/>
          <w:rtl w:val="0"/>
          <w:lang w:val="en-US" w:eastAsia="zh-CN"/>
        </w:rPr>
        <w:t>形成了《晋安区福州亿顺达建筑劳务有限公司“3·6”高处坠落一般生产安全事故调查报告》，查明了事故发生的经过、原因和人员伤亡情况，认定了事故性质和责任，提出了对有关责任单位和责任人员的处理建议，并针对事故原因及暴露出的问题，提出了防范措施和整改建议。</w:t>
      </w:r>
      <w:r>
        <w:rPr>
          <w:rFonts w:hint="eastAsia" w:ascii="仿宋" w:hAnsi="仿宋" w:eastAsia="仿宋" w:cs="仿宋"/>
          <w:i w:val="0"/>
          <w:iCs w:val="0"/>
          <w:caps w:val="0"/>
          <w:color w:val="auto"/>
          <w:spacing w:val="0"/>
          <w:sz w:val="32"/>
          <w:szCs w:val="32"/>
          <w:highlight w:val="none"/>
          <w:shd w:val="clear" w:color="auto" w:fill="FFFFFF"/>
        </w:rPr>
        <w:t> </w:t>
      </w:r>
    </w:p>
    <w:p w14:paraId="39EE14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2025年5月6日，福州市晋安区人民政府对事故调查报告予以批复（文号：榕晋政综〔2025〕80号）。现根据《中华人民共和国安全生产法》第八十六条规定，对该起事故整改和防范措施落实情况进行如下评估。</w:t>
      </w:r>
    </w:p>
    <w:p w14:paraId="7A60E0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t>一、评估工作组织开展情况 </w:t>
      </w:r>
    </w:p>
    <w:p w14:paraId="0C047A78">
      <w:pPr>
        <w:keepNext w:val="0"/>
        <w:keepLines w:val="0"/>
        <w:pageBreakBefore w:val="0"/>
        <w:kinsoku/>
        <w:overflowPunct/>
        <w:topLinePunct w:val="0"/>
        <w:autoSpaceDE/>
        <w:autoSpaceDN/>
        <w:bidi w:val="0"/>
        <w:adjustRightInd/>
        <w:snapToGrid/>
        <w:spacing w:line="560" w:lineRule="exact"/>
        <w:ind w:left="0" w:leftChars="0" w:firstLine="640" w:firstLineChars="200"/>
        <w:jc w:val="left"/>
        <w:textAlignment w:val="auto"/>
        <w:rPr>
          <w:rFonts w:hint="eastAsia" w:ascii="仿宋" w:hAnsi="仿宋" w:eastAsia="仿宋" w:cs="仿宋"/>
          <w:i w:val="0"/>
          <w:iCs w:val="0"/>
          <w:caps w:val="0"/>
          <w:color w:val="auto"/>
          <w:spacing w:val="0"/>
          <w:kern w:val="2"/>
          <w:sz w:val="32"/>
          <w:szCs w:val="32"/>
          <w:highlight w:val="none"/>
          <w:shd w:val="clear" w:color="auto" w:fill="FFFFFF"/>
          <w:lang w:val="en-US" w:eastAsia="zh-CN" w:bidi="ar-SA"/>
        </w:rPr>
      </w:pP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2月27日</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晋安区</w:t>
      </w:r>
      <w:r>
        <w:rPr>
          <w:rFonts w:hint="eastAsia" w:ascii="仿宋" w:hAnsi="仿宋" w:eastAsia="仿宋" w:cs="仿宋"/>
          <w:color w:val="auto"/>
          <w:sz w:val="32"/>
          <w:szCs w:val="32"/>
          <w:highlight w:val="none"/>
        </w:rPr>
        <w:t>人民政府安办成立由区应急管理局牵头，</w:t>
      </w:r>
      <w:r>
        <w:rPr>
          <w:rFonts w:hint="eastAsia" w:ascii="仿宋" w:hAnsi="仿宋" w:eastAsia="仿宋" w:cs="仿宋"/>
          <w:color w:val="auto"/>
          <w:sz w:val="32"/>
          <w:szCs w:val="32"/>
          <w:highlight w:val="none"/>
          <w:lang w:val="en-US" w:eastAsia="zh-CN"/>
        </w:rPr>
        <w:t>区住建局、</w:t>
      </w:r>
      <w:r>
        <w:rPr>
          <w:rFonts w:hint="eastAsia" w:ascii="仿宋" w:hAnsi="仿宋" w:eastAsia="仿宋" w:cs="仿宋"/>
          <w:color w:val="auto"/>
          <w:sz w:val="32"/>
          <w:szCs w:val="32"/>
          <w:highlight w:val="none"/>
        </w:rPr>
        <w:t>街道办事处等单位人员组成事故</w:t>
      </w:r>
      <w:r>
        <w:rPr>
          <w:rFonts w:hint="eastAsia" w:ascii="仿宋" w:hAnsi="仿宋" w:eastAsia="仿宋" w:cs="仿宋"/>
          <w:color w:val="auto"/>
          <w:sz w:val="32"/>
          <w:szCs w:val="32"/>
          <w:highlight w:val="none"/>
          <w:lang w:val="en-US" w:eastAsia="zh-CN"/>
        </w:rPr>
        <w:t>整改措施落实情况</w:t>
      </w:r>
      <w:r>
        <w:rPr>
          <w:rFonts w:hint="eastAsia" w:ascii="仿宋" w:hAnsi="仿宋" w:eastAsia="仿宋" w:cs="仿宋"/>
          <w:color w:val="auto"/>
          <w:sz w:val="32"/>
          <w:szCs w:val="32"/>
          <w:highlight w:val="none"/>
        </w:rPr>
        <w:t>评估工作组。工作组依据事故调查报告及相关批复要求，通过查阅文件资料、现场核查、听取汇报等方式，</w:t>
      </w:r>
      <w:r>
        <w:rPr>
          <w:rFonts w:hint="eastAsia" w:ascii="仿宋" w:hAnsi="仿宋" w:eastAsia="仿宋" w:cs="仿宋"/>
          <w:i w:val="0"/>
          <w:iCs w:val="0"/>
          <w:caps w:val="0"/>
          <w:color w:val="auto"/>
          <w:spacing w:val="0"/>
          <w:kern w:val="2"/>
          <w:sz w:val="32"/>
          <w:szCs w:val="32"/>
          <w:highlight w:val="none"/>
          <w:shd w:val="clear" w:color="auto" w:fill="FFFFFF"/>
          <w:lang w:val="en-US" w:eastAsia="zh-CN" w:bidi="ar-SA"/>
        </w:rPr>
        <w:t>对事故防范措施及责任追究落实情况逐项进行检查评估，提出评估工作意见，形成评估报告。</w:t>
      </w:r>
    </w:p>
    <w:p w14:paraId="3C5B85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pPr>
      <w:r>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t>二、事故责任人员、责任单位处理建议落实情况 </w:t>
      </w:r>
    </w:p>
    <w:p w14:paraId="7B1E6B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（一）</w:t>
      </w:r>
      <w:r>
        <w:rPr>
          <w:rFonts w:hint="eastAsia" w:ascii="仿宋" w:hAnsi="仿宋" w:eastAsia="仿宋" w:cs="仿宋"/>
          <w:color w:val="auto"/>
          <w:sz w:val="32"/>
          <w:szCs w:val="32"/>
          <w:highlight w:val="none"/>
          <w:lang w:val="en-US" w:eastAsia="zh-CN"/>
        </w:rPr>
        <w:t>事故责任人（</w:t>
      </w:r>
      <w:r>
        <w:rPr>
          <w:rFonts w:hint="eastAsia" w:ascii="仿宋" w:hAnsi="仿宋" w:eastAsia="仿宋" w:cs="仿宋"/>
          <w:b w:val="0"/>
          <w:bCs w:val="0"/>
          <w:color w:val="auto"/>
          <w:spacing w:val="0"/>
          <w:w w:val="100"/>
          <w:kern w:val="0"/>
          <w:position w:val="0"/>
          <w:sz w:val="32"/>
          <w:szCs w:val="32"/>
          <w:highlight w:val="none"/>
          <w:u w:val="none" w:color="000000"/>
          <w:shd w:val="clear" w:color="auto" w:fill="auto"/>
          <w:vertAlign w:val="baseline"/>
          <w:rtl w:val="0"/>
          <w:lang w:val="en-US" w:eastAsia="zh-CN"/>
        </w:rPr>
        <w:t>模板</w:t>
      </w:r>
      <w:r>
        <w:rPr>
          <w:rFonts w:hint="eastAsia" w:ascii="仿宋" w:hAnsi="仿宋" w:eastAsia="仿宋" w:cs="仿宋"/>
          <w:b w:val="0"/>
          <w:bCs w:val="0"/>
          <w:color w:val="auto"/>
          <w:sz w:val="32"/>
          <w:szCs w:val="32"/>
          <w:highlight w:val="none"/>
          <w:rtl w:val="0"/>
          <w:lang w:val="en-US" w:eastAsia="zh-CN"/>
        </w:rPr>
        <w:t>工人徐静波</w:t>
      </w:r>
      <w:r>
        <w:rPr>
          <w:rFonts w:hint="eastAsia" w:ascii="仿宋" w:hAnsi="仿宋" w:eastAsia="仿宋" w:cs="仿宋"/>
          <w:color w:val="auto"/>
          <w:sz w:val="32"/>
          <w:szCs w:val="32"/>
          <w:highlight w:val="none"/>
          <w:lang w:val="en-US" w:eastAsia="zh-CN"/>
        </w:rPr>
        <w:t>）</w:t>
      </w:r>
    </w:p>
    <w:p w14:paraId="5000ADD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b w:val="0"/>
          <w:bCs w:val="0"/>
          <w:color w:val="auto"/>
          <w:spacing w:val="0"/>
          <w:w w:val="100"/>
          <w:kern w:val="0"/>
          <w:position w:val="0"/>
          <w:sz w:val="32"/>
          <w:szCs w:val="32"/>
          <w:highlight w:val="none"/>
          <w:u w:val="none" w:color="000000"/>
          <w:shd w:val="clear" w:color="auto" w:fill="auto"/>
          <w:vertAlign w:val="baseline"/>
          <w:rtl w:val="0"/>
          <w:lang w:val="en-US" w:eastAsia="zh-CN"/>
        </w:rPr>
        <w:t>模板</w:t>
      </w:r>
      <w:r>
        <w:rPr>
          <w:rFonts w:hint="eastAsia" w:ascii="仿宋" w:hAnsi="仿宋" w:eastAsia="仿宋" w:cs="仿宋"/>
          <w:b w:val="0"/>
          <w:bCs w:val="0"/>
          <w:color w:val="auto"/>
          <w:sz w:val="32"/>
          <w:szCs w:val="32"/>
          <w:highlight w:val="none"/>
          <w:rtl w:val="0"/>
          <w:lang w:val="en-US" w:eastAsia="zh-CN"/>
        </w:rPr>
        <w:t>工人徐静波，因安全意识严重缺乏，在操作施工过程中未正确识别现场存在高处坠落的重大安全风险，思想麻痹松懈，违章操作，疏忽大意，冒险蛮干，是导致本起事故的主要原因，对本起事故承担直接责任。经批复的报告建议“鉴于其已在事故中死亡，事故调</w:t>
      </w:r>
      <w:r>
        <w:rPr>
          <w:rFonts w:hint="eastAsia" w:ascii="仿宋" w:hAnsi="仿宋" w:eastAsia="仿宋" w:cs="仿宋"/>
          <w:color w:val="auto"/>
          <w:sz w:val="32"/>
          <w:szCs w:val="32"/>
          <w:highlight w:val="none"/>
        </w:rPr>
        <w:t>查报告建议予以免于责任追究。</w:t>
      </w:r>
      <w:r>
        <w:rPr>
          <w:rFonts w:hint="eastAsia" w:ascii="仿宋" w:hAnsi="仿宋" w:eastAsia="仿宋" w:cs="仿宋"/>
          <w:b w:val="0"/>
          <w:bCs w:val="0"/>
          <w:color w:val="auto"/>
          <w:sz w:val="32"/>
          <w:szCs w:val="32"/>
          <w:highlight w:val="none"/>
          <w:rtl w:val="0"/>
          <w:lang w:val="en-US" w:eastAsia="zh-CN"/>
        </w:rPr>
        <w:t>”</w:t>
      </w:r>
    </w:p>
    <w:p w14:paraId="48C889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落实情况：已按</w:t>
      </w:r>
      <w:r>
        <w:rPr>
          <w:rFonts w:hint="eastAsia" w:ascii="仿宋" w:hAnsi="仿宋" w:eastAsia="仿宋" w:cs="仿宋"/>
          <w:color w:val="auto"/>
          <w:sz w:val="32"/>
          <w:szCs w:val="32"/>
          <w:highlight w:val="none"/>
          <w:lang w:val="en-US" w:eastAsia="zh-CN"/>
        </w:rPr>
        <w:t>要求</w:t>
      </w:r>
      <w:r>
        <w:rPr>
          <w:rFonts w:hint="eastAsia" w:ascii="仿宋" w:hAnsi="仿宋" w:eastAsia="仿宋" w:cs="仿宋"/>
          <w:color w:val="auto"/>
          <w:sz w:val="32"/>
          <w:szCs w:val="32"/>
          <w:highlight w:val="none"/>
        </w:rPr>
        <w:t>免于责任追究。</w:t>
      </w:r>
    </w:p>
    <w:p w14:paraId="6BCDEF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（二）</w:t>
      </w:r>
      <w:r>
        <w:rPr>
          <w:rFonts w:hint="eastAsia" w:ascii="仿宋" w:hAnsi="仿宋" w:eastAsia="仿宋" w:cs="仿宋"/>
          <w:color w:val="auto"/>
          <w:sz w:val="32"/>
          <w:szCs w:val="32"/>
          <w:highlight w:val="none"/>
          <w:lang w:val="en-US" w:eastAsia="zh-CN"/>
        </w:rPr>
        <w:t>事故单位（</w:t>
      </w:r>
      <w:r>
        <w:rPr>
          <w:rFonts w:hint="eastAsia" w:ascii="仿宋" w:hAnsi="仿宋" w:eastAsia="仿宋" w:cs="仿宋"/>
          <w:b w:val="0"/>
          <w:bCs w:val="0"/>
          <w:color w:val="auto"/>
          <w:sz w:val="32"/>
          <w:szCs w:val="32"/>
          <w:highlight w:val="none"/>
          <w:rtl w:val="0"/>
          <w:lang w:val="en-US" w:eastAsia="zh-CN"/>
        </w:rPr>
        <w:t>福州亿顺达建筑劳务有限公司</w:t>
      </w:r>
      <w:r>
        <w:rPr>
          <w:rFonts w:hint="eastAsia" w:ascii="仿宋" w:hAnsi="仿宋" w:eastAsia="仿宋" w:cs="仿宋"/>
          <w:color w:val="auto"/>
          <w:sz w:val="32"/>
          <w:szCs w:val="32"/>
          <w:highlight w:val="none"/>
          <w:lang w:val="en-US" w:eastAsia="zh-CN"/>
        </w:rPr>
        <w:t>）</w:t>
      </w:r>
    </w:p>
    <w:p w14:paraId="3E68743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福州亿顺达建筑劳务有限</w:t>
      </w:r>
      <w:r>
        <w:rPr>
          <w:rFonts w:hint="eastAsia" w:ascii="仿宋" w:hAnsi="仿宋" w:eastAsia="仿宋" w:cs="仿宋"/>
          <w:b w:val="0"/>
          <w:bCs w:val="0"/>
          <w:color w:val="auto"/>
          <w:sz w:val="32"/>
          <w:szCs w:val="32"/>
          <w:highlight w:val="none"/>
          <w:lang w:val="en-US" w:eastAsia="zh-CN"/>
        </w:rPr>
        <w:t>公司</w:t>
      </w:r>
      <w:r>
        <w:rPr>
          <w:rFonts w:hint="eastAsia" w:ascii="仿宋" w:hAnsi="仿宋" w:eastAsia="仿宋" w:cs="仿宋"/>
          <w:b w:val="0"/>
          <w:bCs w:val="0"/>
          <w:color w:val="auto"/>
          <w:sz w:val="32"/>
          <w:szCs w:val="32"/>
          <w:highlight w:val="none"/>
          <w:rtl w:val="0"/>
          <w:lang w:val="en-US" w:eastAsia="zh-CN"/>
        </w:rPr>
        <w:t>现场管理疏忽、安全生产管理制度执行落实不严，作业现场安全检查监督管理存在薄弱环节，对</w:t>
      </w:r>
      <w:r>
        <w:rPr>
          <w:rFonts w:hint="eastAsia" w:ascii="仿宋" w:hAnsi="仿宋" w:eastAsia="仿宋" w:cs="仿宋"/>
          <w:b w:val="0"/>
          <w:bCs w:val="0"/>
          <w:color w:val="auto"/>
          <w:sz w:val="32"/>
          <w:szCs w:val="32"/>
          <w:highlight w:val="none"/>
          <w:rtl w:val="0"/>
          <w:lang w:val="zh-TW" w:eastAsia="zh-TW"/>
        </w:rPr>
        <w:t>工人安全</w:t>
      </w:r>
      <w:r>
        <w:rPr>
          <w:rFonts w:hint="eastAsia" w:ascii="仿宋" w:hAnsi="仿宋" w:eastAsia="仿宋" w:cs="仿宋"/>
          <w:b w:val="0"/>
          <w:bCs w:val="0"/>
          <w:color w:val="auto"/>
          <w:sz w:val="32"/>
          <w:szCs w:val="32"/>
          <w:highlight w:val="none"/>
          <w:rtl w:val="0"/>
          <w:lang w:val="en-US" w:eastAsia="zh-CN"/>
        </w:rPr>
        <w:t>生产教育培训工作不到位，</w:t>
      </w:r>
      <w:r>
        <w:rPr>
          <w:rFonts w:hint="eastAsia" w:ascii="仿宋" w:hAnsi="仿宋" w:eastAsia="仿宋" w:cs="仿宋"/>
          <w:b w:val="0"/>
          <w:bCs w:val="0"/>
          <w:color w:val="auto"/>
          <w:sz w:val="32"/>
          <w:szCs w:val="32"/>
          <w:highlight w:val="none"/>
          <w:lang w:val="en-US" w:eastAsia="zh-CN"/>
        </w:rPr>
        <w:t>违反了《中华人民共和国安全生产法》有关规定，应对该起事故负有主体责任。经区政府批复的报告建议“依据《中华人民共和国安全生产法》、《生产安全事故报告和调查处理条例》等有关法律规定，对</w:t>
      </w:r>
      <w:r>
        <w:rPr>
          <w:rFonts w:hint="eastAsia" w:ascii="仿宋" w:hAnsi="仿宋" w:eastAsia="仿宋" w:cs="仿宋"/>
          <w:b w:val="0"/>
          <w:bCs w:val="0"/>
          <w:color w:val="auto"/>
          <w:sz w:val="32"/>
          <w:szCs w:val="32"/>
          <w:highlight w:val="none"/>
          <w:rtl w:val="0"/>
          <w:lang w:val="en-US" w:eastAsia="zh-CN"/>
        </w:rPr>
        <w:t>福州亿顺达建筑劳务有限公司</w:t>
      </w:r>
      <w:r>
        <w:rPr>
          <w:rFonts w:hint="eastAsia" w:ascii="仿宋" w:hAnsi="仿宋" w:eastAsia="仿宋" w:cs="仿宋"/>
          <w:b w:val="0"/>
          <w:bCs w:val="0"/>
          <w:color w:val="auto"/>
          <w:sz w:val="32"/>
          <w:szCs w:val="32"/>
          <w:highlight w:val="none"/>
          <w:lang w:val="en-US" w:eastAsia="zh-CN"/>
        </w:rPr>
        <w:t>进行处罚。”</w:t>
      </w:r>
    </w:p>
    <w:p w14:paraId="70DE4E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落实情况：已按</w:t>
      </w:r>
      <w:r>
        <w:rPr>
          <w:rFonts w:hint="eastAsia" w:ascii="仿宋" w:hAnsi="仿宋" w:eastAsia="仿宋" w:cs="仿宋"/>
          <w:color w:val="auto"/>
          <w:sz w:val="32"/>
          <w:szCs w:val="32"/>
          <w:highlight w:val="none"/>
          <w:lang w:val="en-US" w:eastAsia="zh-CN"/>
        </w:rPr>
        <w:t>要求对事故单位进行了60万元处罚。</w:t>
      </w:r>
    </w:p>
    <w:p w14:paraId="1D27260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事故单位主要负责人（</w:t>
      </w:r>
      <w:r>
        <w:rPr>
          <w:rFonts w:hint="eastAsia" w:ascii="仿宋" w:hAnsi="仿宋" w:eastAsia="仿宋" w:cs="仿宋"/>
          <w:b w:val="0"/>
          <w:bCs w:val="0"/>
          <w:color w:val="auto"/>
          <w:sz w:val="32"/>
          <w:szCs w:val="32"/>
          <w:highlight w:val="none"/>
          <w:rtl w:val="0"/>
          <w:lang w:val="en-US" w:eastAsia="zh-CN"/>
        </w:rPr>
        <w:t>陈文森</w:t>
      </w:r>
      <w:r>
        <w:rPr>
          <w:rFonts w:hint="eastAsia" w:ascii="仿宋" w:hAnsi="仿宋" w:eastAsia="仿宋" w:cs="仿宋"/>
          <w:b w:val="0"/>
          <w:bCs w:val="0"/>
          <w:color w:val="auto"/>
          <w:sz w:val="32"/>
          <w:szCs w:val="32"/>
          <w:highlight w:val="none"/>
          <w:lang w:val="en-US" w:eastAsia="zh-CN"/>
        </w:rPr>
        <w:t>）</w:t>
      </w:r>
    </w:p>
    <w:p w14:paraId="40142D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b w:val="0"/>
          <w:bCs w:val="0"/>
          <w:color w:val="auto"/>
          <w:sz w:val="32"/>
          <w:szCs w:val="32"/>
          <w:highlight w:val="none"/>
          <w:rtl w:val="0"/>
          <w:lang w:val="en-US" w:eastAsia="zh-CN"/>
        </w:rPr>
        <w:t>福州亿顺达建筑劳务有限公司</w:t>
      </w:r>
      <w:r>
        <w:rPr>
          <w:rFonts w:hint="eastAsia" w:ascii="仿宋" w:hAnsi="仿宋" w:eastAsia="仿宋" w:cs="仿宋"/>
          <w:b w:val="0"/>
          <w:bCs w:val="0"/>
          <w:color w:val="auto"/>
          <w:sz w:val="32"/>
          <w:szCs w:val="32"/>
          <w:highlight w:val="none"/>
          <w:lang w:val="en-US" w:eastAsia="zh-CN"/>
        </w:rPr>
        <w:t>主要负责人</w:t>
      </w:r>
      <w:r>
        <w:rPr>
          <w:rFonts w:hint="eastAsia" w:ascii="仿宋" w:hAnsi="仿宋" w:eastAsia="仿宋" w:cs="仿宋"/>
          <w:b w:val="0"/>
          <w:bCs w:val="0"/>
          <w:color w:val="auto"/>
          <w:sz w:val="32"/>
          <w:szCs w:val="32"/>
          <w:highlight w:val="none"/>
          <w:rtl w:val="0"/>
          <w:lang w:val="en-US" w:eastAsia="zh-CN"/>
        </w:rPr>
        <w:t>陈文森</w:t>
      </w:r>
      <w:r>
        <w:rPr>
          <w:rFonts w:hint="eastAsia" w:ascii="仿宋" w:hAnsi="仿宋" w:eastAsia="仿宋" w:cs="仿宋"/>
          <w:b w:val="0"/>
          <w:bCs w:val="0"/>
          <w:color w:val="auto"/>
          <w:sz w:val="32"/>
          <w:szCs w:val="32"/>
          <w:highlight w:val="none"/>
          <w:lang w:val="en-US" w:eastAsia="zh-CN"/>
        </w:rPr>
        <w:t>，未认真履行主要负责人安全生产管理职责。经区政府批复的报告建议“依据《中华人民共和国安全生产法》、《生产安全事故报告和调查处理条例》等有关法律规定，给予行政处罚。”</w:t>
      </w:r>
    </w:p>
    <w:p w14:paraId="56DECF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落实情况：已按</w:t>
      </w:r>
      <w:r>
        <w:rPr>
          <w:rFonts w:hint="eastAsia" w:ascii="仿宋" w:hAnsi="仿宋" w:eastAsia="仿宋" w:cs="仿宋"/>
          <w:color w:val="auto"/>
          <w:sz w:val="32"/>
          <w:szCs w:val="32"/>
          <w:highlight w:val="none"/>
          <w:lang w:val="en-US" w:eastAsia="zh-CN"/>
        </w:rPr>
        <w:t>要求对事故单位责任人</w:t>
      </w:r>
      <w:r>
        <w:rPr>
          <w:rFonts w:hint="eastAsia" w:ascii="仿宋" w:hAnsi="仿宋" w:eastAsia="仿宋" w:cs="仿宋"/>
          <w:b w:val="0"/>
          <w:bCs w:val="0"/>
          <w:color w:val="auto"/>
          <w:sz w:val="32"/>
          <w:szCs w:val="32"/>
          <w:highlight w:val="none"/>
          <w:rtl w:val="0"/>
          <w:lang w:val="en-US" w:eastAsia="zh-CN"/>
        </w:rPr>
        <w:t>陈文森</w:t>
      </w:r>
      <w:r>
        <w:rPr>
          <w:rFonts w:hint="eastAsia" w:ascii="仿宋" w:hAnsi="仿宋" w:eastAsia="仿宋" w:cs="仿宋"/>
          <w:color w:val="auto"/>
          <w:sz w:val="32"/>
          <w:szCs w:val="32"/>
          <w:highlight w:val="none"/>
          <w:lang w:val="en-US" w:eastAsia="zh-CN"/>
        </w:rPr>
        <w:t>进行了3.6万元处罚。</w:t>
      </w:r>
    </w:p>
    <w:p w14:paraId="720CC842">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事故单位现场管理人员（</w:t>
      </w:r>
      <w:r>
        <w:rPr>
          <w:rFonts w:hint="eastAsia" w:ascii="仿宋" w:hAnsi="仿宋" w:eastAsia="仿宋" w:cs="仿宋"/>
          <w:b w:val="0"/>
          <w:bCs w:val="0"/>
          <w:color w:val="auto"/>
          <w:sz w:val="32"/>
          <w:szCs w:val="32"/>
          <w:highlight w:val="none"/>
          <w:rtl w:val="0"/>
          <w:lang w:val="en-US" w:eastAsia="zh-CN"/>
        </w:rPr>
        <w:t>严振顺</w:t>
      </w:r>
      <w:r>
        <w:rPr>
          <w:rFonts w:hint="eastAsia" w:ascii="仿宋" w:hAnsi="仿宋" w:eastAsia="仿宋" w:cs="仿宋"/>
          <w:b w:val="0"/>
          <w:bCs w:val="0"/>
          <w:color w:val="auto"/>
          <w:sz w:val="32"/>
          <w:szCs w:val="32"/>
          <w:highlight w:val="none"/>
          <w:lang w:val="en-US" w:eastAsia="zh-CN"/>
        </w:rPr>
        <w:t>）</w:t>
      </w:r>
    </w:p>
    <w:p w14:paraId="1E190DB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rtl w:val="0"/>
          <w:lang w:val="en-US" w:eastAsia="zh-CN"/>
        </w:rPr>
        <w:t>福州亿顺达建筑劳务有限公司现场管理人员严振顺未认真履行安全生产管理职责，现场管理不到位，对事故负有责任。</w:t>
      </w:r>
      <w:r>
        <w:rPr>
          <w:rFonts w:hint="eastAsia" w:ascii="仿宋" w:hAnsi="仿宋" w:eastAsia="仿宋" w:cs="仿宋"/>
          <w:b w:val="0"/>
          <w:bCs w:val="0"/>
          <w:color w:val="auto"/>
          <w:sz w:val="32"/>
          <w:szCs w:val="32"/>
          <w:highlight w:val="none"/>
          <w:lang w:val="en-US" w:eastAsia="zh-CN"/>
        </w:rPr>
        <w:t>经区政府批复的报告建议“</w:t>
      </w:r>
      <w:r>
        <w:rPr>
          <w:rFonts w:hint="eastAsia" w:ascii="仿宋" w:hAnsi="仿宋" w:eastAsia="仿宋" w:cs="仿宋"/>
          <w:b w:val="0"/>
          <w:bCs w:val="0"/>
          <w:color w:val="auto"/>
          <w:sz w:val="32"/>
          <w:szCs w:val="32"/>
          <w:highlight w:val="none"/>
          <w:rtl w:val="0"/>
          <w:lang w:val="en-US" w:eastAsia="zh-CN"/>
        </w:rPr>
        <w:t>福州亿顺达建筑劳务有限公司按相关规定进行处理</w:t>
      </w:r>
      <w:r>
        <w:rPr>
          <w:rFonts w:hint="eastAsia" w:ascii="仿宋" w:hAnsi="仿宋" w:eastAsia="仿宋" w:cs="仿宋"/>
          <w:b w:val="0"/>
          <w:bCs w:val="0"/>
          <w:color w:val="auto"/>
          <w:sz w:val="32"/>
          <w:szCs w:val="32"/>
          <w:highlight w:val="none"/>
          <w:lang w:val="en-US" w:eastAsia="zh-CN"/>
        </w:rPr>
        <w:t>”</w:t>
      </w:r>
      <w:r>
        <w:rPr>
          <w:rFonts w:hint="eastAsia" w:ascii="仿宋" w:hAnsi="仿宋" w:eastAsia="仿宋" w:cs="仿宋"/>
          <w:b w:val="0"/>
          <w:bCs w:val="0"/>
          <w:color w:val="auto"/>
          <w:sz w:val="32"/>
          <w:szCs w:val="32"/>
          <w:highlight w:val="none"/>
          <w:rtl w:val="0"/>
          <w:lang w:val="en-US" w:eastAsia="zh-CN"/>
        </w:rPr>
        <w:t>。</w:t>
      </w:r>
    </w:p>
    <w:p w14:paraId="3F7662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落实情况：</w:t>
      </w:r>
      <w:r>
        <w:rPr>
          <w:rFonts w:hint="eastAsia" w:ascii="仿宋" w:hAnsi="仿宋" w:eastAsia="仿宋" w:cs="仿宋"/>
          <w:color w:val="auto"/>
          <w:sz w:val="32"/>
          <w:szCs w:val="32"/>
          <w:highlight w:val="none"/>
          <w:lang w:val="en-US" w:eastAsia="zh-CN"/>
        </w:rPr>
        <w:t>经查，</w:t>
      </w:r>
      <w:r>
        <w:rPr>
          <w:rFonts w:hint="eastAsia" w:ascii="仿宋" w:hAnsi="仿宋" w:eastAsia="仿宋" w:cs="仿宋"/>
          <w:color w:val="auto"/>
          <w:sz w:val="32"/>
          <w:szCs w:val="32"/>
          <w:highlight w:val="none"/>
          <w:rtl w:val="0"/>
          <w:lang w:val="en-US" w:eastAsia="zh-CN"/>
        </w:rPr>
        <w:t>福州亿顺达建筑劳务有限公司已对事故现场管理人员严振顺，按照公司规定进行了内部处理。</w:t>
      </w:r>
    </w:p>
    <w:p w14:paraId="4157D0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pPr>
      <w:r>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t>三、事故防范和整改措施建议落实情况评估</w:t>
      </w:r>
    </w:p>
    <w:p w14:paraId="27E55E90">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（一）涉事劳务公司</w:t>
      </w:r>
    </w:p>
    <w:p w14:paraId="4F5CBCA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福州亿顺达建筑劳务有限公司以本起事故为教训，认真履行了企业安全生产主体责任，强化责任落实，加强安全风险分级管控和隐患排查治理工作。在施工作业中对施工现场的安全防范措施进行全方位的安全巡视检查，确保现场各项安全防护设施落到实处。同时，公司狠抓安全生产教育培训，对所有班组和工人均进行了一次安全警示教育和安全操作常识培训，提高了工人的安全意识，有效提升了工人对工作环境危险因素的分析和辨识能力，掌握基本的安全知识和操作规范，大大增强了事故防范能力。</w:t>
      </w:r>
    </w:p>
    <w:p w14:paraId="33DAF5A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（二）发包单位</w:t>
      </w:r>
    </w:p>
    <w:p w14:paraId="0AED9DE0">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事故发生后，发包单位福建鑫吉龙建设工程有限公司深刻反思，强化了工程发包管理流程，严防“以包代管”。严格审核分包单位资质及人员证照，核查分包项目负责人、安全员、特种作业人员社保、持证上岗资料，杜绝人证不符、挂靠任职情形。督促签订分包工程安全管理协议，分包同场作业统一约定交叉作业安全权责。严把专项施工方案审批，常态化现场巡查管控质量安全、统筹交叉作业。监督安全经费专款专用，把控工程款拨付，组织安全教育与应急演练，完工完善验收及退场管理。</w:t>
      </w:r>
    </w:p>
    <w:p w14:paraId="73CB4D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（三）行业主管部门</w:t>
      </w:r>
    </w:p>
    <w:p w14:paraId="7145629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区建设主管部门已完善本行业领域所属单位的日常监管机制，加大对安全生产工作的监督检查力度，督促辖区内各企业严格落实安全生产主体责任，督促建立健全安全管理制度，明确安全生产监管主体、安全检查内容、检查频次。加强承包单位和施工作业人员的安全教育培训，开展了安全巡查检查，强化安全监督管理，彻底避免了“以包代管”“包而不管”的违法违规情形，严格落实应急处置方案，杜绝事故发生。</w:t>
      </w:r>
    </w:p>
    <w:p w14:paraId="71A83A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（四）属地政府</w:t>
      </w:r>
    </w:p>
    <w:p w14:paraId="72D548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b w:val="0"/>
          <w:bCs w:val="0"/>
          <w:color w:val="auto"/>
          <w:sz w:val="32"/>
          <w:szCs w:val="32"/>
          <w:highlight w:val="none"/>
          <w:lang w:val="en-US" w:eastAsia="zh-CN"/>
        </w:rPr>
        <w:t>鼓山镇政府已按照要求加强对属地企业和施工项目安全生产工作的领导，加大对辖区内各类生产经营企业安全生产的监督检查管理力度，加大安全隐患排查治理力度，切实履行属地监管职责，督促生产经营单位全面落实安全生产主体责任。</w:t>
      </w:r>
      <w:r>
        <w:rPr>
          <w:rFonts w:hint="eastAsia" w:ascii="仿宋" w:hAnsi="仿宋" w:eastAsia="仿宋" w:cs="仿宋"/>
          <w:color w:val="auto"/>
          <w:sz w:val="32"/>
          <w:szCs w:val="32"/>
          <w:highlight w:val="none"/>
        </w:rPr>
        <w:t>推动安全风险分级管控和隐患排查治理双重预防体系建设；要求企业切实履行安全例会、安全教育培训</w:t>
      </w:r>
      <w:r>
        <w:rPr>
          <w:rFonts w:hint="eastAsia" w:ascii="仿宋" w:hAnsi="仿宋" w:eastAsia="仿宋" w:cs="仿宋"/>
          <w:color w:val="auto"/>
          <w:sz w:val="32"/>
          <w:szCs w:val="32"/>
          <w:highlight w:val="none"/>
          <w:lang w:val="en-US" w:eastAsia="zh-CN"/>
        </w:rPr>
        <w:t>等各项</w:t>
      </w:r>
      <w:r>
        <w:rPr>
          <w:rFonts w:hint="eastAsia" w:ascii="仿宋" w:hAnsi="仿宋" w:eastAsia="仿宋" w:cs="仿宋"/>
          <w:color w:val="auto"/>
          <w:sz w:val="32"/>
          <w:szCs w:val="32"/>
          <w:highlight w:val="none"/>
        </w:rPr>
        <w:t>制度，定期开展应急演练及突发事件应急处置培训，同时加强日常安全检查指导，从源头防范事故发生。</w:t>
      </w:r>
    </w:p>
    <w:p w14:paraId="1E525E9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 xml:space="preserve">  </w:t>
      </w:r>
      <w:r>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t xml:space="preserve">  四、评估结论意见</w:t>
      </w:r>
    </w:p>
    <w:p w14:paraId="43D76E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i w:val="0"/>
          <w:iCs w:val="0"/>
          <w:caps w:val="0"/>
          <w:color w:val="auto"/>
          <w:spacing w:val="0"/>
          <w:sz w:val="32"/>
          <w:szCs w:val="32"/>
          <w:highlight w:val="none"/>
          <w:shd w:val="clear" w:color="auto" w:fill="FFFFFF"/>
        </w:rPr>
      </w:pPr>
      <w:r>
        <w:rPr>
          <w:rFonts w:hint="eastAsia" w:ascii="仿宋" w:hAnsi="仿宋" w:eastAsia="仿宋" w:cs="仿宋"/>
          <w:color w:val="auto"/>
          <w:sz w:val="32"/>
          <w:szCs w:val="32"/>
          <w:highlight w:val="none"/>
        </w:rPr>
        <w:t>评估工作组</w:t>
      </w:r>
      <w:r>
        <w:rPr>
          <w:rFonts w:hint="eastAsia" w:ascii="仿宋" w:hAnsi="仿宋" w:eastAsia="仿宋" w:cs="仿宋"/>
          <w:color w:val="auto"/>
          <w:sz w:val="32"/>
          <w:szCs w:val="32"/>
          <w:highlight w:val="none"/>
          <w:lang w:val="en-US" w:eastAsia="zh-CN"/>
        </w:rPr>
        <w:t>经综合考核</w:t>
      </w:r>
      <w:r>
        <w:rPr>
          <w:rFonts w:hint="eastAsia" w:ascii="仿宋" w:hAnsi="仿宋" w:eastAsia="仿宋" w:cs="仿宋"/>
          <w:color w:val="auto"/>
          <w:sz w:val="32"/>
          <w:szCs w:val="32"/>
          <w:highlight w:val="none"/>
        </w:rPr>
        <w:t>认为，</w:t>
      </w:r>
      <w:r>
        <w:rPr>
          <w:rFonts w:hint="eastAsia" w:ascii="仿宋" w:hAnsi="仿宋" w:eastAsia="仿宋" w:cs="仿宋"/>
          <w:color w:val="auto"/>
          <w:sz w:val="32"/>
          <w:szCs w:val="32"/>
          <w:highlight w:val="none"/>
          <w:lang w:val="en-US" w:eastAsia="zh-CN"/>
        </w:rPr>
        <w:t>晋安区福州亿顺达建筑劳务有限公司</w:t>
      </w:r>
      <w:r>
        <w:rPr>
          <w:rFonts w:hint="eastAsia" w:ascii="仿宋" w:hAnsi="仿宋" w:eastAsia="仿宋" w:cs="仿宋"/>
          <w:color w:val="auto"/>
          <w:sz w:val="32"/>
          <w:szCs w:val="32"/>
          <w:highlight w:val="none"/>
          <w:rtl w:val="0"/>
          <w:lang w:val="en-US" w:eastAsia="zh-CN"/>
        </w:rPr>
        <w:t>“3·6”高处坠落一般生产安全事故</w:t>
      </w:r>
      <w:r>
        <w:rPr>
          <w:rFonts w:hint="eastAsia" w:ascii="仿宋" w:hAnsi="仿宋" w:eastAsia="仿宋" w:cs="仿宋"/>
          <w:color w:val="auto"/>
          <w:sz w:val="32"/>
          <w:szCs w:val="32"/>
          <w:highlight w:val="none"/>
        </w:rPr>
        <w:t>的责任单位及相关责任人员处理建议已</w:t>
      </w:r>
      <w:r>
        <w:rPr>
          <w:rFonts w:hint="eastAsia" w:ascii="仿宋" w:hAnsi="仿宋" w:eastAsia="仿宋" w:cs="仿宋"/>
          <w:color w:val="auto"/>
          <w:sz w:val="32"/>
          <w:szCs w:val="32"/>
          <w:highlight w:val="none"/>
          <w:lang w:val="en-US" w:eastAsia="zh-CN"/>
        </w:rPr>
        <w:t>基本</w:t>
      </w:r>
      <w:r>
        <w:rPr>
          <w:rFonts w:hint="eastAsia" w:ascii="仿宋" w:hAnsi="仿宋" w:eastAsia="仿宋" w:cs="仿宋"/>
          <w:color w:val="auto"/>
          <w:sz w:val="32"/>
          <w:szCs w:val="32"/>
          <w:highlight w:val="none"/>
        </w:rPr>
        <w:t>落实</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事故调查报告提出的整改措施基</w:t>
      </w:r>
      <w:r>
        <w:rPr>
          <w:rFonts w:hint="eastAsia" w:ascii="仿宋" w:hAnsi="仿宋" w:eastAsia="仿宋" w:cs="仿宋"/>
          <w:i w:val="0"/>
          <w:iCs w:val="0"/>
          <w:caps w:val="0"/>
          <w:color w:val="auto"/>
          <w:spacing w:val="0"/>
          <w:sz w:val="32"/>
          <w:szCs w:val="32"/>
          <w:highlight w:val="none"/>
          <w:shd w:val="clear" w:color="auto" w:fill="FFFFFF"/>
        </w:rPr>
        <w:t>本落实到位</w:t>
      </w:r>
      <w:r>
        <w:rPr>
          <w:rFonts w:hint="eastAsia" w:ascii="仿宋" w:hAnsi="仿宋" w:eastAsia="仿宋" w:cs="仿宋"/>
          <w:i w:val="0"/>
          <w:iCs w:val="0"/>
          <w:caps w:val="0"/>
          <w:color w:val="auto"/>
          <w:spacing w:val="0"/>
          <w:sz w:val="32"/>
          <w:szCs w:val="32"/>
          <w:highlight w:val="none"/>
          <w:shd w:val="clear" w:color="auto" w:fill="FFFFFF"/>
          <w:lang w:eastAsia="zh-CN"/>
        </w:rPr>
        <w:t>。</w:t>
      </w:r>
      <w:r>
        <w:rPr>
          <w:rFonts w:hint="eastAsia" w:ascii="仿宋" w:hAnsi="仿宋" w:eastAsia="仿宋" w:cs="仿宋"/>
          <w:i w:val="0"/>
          <w:iCs w:val="0"/>
          <w:caps w:val="0"/>
          <w:color w:val="auto"/>
          <w:spacing w:val="0"/>
          <w:sz w:val="32"/>
          <w:szCs w:val="32"/>
          <w:highlight w:val="none"/>
          <w:shd w:val="clear" w:color="auto" w:fill="FFFFFF"/>
        </w:rPr>
        <w:t>事故责任企业和有关部门均能认真</w:t>
      </w:r>
      <w:r>
        <w:rPr>
          <w:rFonts w:hint="eastAsia" w:ascii="仿宋" w:hAnsi="仿宋" w:eastAsia="仿宋" w:cs="仿宋"/>
          <w:i w:val="0"/>
          <w:iCs w:val="0"/>
          <w:caps w:val="0"/>
          <w:color w:val="auto"/>
          <w:spacing w:val="0"/>
          <w:sz w:val="32"/>
          <w:szCs w:val="32"/>
          <w:highlight w:val="none"/>
          <w:shd w:val="clear" w:color="auto" w:fill="FFFFFF"/>
          <w:lang w:val="en-US" w:eastAsia="zh-CN"/>
        </w:rPr>
        <w:t>汲取</w:t>
      </w:r>
      <w:r>
        <w:rPr>
          <w:rFonts w:hint="eastAsia" w:ascii="仿宋" w:hAnsi="仿宋" w:eastAsia="仿宋" w:cs="仿宋"/>
          <w:i w:val="0"/>
          <w:iCs w:val="0"/>
          <w:caps w:val="0"/>
          <w:color w:val="auto"/>
          <w:spacing w:val="0"/>
          <w:sz w:val="32"/>
          <w:szCs w:val="32"/>
          <w:highlight w:val="none"/>
          <w:shd w:val="clear" w:color="auto" w:fill="FFFFFF"/>
        </w:rPr>
        <w:t>事故教训，举一反三</w:t>
      </w:r>
      <w:r>
        <w:rPr>
          <w:rFonts w:hint="eastAsia" w:ascii="仿宋" w:hAnsi="仿宋" w:eastAsia="仿宋" w:cs="仿宋"/>
          <w:i w:val="0"/>
          <w:iCs w:val="0"/>
          <w:caps w:val="0"/>
          <w:color w:val="auto"/>
          <w:spacing w:val="0"/>
          <w:sz w:val="32"/>
          <w:szCs w:val="32"/>
          <w:highlight w:val="none"/>
          <w:shd w:val="clear" w:color="auto" w:fill="FFFFFF"/>
          <w:lang w:eastAsia="zh-CN"/>
        </w:rPr>
        <w:t>，</w:t>
      </w:r>
      <w:r>
        <w:rPr>
          <w:rFonts w:hint="eastAsia" w:ascii="仿宋" w:hAnsi="仿宋" w:eastAsia="仿宋" w:cs="仿宋"/>
          <w:i w:val="0"/>
          <w:iCs w:val="0"/>
          <w:caps w:val="0"/>
          <w:color w:val="auto"/>
          <w:spacing w:val="0"/>
          <w:sz w:val="32"/>
          <w:szCs w:val="32"/>
          <w:highlight w:val="none"/>
          <w:shd w:val="clear" w:color="auto" w:fill="FFFFFF"/>
          <w:lang w:val="en-US" w:eastAsia="zh-CN"/>
        </w:rPr>
        <w:t>查漏补缺</w:t>
      </w:r>
      <w:r>
        <w:rPr>
          <w:rFonts w:hint="eastAsia" w:ascii="仿宋" w:hAnsi="仿宋" w:eastAsia="仿宋" w:cs="仿宋"/>
          <w:i w:val="0"/>
          <w:iCs w:val="0"/>
          <w:caps w:val="0"/>
          <w:color w:val="auto"/>
          <w:spacing w:val="0"/>
          <w:sz w:val="32"/>
          <w:szCs w:val="32"/>
          <w:highlight w:val="none"/>
          <w:shd w:val="clear" w:color="auto" w:fill="FFFFFF"/>
        </w:rPr>
        <w:t>，强化企业安全管理和责任落实，全</w:t>
      </w:r>
      <w:r>
        <w:rPr>
          <w:rFonts w:hint="eastAsia" w:ascii="仿宋" w:hAnsi="仿宋" w:eastAsia="仿宋" w:cs="仿宋"/>
          <w:i w:val="0"/>
          <w:iCs w:val="0"/>
          <w:caps w:val="0"/>
          <w:color w:val="auto"/>
          <w:spacing w:val="0"/>
          <w:sz w:val="32"/>
          <w:szCs w:val="32"/>
          <w:highlight w:val="none"/>
          <w:shd w:val="clear" w:color="auto" w:fill="FFFFFF"/>
          <w:lang w:eastAsia="zh-CN"/>
        </w:rPr>
        <w:t>区</w:t>
      </w:r>
      <w:r>
        <w:rPr>
          <w:rFonts w:hint="eastAsia" w:ascii="仿宋" w:hAnsi="仿宋" w:eastAsia="仿宋" w:cs="仿宋"/>
          <w:i w:val="0"/>
          <w:iCs w:val="0"/>
          <w:caps w:val="0"/>
          <w:color w:val="auto"/>
          <w:spacing w:val="0"/>
          <w:sz w:val="32"/>
          <w:szCs w:val="32"/>
          <w:highlight w:val="none"/>
          <w:shd w:val="clear" w:color="auto" w:fill="FFFFFF"/>
        </w:rPr>
        <w:t>的安全生产工作水平得到进一步提升。</w:t>
      </w:r>
    </w:p>
    <w:p w14:paraId="214771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auto"/>
          <w:spacing w:val="0"/>
          <w:sz w:val="32"/>
          <w:szCs w:val="32"/>
          <w:highlight w:val="none"/>
          <w:shd w:val="clear" w:color="auto" w:fill="FFFFFF"/>
        </w:rPr>
      </w:pPr>
    </w:p>
    <w:p w14:paraId="55495653">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color w:val="auto"/>
          <w:sz w:val="32"/>
          <w:szCs w:val="32"/>
          <w:highlight w:val="none"/>
          <w:rtl w:val="0"/>
          <w:lang w:val="en-US" w:eastAsia="zh-CN"/>
        </w:rPr>
      </w:pPr>
      <w:r>
        <w:rPr>
          <w:rFonts w:hint="eastAsia" w:ascii="仿宋" w:hAnsi="仿宋" w:eastAsia="仿宋" w:cs="仿宋"/>
          <w:color w:val="auto"/>
          <w:sz w:val="32"/>
          <w:szCs w:val="32"/>
          <w:highlight w:val="none"/>
          <w:lang w:val="en-US" w:eastAsia="zh-CN"/>
        </w:rPr>
        <w:t>晋安区</w:t>
      </w:r>
      <w:r>
        <w:rPr>
          <w:rFonts w:hint="eastAsia" w:ascii="仿宋" w:hAnsi="仿宋" w:eastAsia="仿宋" w:cs="仿宋"/>
          <w:color w:val="auto"/>
          <w:sz w:val="32"/>
          <w:szCs w:val="32"/>
          <w:highlight w:val="none"/>
          <w:rtl w:val="0"/>
          <w:lang w:val="en-US" w:eastAsia="zh-CN"/>
        </w:rPr>
        <w:t>“3·6”高处坠落一般生产安全事故</w:t>
      </w:r>
    </w:p>
    <w:p w14:paraId="37041E61">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整改和防范措施落实情况评估工作组</w:t>
      </w:r>
    </w:p>
    <w:p w14:paraId="1E2018A6">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auto"/>
          <w:sz w:val="32"/>
          <w:szCs w:val="32"/>
          <w:highlight w:val="none"/>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3</w:t>
      </w:r>
      <w:bookmarkStart w:id="0" w:name="_GoBack"/>
      <w:bookmarkEnd w:id="0"/>
      <w:r>
        <w:rPr>
          <w:rFonts w:hint="eastAsia" w:ascii="仿宋" w:hAnsi="仿宋" w:eastAsia="仿宋" w:cs="仿宋"/>
          <w:color w:val="auto"/>
          <w:sz w:val="32"/>
          <w:szCs w:val="32"/>
          <w:highlight w:val="none"/>
        </w:rPr>
        <w:t>日</w:t>
      </w:r>
    </w:p>
    <w:p w14:paraId="4F6B1C00">
      <w:pPr>
        <w:rPr>
          <w:color w:val="auto"/>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汉仪正圆 55简">
    <w:altName w:val="宋体"/>
    <w:panose1 w:val="00020600040101010101"/>
    <w:charset w:val="86"/>
    <w:family w:val="roman"/>
    <w:pitch w:val="default"/>
    <w:sig w:usb0="00000000" w:usb1="00000000" w:usb2="00000016" w:usb3="00000000" w:csb0="0004009F" w:csb1="00000000"/>
  </w:font>
  <w:font w:name="汉仪字酷堂长林体W">
    <w:panose1 w:val="00020600040101010101"/>
    <w:charset w:val="86"/>
    <w:family w:val="roman"/>
    <w:pitch w:val="default"/>
    <w:sig w:usb0="8000003F" w:usb1="1AC104FA" w:usb2="00000016"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A393AD"/>
    <w:multiLevelType w:val="singleLevel"/>
    <w:tmpl w:val="BDA393A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1C5A31"/>
    <w:rsid w:val="020D1A71"/>
    <w:rsid w:val="02E22022"/>
    <w:rsid w:val="06085010"/>
    <w:rsid w:val="0BA13F3D"/>
    <w:rsid w:val="161F3DAC"/>
    <w:rsid w:val="19143FA0"/>
    <w:rsid w:val="1AE41750"/>
    <w:rsid w:val="1D4961E3"/>
    <w:rsid w:val="239C706C"/>
    <w:rsid w:val="2424531B"/>
    <w:rsid w:val="256535EF"/>
    <w:rsid w:val="2A3A75DF"/>
    <w:rsid w:val="2AD01CF1"/>
    <w:rsid w:val="36015455"/>
    <w:rsid w:val="3C0B1B54"/>
    <w:rsid w:val="42C972FA"/>
    <w:rsid w:val="4328097C"/>
    <w:rsid w:val="4AC67913"/>
    <w:rsid w:val="50B96C00"/>
    <w:rsid w:val="531B5950"/>
    <w:rsid w:val="54216F96"/>
    <w:rsid w:val="54F71AA5"/>
    <w:rsid w:val="555962BC"/>
    <w:rsid w:val="59E65F92"/>
    <w:rsid w:val="5AFA0BA8"/>
    <w:rsid w:val="5D7C76F9"/>
    <w:rsid w:val="5DC56BE4"/>
    <w:rsid w:val="616E7593"/>
    <w:rsid w:val="61B01959"/>
    <w:rsid w:val="662403F9"/>
    <w:rsid w:val="6B1C3BBC"/>
    <w:rsid w:val="6B1C5A31"/>
    <w:rsid w:val="6CDE737B"/>
    <w:rsid w:val="6FD20CED"/>
    <w:rsid w:val="71864485"/>
    <w:rsid w:val="738B58EE"/>
    <w:rsid w:val="74147B26"/>
    <w:rsid w:val="74786307"/>
    <w:rsid w:val="74C72DEA"/>
    <w:rsid w:val="75B7044D"/>
    <w:rsid w:val="75FE0A8D"/>
    <w:rsid w:val="783E33C3"/>
    <w:rsid w:val="79856DD0"/>
    <w:rsid w:val="7A996FD7"/>
    <w:rsid w:val="7AFA6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p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4">
    <w:name w:val="Body Text First Indent"/>
    <w:basedOn w:val="2"/>
    <w:qFormat/>
    <w:uiPriority w:val="0"/>
    <w:pPr>
      <w:ind w:firstLine="420" w:firstLineChars="100"/>
    </w:pPr>
  </w:style>
  <w:style w:type="paragraph" w:styleId="5">
    <w:name w:val="Body Text First Indent 2"/>
    <w:basedOn w:val="1"/>
    <w:next w:val="4"/>
    <w:qFormat/>
    <w:uiPriority w:val="0"/>
    <w:pPr>
      <w:spacing w:after="120"/>
      <w:ind w:left="420" w:leftChars="200" w:firstLine="420"/>
    </w:pPr>
    <w:rPr>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2377</Words>
  <Characters>2404</Characters>
  <Lines>0</Lines>
  <Paragraphs>0</Paragraphs>
  <TotalTime>6</TotalTime>
  <ScaleCrop>false</ScaleCrop>
  <LinksUpToDate>false</LinksUpToDate>
  <CharactersWithSpaces>2434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2026-06-05T08:04:00Z</dcterms:created>
  <dc:creator>宋阳</dc:creator>
  <cp:lastModifiedBy>卡路</cp:lastModifiedBy>
  <cp:lastPrinted>2026-06-12T00:25:00Z</cp:lastPrinted>
  <dcterms:modified xsi:type="dcterms:W3CDTF">2026-06-22T01:20:58Z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88A71801374C48BAB6F7333F3D9B8E03_13</vt:lpwstr>
  </property>
  <property fmtid="{D5CDD505-2E9C-101B-9397-08002B2CF9AE}" pid="4" name="KSOTemplateDocerSaveRecord">
    <vt:lpwstr>eyJoZGlkIjoiMTcxYWE1NzdlZmMzM2ZjNmNkMWFkOWFmZjZhM2QzZDQiLCJ1c2VySWQiOiI0ODMxMzYyNzAifQ==</vt:lpwstr>
  </property>
</Properties>
</file>