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B648A">
      <w:pPr>
        <w:jc w:val="center"/>
        <w:rPr>
          <w:rFonts w:hint="eastAsia" w:ascii="黑体" w:hAnsi="黑体" w:eastAsia="黑体" w:cs="黑体"/>
          <w:color w:val="auto"/>
          <w:sz w:val="32"/>
          <w:szCs w:val="32"/>
          <w:highlight w:val="none"/>
          <w:rtl w:val="0"/>
          <w:lang w:val="en-US" w:eastAsia="zh-CN"/>
        </w:rPr>
      </w:pPr>
      <w:r>
        <w:rPr>
          <w:rFonts w:hint="eastAsia" w:ascii="黑体" w:hAnsi="黑体" w:eastAsia="黑体" w:cs="黑体"/>
          <w:color w:val="auto"/>
          <w:sz w:val="32"/>
          <w:szCs w:val="32"/>
          <w:highlight w:val="none"/>
          <w:lang w:val="en-US" w:eastAsia="zh-CN"/>
        </w:rPr>
        <w:t>晋安区“3·19”物体打击</w:t>
      </w:r>
      <w:r>
        <w:rPr>
          <w:rFonts w:hint="eastAsia" w:ascii="黑体" w:hAnsi="黑体" w:eastAsia="黑体" w:cs="黑体"/>
          <w:color w:val="auto"/>
          <w:sz w:val="32"/>
          <w:szCs w:val="32"/>
          <w:highlight w:val="none"/>
          <w:rtl w:val="0"/>
          <w:lang w:val="en-US" w:eastAsia="zh-CN"/>
        </w:rPr>
        <w:t>一般生产安全事故</w:t>
      </w:r>
    </w:p>
    <w:p w14:paraId="340A16DE">
      <w:pPr>
        <w:jc w:val="center"/>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整改和防范措施落实情况评估报告</w:t>
      </w:r>
    </w:p>
    <w:p w14:paraId="657ED7CD">
      <w:pPr>
        <w:jc w:val="center"/>
        <w:rPr>
          <w:rFonts w:hint="eastAsia" w:ascii="黑体" w:hAnsi="黑体" w:eastAsia="黑体" w:cs="黑体"/>
          <w:color w:val="auto"/>
          <w:sz w:val="32"/>
          <w:szCs w:val="32"/>
          <w:highlight w:val="none"/>
          <w:lang w:val="en-US" w:eastAsia="zh-CN"/>
        </w:rPr>
      </w:pPr>
    </w:p>
    <w:p w14:paraId="5ABF2F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2025年3月19日17时20分许，位于福州市晋安区北三环路101号的盛辉汽车服务公司，作业现场一名管理人员在作业区域内驾驶一台叉车抬起吊装集装箱装车时，不慎挤压到正在作业的一名修理工，伤者随即被送往医院救治，经医院抢救无效死亡，事故造成直接经济损失约128万元。</w:t>
      </w:r>
    </w:p>
    <w:p w14:paraId="3621AC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2025年3月20日10时，晋安区市场监督管理局受理了本起事故，经其调查后，认定该事故不属于特种设备事故，随后移交至晋安区应急管理局调查处理。根据《中华人民共和国安全生产法》、《生产安全事故报告和调查处理条例》（国务院令第493号）和晋安区政府文件（榕晋政综〔2024〕190号），2025年4月14日，晋安区应急管理局牵头成立了由晋安区应急管理局、晋安公安分局、晋安区交通局、晋安区总工会、鼓山镇人民政府组成的晋安区人民政府“3·19”一般物体打击事故调查组，并邀请晋安区监察委、晋安区人民检察院派员参加，同时委托福州市政府应急管理专家对事故进行技术鉴定。</w:t>
      </w:r>
    </w:p>
    <w:p w14:paraId="001DF5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事故调查组按照“四不放过”和“科学严谨、依法依规、实事求是、注重实效”的原则，结合专家出具的事故技术鉴定报告，通过现场勘察、调查取证、对有关目击证人及相关人员进行询问，查阅相关资料，查明了事故发生的经过、原因和人员伤亡情况，认定了事故性质和责任，提出了对有关责任单位和责任人员的处理建议，并针对事故原因及暴露出的问题，提出了防范措施和整改建议。</w:t>
      </w:r>
    </w:p>
    <w:p w14:paraId="39EE14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2025年5月19日，福州市晋安区人民政府对事故调查报告予以批复（文号：榕晋政综〔2025〕90号）。现根据《中华人民共和国安全生产法》第八十六条规定，对该起事故整改和防范措施落实情况进行如下评估。</w:t>
      </w:r>
    </w:p>
    <w:p w14:paraId="7A60E0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一、评估工作组织开展情况 </w:t>
      </w:r>
    </w:p>
    <w:p w14:paraId="0C047A78">
      <w:pPr>
        <w:keepNext w:val="0"/>
        <w:keepLines w:val="0"/>
        <w:pageBreakBefore w:val="0"/>
        <w:kinsoku/>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i w:val="0"/>
          <w:iCs w:val="0"/>
          <w:caps w:val="0"/>
          <w:color w:val="auto"/>
          <w:spacing w:val="0"/>
          <w:kern w:val="2"/>
          <w:sz w:val="32"/>
          <w:szCs w:val="32"/>
          <w:highlight w:val="none"/>
          <w:shd w:val="clear" w:color="auto" w:fill="FFFFFF"/>
          <w:lang w:val="en-US" w:eastAsia="zh-CN" w:bidi="ar-SA"/>
        </w:rPr>
      </w:pP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3月12日</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晋安区</w:t>
      </w:r>
      <w:r>
        <w:rPr>
          <w:rFonts w:hint="eastAsia" w:ascii="仿宋" w:hAnsi="仿宋" w:eastAsia="仿宋" w:cs="仿宋"/>
          <w:color w:val="auto"/>
          <w:sz w:val="32"/>
          <w:szCs w:val="32"/>
          <w:highlight w:val="none"/>
        </w:rPr>
        <w:t>人民政府安办成立由区应急管理局牵头，</w:t>
      </w:r>
      <w:r>
        <w:rPr>
          <w:rFonts w:hint="eastAsia" w:ascii="仿宋" w:hAnsi="仿宋" w:eastAsia="仿宋" w:cs="仿宋"/>
          <w:color w:val="auto"/>
          <w:sz w:val="32"/>
          <w:szCs w:val="32"/>
          <w:highlight w:val="none"/>
          <w:lang w:val="en-US" w:eastAsia="zh-CN"/>
        </w:rPr>
        <w:t>区</w:t>
      </w:r>
      <w:r>
        <w:rPr>
          <w:rFonts w:hint="eastAsia" w:ascii="仿宋" w:hAnsi="仿宋" w:eastAsia="仿宋" w:cs="仿宋"/>
          <w:b w:val="0"/>
          <w:bCs w:val="0"/>
          <w:color w:val="auto"/>
          <w:sz w:val="32"/>
          <w:szCs w:val="32"/>
          <w:highlight w:val="none"/>
          <w:rtl w:val="0"/>
          <w:lang w:val="en-US" w:eastAsia="zh-CN"/>
        </w:rPr>
        <w:t>公安分局、区交通局、鼓山镇安办</w:t>
      </w:r>
      <w:r>
        <w:rPr>
          <w:rFonts w:hint="eastAsia" w:ascii="仿宋" w:hAnsi="仿宋" w:eastAsia="仿宋" w:cs="仿宋"/>
          <w:color w:val="auto"/>
          <w:sz w:val="32"/>
          <w:szCs w:val="32"/>
          <w:highlight w:val="none"/>
        </w:rPr>
        <w:t>等单位人员</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组成事故</w:t>
      </w:r>
      <w:r>
        <w:rPr>
          <w:rFonts w:hint="eastAsia" w:ascii="仿宋" w:hAnsi="仿宋" w:eastAsia="仿宋" w:cs="仿宋"/>
          <w:color w:val="auto"/>
          <w:sz w:val="32"/>
          <w:szCs w:val="32"/>
          <w:highlight w:val="none"/>
          <w:lang w:val="en-US" w:eastAsia="zh-CN"/>
        </w:rPr>
        <w:t>整改和防范措施落实情况</w:t>
      </w:r>
      <w:r>
        <w:rPr>
          <w:rFonts w:hint="eastAsia" w:ascii="仿宋" w:hAnsi="仿宋" w:eastAsia="仿宋" w:cs="仿宋"/>
          <w:color w:val="auto"/>
          <w:sz w:val="32"/>
          <w:szCs w:val="32"/>
          <w:highlight w:val="none"/>
        </w:rPr>
        <w:t>评估工作组。工作组依据事故调查报告及相关批复</w:t>
      </w:r>
      <w:r>
        <w:rPr>
          <w:rFonts w:hint="eastAsia" w:ascii="仿宋" w:hAnsi="仿宋" w:eastAsia="仿宋" w:cs="仿宋"/>
          <w:color w:val="auto"/>
          <w:sz w:val="32"/>
          <w:szCs w:val="32"/>
          <w:highlight w:val="none"/>
          <w:lang w:val="en-US" w:eastAsia="zh-CN"/>
        </w:rPr>
        <w:t>建议</w:t>
      </w:r>
      <w:r>
        <w:rPr>
          <w:rFonts w:hint="eastAsia" w:ascii="仿宋" w:hAnsi="仿宋" w:eastAsia="仿宋" w:cs="仿宋"/>
          <w:color w:val="auto"/>
          <w:sz w:val="32"/>
          <w:szCs w:val="32"/>
          <w:highlight w:val="none"/>
        </w:rPr>
        <w:t>，通过查阅文件资料、现场核查、听取汇报等方式，</w:t>
      </w:r>
      <w:r>
        <w:rPr>
          <w:rFonts w:hint="eastAsia" w:ascii="仿宋" w:hAnsi="仿宋" w:eastAsia="仿宋" w:cs="仿宋"/>
          <w:i w:val="0"/>
          <w:iCs w:val="0"/>
          <w:caps w:val="0"/>
          <w:color w:val="auto"/>
          <w:spacing w:val="0"/>
          <w:kern w:val="2"/>
          <w:sz w:val="32"/>
          <w:szCs w:val="32"/>
          <w:highlight w:val="none"/>
          <w:shd w:val="clear" w:color="auto" w:fill="FFFFFF"/>
          <w:lang w:val="en-US" w:eastAsia="zh-CN" w:bidi="ar-SA"/>
        </w:rPr>
        <w:t>对事故整改和防范措施及责任追究落实情况逐项进行检查评估，提出评估工作意见，形成评估报告。</w:t>
      </w:r>
    </w:p>
    <w:p w14:paraId="3C5B85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二、事故责任人员、责任单位处理建议落实情况 </w:t>
      </w:r>
    </w:p>
    <w:p w14:paraId="51819B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（一）</w:t>
      </w:r>
      <w:r>
        <w:rPr>
          <w:rFonts w:hint="eastAsia" w:ascii="仿宋" w:hAnsi="仿宋" w:eastAsia="仿宋" w:cs="仿宋"/>
          <w:color w:val="auto"/>
          <w:sz w:val="32"/>
          <w:szCs w:val="32"/>
          <w:highlight w:val="none"/>
          <w:lang w:val="en-US" w:eastAsia="zh-CN"/>
        </w:rPr>
        <w:t>事故责任人</w:t>
      </w:r>
    </w:p>
    <w:p w14:paraId="53A8101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pPr>
      <w:r>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t>1.维修店工人（王容荣）</w:t>
      </w:r>
    </w:p>
    <w:p w14:paraId="283E539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pPr>
      <w:r>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t>维修店工人王容荣为了尽快完成第一个集装箱与车厢的连接紧固螺栓作业，为赶时间急于下班，在未得到现场管理人员的许可，也未告知其他人员的情况下，冒险蛮干，擅自进入较为狭窄的危险场所作业，是导致本起事故的主要原因。调查报告建议鉴于工人王容荣已死亡，不予追究。</w:t>
      </w:r>
    </w:p>
    <w:p w14:paraId="44E35DE9">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pPr>
      <w:r>
        <w:rPr>
          <w:rFonts w:hint="eastAsia" w:ascii="仿宋" w:hAnsi="仿宋" w:eastAsia="仿宋" w:cs="仿宋"/>
          <w:color w:val="auto"/>
          <w:sz w:val="32"/>
          <w:szCs w:val="32"/>
          <w:highlight w:val="none"/>
        </w:rPr>
        <w:t>落实情况：已按</w:t>
      </w:r>
      <w:r>
        <w:rPr>
          <w:rFonts w:hint="eastAsia" w:ascii="仿宋" w:hAnsi="仿宋" w:eastAsia="仿宋" w:cs="仿宋"/>
          <w:color w:val="auto"/>
          <w:sz w:val="32"/>
          <w:szCs w:val="32"/>
          <w:highlight w:val="none"/>
          <w:lang w:val="en-US" w:eastAsia="zh-CN"/>
        </w:rPr>
        <w:t>处理</w:t>
      </w:r>
      <w:r>
        <w:rPr>
          <w:rFonts w:hint="eastAsia" w:ascii="仿宋" w:hAnsi="仿宋" w:eastAsia="仿宋" w:cs="仿宋"/>
          <w:color w:val="auto"/>
          <w:sz w:val="32"/>
          <w:szCs w:val="32"/>
          <w:highlight w:val="none"/>
        </w:rPr>
        <w:t>建议免于责任追究。</w:t>
      </w:r>
    </w:p>
    <w:p w14:paraId="6FAB652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highlight w:val="none"/>
          <w:rtl w:val="0"/>
          <w:lang w:val="en-US" w:eastAsia="zh-CN"/>
        </w:rPr>
      </w:pPr>
      <w:r>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t>2.</w:t>
      </w:r>
      <w:r>
        <w:rPr>
          <w:rFonts w:hint="eastAsia" w:ascii="仿宋" w:hAnsi="仿宋" w:eastAsia="仿宋" w:cs="仿宋"/>
          <w:color w:val="auto"/>
          <w:sz w:val="32"/>
          <w:szCs w:val="32"/>
          <w:highlight w:val="none"/>
          <w:rtl w:val="0"/>
          <w:lang w:val="en-US" w:eastAsia="zh-CN"/>
        </w:rPr>
        <w:t>现场管理人员（</w:t>
      </w:r>
      <w:r>
        <w:rPr>
          <w:rFonts w:hint="eastAsia" w:ascii="仿宋" w:hAnsi="仿宋" w:eastAsia="仿宋" w:cs="仿宋"/>
          <w:color w:val="auto"/>
          <w:sz w:val="32"/>
          <w:szCs w:val="32"/>
          <w:highlight w:val="none"/>
        </w:rPr>
        <w:t>胡小龙</w:t>
      </w:r>
      <w:r>
        <w:rPr>
          <w:rFonts w:hint="eastAsia" w:ascii="仿宋" w:hAnsi="仿宋" w:eastAsia="仿宋" w:cs="仿宋"/>
          <w:color w:val="auto"/>
          <w:sz w:val="32"/>
          <w:szCs w:val="32"/>
          <w:highlight w:val="none"/>
          <w:rtl w:val="0"/>
          <w:lang w:val="en-US" w:eastAsia="zh-CN"/>
        </w:rPr>
        <w:t>）</w:t>
      </w:r>
    </w:p>
    <w:p w14:paraId="7CCB13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现场管理人员胡小龙未认真履行安全生产管理职责，现场管理不到位，同时未经过专门培训考核，未取得场（厂）内专用机动车辆（叉车）N1作业资格证，对叉车操作完全不熟练，违规操作、冒险作业，造成1人死亡。现场管理人员胡小龙对该起事故发生负有责任，</w:t>
      </w:r>
      <w:r>
        <w:rPr>
          <w:rFonts w:hint="eastAsia" w:ascii="仿宋" w:hAnsi="仿宋" w:eastAsia="仿宋" w:cs="仿宋"/>
          <w:color w:val="auto"/>
          <w:sz w:val="32"/>
          <w:szCs w:val="32"/>
          <w:highlight w:val="none"/>
          <w:lang w:val="en-US" w:eastAsia="zh-CN"/>
        </w:rPr>
        <w:t>调查报告</w:t>
      </w:r>
      <w:r>
        <w:rPr>
          <w:rFonts w:hint="eastAsia" w:ascii="仿宋" w:hAnsi="仿宋" w:eastAsia="仿宋" w:cs="仿宋"/>
          <w:color w:val="auto"/>
          <w:sz w:val="32"/>
          <w:szCs w:val="32"/>
          <w:highlight w:val="none"/>
        </w:rPr>
        <w:t>建议交由福州市晋安区盛辉汽车服务有限公司依照相关规定予以处理。</w:t>
      </w:r>
    </w:p>
    <w:p w14:paraId="20E66D6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highlight w:val="none"/>
          <w:rtl w:val="0"/>
          <w:lang w:val="en-US" w:eastAsia="zh-CN"/>
        </w:rPr>
      </w:pPr>
      <w:r>
        <w:rPr>
          <w:rFonts w:hint="eastAsia" w:ascii="仿宋" w:hAnsi="仿宋" w:eastAsia="仿宋" w:cs="仿宋"/>
          <w:color w:val="auto"/>
          <w:sz w:val="32"/>
          <w:szCs w:val="32"/>
          <w:highlight w:val="none"/>
        </w:rPr>
        <w:t>落实情况：</w:t>
      </w:r>
      <w:r>
        <w:rPr>
          <w:rFonts w:hint="eastAsia" w:ascii="仿宋" w:hAnsi="仿宋" w:eastAsia="仿宋" w:cs="仿宋"/>
          <w:color w:val="auto"/>
          <w:sz w:val="32"/>
          <w:szCs w:val="32"/>
          <w:highlight w:val="none"/>
          <w:lang w:val="en-US" w:eastAsia="zh-CN"/>
        </w:rPr>
        <w:t>经核实，</w:t>
      </w:r>
      <w:r>
        <w:rPr>
          <w:rFonts w:hint="eastAsia" w:ascii="仿宋" w:hAnsi="仿宋" w:eastAsia="仿宋" w:cs="仿宋"/>
          <w:color w:val="auto"/>
          <w:sz w:val="32"/>
          <w:szCs w:val="32"/>
          <w:highlight w:val="none"/>
        </w:rPr>
        <w:t>盛辉汽车服务有限公司</w:t>
      </w:r>
      <w:r>
        <w:rPr>
          <w:rFonts w:hint="eastAsia" w:ascii="仿宋" w:hAnsi="仿宋" w:eastAsia="仿宋" w:cs="仿宋"/>
          <w:color w:val="auto"/>
          <w:sz w:val="32"/>
          <w:szCs w:val="32"/>
          <w:highlight w:val="none"/>
          <w:rtl w:val="0"/>
          <w:lang w:val="en-US" w:eastAsia="zh-CN"/>
        </w:rPr>
        <w:t>已按照公司内部相关规定对</w:t>
      </w:r>
      <w:r>
        <w:rPr>
          <w:rFonts w:hint="eastAsia" w:ascii="仿宋" w:hAnsi="仿宋" w:eastAsia="仿宋" w:cs="仿宋"/>
          <w:color w:val="auto"/>
          <w:sz w:val="32"/>
          <w:szCs w:val="32"/>
          <w:highlight w:val="none"/>
        </w:rPr>
        <w:t>胡小龙</w:t>
      </w:r>
      <w:r>
        <w:rPr>
          <w:rFonts w:hint="eastAsia" w:ascii="仿宋" w:hAnsi="仿宋" w:eastAsia="仿宋" w:cs="仿宋"/>
          <w:color w:val="auto"/>
          <w:sz w:val="32"/>
          <w:szCs w:val="32"/>
          <w:highlight w:val="none"/>
          <w:rtl w:val="0"/>
          <w:lang w:val="en-US" w:eastAsia="zh-CN"/>
        </w:rPr>
        <w:t>进行了处理。</w:t>
      </w:r>
    </w:p>
    <w:p w14:paraId="3951B5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事故发生单位主要负责人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林松青</w:t>
      </w:r>
      <w:r>
        <w:rPr>
          <w:rFonts w:hint="eastAsia" w:ascii="仿宋" w:hAnsi="仿宋" w:eastAsia="仿宋" w:cs="仿宋"/>
          <w:color w:val="auto"/>
          <w:sz w:val="32"/>
          <w:szCs w:val="32"/>
          <w:highlight w:val="none"/>
          <w:lang w:eastAsia="zh-CN"/>
        </w:rPr>
        <w:t>）</w:t>
      </w:r>
    </w:p>
    <w:p w14:paraId="1B6F6A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福州市晋安区盛辉汽车服务有限公司主要负责人</w:t>
      </w:r>
      <w:r>
        <w:rPr>
          <w:rFonts w:hint="eastAsia" w:ascii="仿宋" w:hAnsi="仿宋" w:eastAsia="仿宋" w:cs="仿宋"/>
          <w:color w:val="auto"/>
          <w:sz w:val="32"/>
          <w:szCs w:val="32"/>
          <w:highlight w:val="none"/>
          <w:lang w:val="en-US" w:eastAsia="zh-CN"/>
        </w:rPr>
        <w:t>林松青</w:t>
      </w:r>
      <w:r>
        <w:rPr>
          <w:rFonts w:hint="eastAsia" w:ascii="仿宋" w:hAnsi="仿宋" w:eastAsia="仿宋" w:cs="仿宋"/>
          <w:color w:val="auto"/>
          <w:sz w:val="32"/>
          <w:szCs w:val="32"/>
          <w:highlight w:val="none"/>
        </w:rPr>
        <w:t>，未认真履行主要负责人安全生产管理职责</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导致事故发生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调查报告</w:t>
      </w:r>
      <w:r>
        <w:rPr>
          <w:rFonts w:hint="eastAsia" w:ascii="仿宋" w:hAnsi="仿宋" w:eastAsia="仿宋" w:cs="仿宋"/>
          <w:color w:val="auto"/>
          <w:sz w:val="32"/>
          <w:szCs w:val="32"/>
          <w:highlight w:val="none"/>
        </w:rPr>
        <w:t>建议应急管理部门依据《中华人民共和国安全生产法》、《生产安全事故报告和调查处理条例》等有关法律规定，给予行政处罚。</w:t>
      </w:r>
    </w:p>
    <w:p w14:paraId="0B0403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落实情况：</w:t>
      </w:r>
      <w:r>
        <w:rPr>
          <w:rFonts w:hint="eastAsia" w:ascii="仿宋" w:hAnsi="仿宋" w:eastAsia="仿宋" w:cs="仿宋"/>
          <w:color w:val="auto"/>
          <w:sz w:val="32"/>
          <w:szCs w:val="32"/>
          <w:highlight w:val="none"/>
          <w:lang w:val="en-US" w:eastAsia="zh-CN"/>
        </w:rPr>
        <w:t>已按照规定对林松青</w:t>
      </w:r>
      <w:r>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t>予以</w:t>
      </w:r>
      <w:r>
        <w:rPr>
          <w:rFonts w:hint="eastAsia" w:ascii="仿宋" w:hAnsi="仿宋" w:eastAsia="仿宋" w:cs="仿宋"/>
          <w:color w:val="auto"/>
          <w:sz w:val="32"/>
          <w:szCs w:val="32"/>
          <w:highlight w:val="none"/>
          <w:rtl w:val="0"/>
          <w:lang w:val="en-US" w:eastAsia="zh-CN"/>
        </w:rPr>
        <w:t>2.76万元</w:t>
      </w:r>
      <w:r>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t>行政处罚。</w:t>
      </w:r>
    </w:p>
    <w:p w14:paraId="1D096C9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事故</w:t>
      </w:r>
      <w:r>
        <w:rPr>
          <w:rFonts w:hint="eastAsia" w:ascii="仿宋" w:hAnsi="仿宋" w:eastAsia="仿宋" w:cs="仿宋"/>
          <w:color w:val="auto"/>
          <w:sz w:val="32"/>
          <w:szCs w:val="32"/>
          <w:highlight w:val="none"/>
          <w:lang w:val="en-US" w:eastAsia="zh-CN"/>
        </w:rPr>
        <w:t>责任</w:t>
      </w:r>
      <w:r>
        <w:rPr>
          <w:rFonts w:hint="eastAsia" w:ascii="仿宋" w:hAnsi="仿宋" w:eastAsia="仿宋" w:cs="仿宋"/>
          <w:color w:val="auto"/>
          <w:sz w:val="32"/>
          <w:szCs w:val="32"/>
          <w:highlight w:val="none"/>
        </w:rPr>
        <w:t>单位</w:t>
      </w:r>
    </w:p>
    <w:p w14:paraId="308F21D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福州市晋安区盛辉汽车服务有限公司未严格履行国家安全法律法规要求，未严格履行安全生产职责，安全教育培训不到位，安全监督管理责任缺失，作业现场组织协调管理不到位导致人员死亡事故发生，违反了《中华人民共和国安全生产法》有关规定，应对该起事故负有主体责任。</w:t>
      </w:r>
      <w:r>
        <w:rPr>
          <w:rFonts w:hint="eastAsia" w:ascii="仿宋" w:hAnsi="仿宋" w:eastAsia="仿宋" w:cs="仿宋"/>
          <w:color w:val="auto"/>
          <w:sz w:val="32"/>
          <w:szCs w:val="32"/>
          <w:highlight w:val="none"/>
          <w:lang w:val="en-US" w:eastAsia="zh-CN"/>
        </w:rPr>
        <w:t>调查报告</w:t>
      </w:r>
      <w:r>
        <w:rPr>
          <w:rFonts w:hint="eastAsia" w:ascii="仿宋" w:hAnsi="仿宋" w:eastAsia="仿宋" w:cs="仿宋"/>
          <w:color w:val="auto"/>
          <w:sz w:val="32"/>
          <w:szCs w:val="32"/>
          <w:highlight w:val="none"/>
        </w:rPr>
        <w:t>建议应急管理部门依据《中华人民共和国安全生产法》、《生产安全事故报告和调查处理条例》等有关法律规定，对福州市晋安区盛辉汽车服务有限公司进行处罚。</w:t>
      </w:r>
    </w:p>
    <w:p w14:paraId="21419D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落实情况：</w:t>
      </w:r>
      <w:r>
        <w:rPr>
          <w:rFonts w:hint="eastAsia" w:ascii="仿宋" w:hAnsi="仿宋" w:eastAsia="仿宋" w:cs="仿宋"/>
          <w:color w:val="auto"/>
          <w:sz w:val="32"/>
          <w:szCs w:val="32"/>
          <w:highlight w:val="none"/>
          <w:lang w:val="en-US" w:eastAsia="zh-CN"/>
        </w:rPr>
        <w:t>已按照国家现行规定对该公司予以</w:t>
      </w:r>
      <w:r>
        <w:rPr>
          <w:rFonts w:hint="eastAsia" w:ascii="仿宋" w:hAnsi="仿宋" w:eastAsia="仿宋" w:cs="仿宋"/>
          <w:color w:val="auto"/>
          <w:sz w:val="32"/>
          <w:szCs w:val="32"/>
          <w:highlight w:val="none"/>
          <w:rtl w:val="0"/>
          <w:lang w:val="en-US" w:eastAsia="zh-CN"/>
        </w:rPr>
        <w:t>50万元</w:t>
      </w:r>
      <w:r>
        <w:rPr>
          <w:rFonts w:hint="eastAsia" w:ascii="仿宋" w:hAnsi="仿宋" w:eastAsia="仿宋" w:cs="仿宋"/>
          <w:b w:val="0"/>
          <w:bCs w:val="0"/>
          <w:color w:val="auto"/>
          <w:spacing w:val="0"/>
          <w:w w:val="100"/>
          <w:kern w:val="0"/>
          <w:position w:val="0"/>
          <w:sz w:val="32"/>
          <w:szCs w:val="32"/>
          <w:highlight w:val="none"/>
          <w:u w:val="none" w:color="000000"/>
          <w:shd w:val="clear" w:color="auto" w:fill="auto"/>
          <w:vertAlign w:val="baseline"/>
          <w:rtl w:val="0"/>
          <w:lang w:val="en-US" w:eastAsia="zh-CN"/>
        </w:rPr>
        <w:t>行政处罚。</w:t>
      </w:r>
    </w:p>
    <w:p w14:paraId="4157D0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、事故防范和整改措施建议落实情况评估</w:t>
      </w:r>
    </w:p>
    <w:p w14:paraId="2A64C6F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（一）企业层面整改落实</w:t>
      </w:r>
    </w:p>
    <w:p w14:paraId="65716A86">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事故发生后，盛辉公司深刻汲取事故教训，组织全员开展事故警示教育，举一反三开展全面自查自纠。企业严格落实安全生产主体责任，修订完善安全管理制度与作业规程；强化全员安全教育和技能培训，严格执行特种设备作业人员持证上岗制度。针对人机交叉作业风险开展专项整治，划分独立作业区域，落实作业许可、现场专人监护制度，配齐各类安全防护装置及警示标识，坚决防范同类事故再次发生。</w:t>
      </w:r>
    </w:p>
    <w:p w14:paraId="780C5255">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（二）属地监管层面落实</w:t>
      </w:r>
    </w:p>
    <w:p w14:paraId="1AAA389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b w:val="0"/>
          <w:bCs w:val="0"/>
          <w:color w:val="auto"/>
          <w:sz w:val="32"/>
          <w:szCs w:val="32"/>
          <w:highlight w:val="none"/>
          <w:rtl w:val="0"/>
          <w:lang w:val="en-US" w:eastAsia="zh-CN"/>
        </w:rPr>
      </w:pPr>
      <w:r>
        <w:rPr>
          <w:rFonts w:hint="eastAsia" w:ascii="仿宋" w:hAnsi="仿宋" w:eastAsia="仿宋" w:cs="仿宋"/>
          <w:b w:val="0"/>
          <w:bCs w:val="0"/>
          <w:color w:val="auto"/>
          <w:sz w:val="32"/>
          <w:szCs w:val="32"/>
          <w:highlight w:val="none"/>
          <w:rtl w:val="0"/>
          <w:lang w:val="en-US" w:eastAsia="zh-CN"/>
        </w:rPr>
        <w:t>鼓山镇人民政府严格落实属地安全监管责任，加大辖区企业日常检查和隐患排查力度，督促企业健全安全风险分级管控和隐患排查治理双重预防机制。督促企业常态化召开安全例会、组织安全教育培训和应急演练，重点强化叉车等场内机动车辆专项监管，从源头防范生产安全事故，筑牢辖区安全生产防线。</w:t>
      </w:r>
    </w:p>
    <w:p w14:paraId="1E525E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    </w:t>
      </w: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、评估结论意见</w:t>
      </w:r>
    </w:p>
    <w:p w14:paraId="1460EFC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 w:hAnsi="仿宋" w:eastAsia="仿宋" w:cs="仿宋"/>
          <w:i w:val="0"/>
          <w:iCs w:val="0"/>
          <w:caps w:val="0"/>
          <w:color w:val="auto"/>
          <w:spacing w:val="0"/>
          <w:sz w:val="32"/>
          <w:szCs w:val="32"/>
          <w:highlight w:val="none"/>
          <w:shd w:val="clear" w:color="auto" w:fill="FFFFFF"/>
        </w:rPr>
      </w:pPr>
      <w:r>
        <w:rPr>
          <w:rFonts w:hint="eastAsia" w:ascii="仿宋" w:hAnsi="仿宋" w:eastAsia="仿宋" w:cs="仿宋"/>
          <w:color w:val="auto"/>
          <w:sz w:val="32"/>
          <w:szCs w:val="32"/>
          <w:highlight w:val="none"/>
        </w:rPr>
        <w:t>评估工作组认为，</w:t>
      </w:r>
      <w:r>
        <w:rPr>
          <w:rFonts w:hint="eastAsia" w:ascii="仿宋" w:hAnsi="仿宋" w:eastAsia="仿宋" w:cs="仿宋"/>
          <w:color w:val="auto"/>
          <w:sz w:val="32"/>
          <w:szCs w:val="32"/>
          <w:highlight w:val="none"/>
          <w:lang w:val="en-US" w:eastAsia="zh-CN"/>
        </w:rPr>
        <w:t>晋安区晋安区盛辉汽车服务有限公司“3·19”物体打击</w:t>
      </w:r>
      <w:r>
        <w:rPr>
          <w:rFonts w:hint="eastAsia" w:ascii="仿宋" w:hAnsi="仿宋" w:eastAsia="仿宋" w:cs="仿宋"/>
          <w:color w:val="auto"/>
          <w:sz w:val="32"/>
          <w:szCs w:val="32"/>
          <w:highlight w:val="none"/>
          <w:rtl w:val="0"/>
          <w:lang w:val="en-US" w:eastAsia="zh-CN"/>
        </w:rPr>
        <w:t>一般生产安全事故</w:t>
      </w:r>
      <w:r>
        <w:rPr>
          <w:rFonts w:hint="eastAsia" w:ascii="仿宋" w:hAnsi="仿宋" w:eastAsia="仿宋" w:cs="仿宋"/>
          <w:color w:val="auto"/>
          <w:sz w:val="32"/>
          <w:szCs w:val="32"/>
          <w:highlight w:val="none"/>
        </w:rPr>
        <w:t>的责任单位及相关责任人员处理建议已</w:t>
      </w:r>
      <w:r>
        <w:rPr>
          <w:rFonts w:hint="eastAsia" w:ascii="仿宋" w:hAnsi="仿宋" w:eastAsia="仿宋" w:cs="仿宋"/>
          <w:color w:val="auto"/>
          <w:sz w:val="32"/>
          <w:szCs w:val="32"/>
          <w:highlight w:val="none"/>
          <w:lang w:val="en-US" w:eastAsia="zh-CN"/>
        </w:rPr>
        <w:t>基本</w:t>
      </w:r>
      <w:r>
        <w:rPr>
          <w:rFonts w:hint="eastAsia" w:ascii="仿宋" w:hAnsi="仿宋" w:eastAsia="仿宋" w:cs="仿宋"/>
          <w:color w:val="auto"/>
          <w:sz w:val="32"/>
          <w:szCs w:val="32"/>
          <w:highlight w:val="none"/>
        </w:rPr>
        <w:t>落实</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事故调查报告提出的</w:t>
      </w:r>
      <w:r>
        <w:rPr>
          <w:rFonts w:hint="eastAsia" w:ascii="仿宋" w:hAnsi="仿宋" w:eastAsia="仿宋" w:cs="仿宋"/>
          <w:color w:val="auto"/>
          <w:sz w:val="32"/>
          <w:szCs w:val="32"/>
          <w:highlight w:val="none"/>
          <w:lang w:val="en-US" w:eastAsia="zh-CN"/>
        </w:rPr>
        <w:t>防范措施和</w:t>
      </w:r>
      <w:r>
        <w:rPr>
          <w:rFonts w:hint="eastAsia" w:ascii="仿宋" w:hAnsi="仿宋" w:eastAsia="仿宋" w:cs="仿宋"/>
          <w:color w:val="auto"/>
          <w:sz w:val="32"/>
          <w:szCs w:val="32"/>
          <w:highlight w:val="none"/>
        </w:rPr>
        <w:t>整改</w:t>
      </w:r>
      <w:r>
        <w:rPr>
          <w:rFonts w:hint="eastAsia" w:ascii="仿宋" w:hAnsi="仿宋" w:eastAsia="仿宋" w:cs="仿宋"/>
          <w:color w:val="auto"/>
          <w:sz w:val="32"/>
          <w:szCs w:val="32"/>
          <w:highlight w:val="none"/>
          <w:lang w:val="en-US" w:eastAsia="zh-CN"/>
        </w:rPr>
        <w:t>建议</w:t>
      </w:r>
      <w:r>
        <w:rPr>
          <w:rFonts w:hint="eastAsia" w:ascii="仿宋" w:hAnsi="仿宋" w:eastAsia="仿宋" w:cs="仿宋"/>
          <w:color w:val="auto"/>
          <w:sz w:val="32"/>
          <w:szCs w:val="32"/>
          <w:highlight w:val="none"/>
        </w:rPr>
        <w:t>基本落实到位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事故责任单位及各相关部门深刻汲取本次事故教训，全面开展举一反三自查整改，</w:t>
      </w:r>
      <w:r>
        <w:rPr>
          <w:rFonts w:hint="eastAsia" w:ascii="仿宋" w:hAnsi="仿宋" w:eastAsia="仿宋" w:cs="仿宋"/>
          <w:i w:val="0"/>
          <w:iCs w:val="0"/>
          <w:caps w:val="0"/>
          <w:color w:val="auto"/>
          <w:spacing w:val="0"/>
          <w:sz w:val="32"/>
          <w:szCs w:val="32"/>
          <w:highlight w:val="none"/>
          <w:shd w:val="clear" w:color="auto" w:fill="FFFFFF"/>
        </w:rPr>
        <w:t>强化内部安全管控，严格落实各项安全职责</w:t>
      </w:r>
      <w:r>
        <w:rPr>
          <w:rFonts w:hint="eastAsia" w:ascii="仿宋" w:hAnsi="仿宋" w:eastAsia="仿宋" w:cs="仿宋"/>
          <w:i w:val="0"/>
          <w:iCs w:val="0"/>
          <w:caps w:val="0"/>
          <w:color w:val="auto"/>
          <w:spacing w:val="0"/>
          <w:sz w:val="32"/>
          <w:szCs w:val="32"/>
          <w:highlight w:val="none"/>
          <w:shd w:val="clear" w:color="auto" w:fill="FFFFFF"/>
          <w:lang w:eastAsia="zh-CN"/>
        </w:rPr>
        <w:t>，</w:t>
      </w:r>
      <w:r>
        <w:rPr>
          <w:rFonts w:hint="eastAsia" w:ascii="仿宋" w:hAnsi="仿宋" w:eastAsia="仿宋" w:cs="仿宋"/>
          <w:color w:val="auto"/>
          <w:sz w:val="32"/>
          <w:szCs w:val="32"/>
          <w:highlight w:val="none"/>
        </w:rPr>
        <w:t>持续压实安全主体责任，细化管控举措、补齐管理短板。</w:t>
      </w:r>
      <w:r>
        <w:rPr>
          <w:rFonts w:hint="eastAsia" w:ascii="仿宋" w:hAnsi="仿宋" w:eastAsia="仿宋" w:cs="仿宋"/>
          <w:i w:val="0"/>
          <w:iCs w:val="0"/>
          <w:caps w:val="0"/>
          <w:color w:val="auto"/>
          <w:spacing w:val="0"/>
          <w:sz w:val="32"/>
          <w:szCs w:val="32"/>
          <w:highlight w:val="none"/>
          <w:shd w:val="clear" w:color="auto" w:fill="FFFFFF"/>
        </w:rPr>
        <w:t>辖区</w:t>
      </w:r>
      <w:r>
        <w:rPr>
          <w:rFonts w:hint="eastAsia" w:ascii="仿宋" w:hAnsi="仿宋" w:eastAsia="仿宋" w:cs="仿宋"/>
          <w:i w:val="0"/>
          <w:iCs w:val="0"/>
          <w:caps w:val="0"/>
          <w:color w:val="auto"/>
          <w:spacing w:val="0"/>
          <w:sz w:val="32"/>
          <w:szCs w:val="32"/>
          <w:highlight w:val="none"/>
          <w:shd w:val="clear" w:color="auto" w:fill="FFFFFF"/>
          <w:lang w:val="en-US" w:eastAsia="zh-CN"/>
        </w:rPr>
        <w:t>内</w:t>
      </w:r>
      <w:r>
        <w:rPr>
          <w:rFonts w:hint="eastAsia" w:ascii="仿宋" w:hAnsi="仿宋" w:eastAsia="仿宋" w:cs="仿宋"/>
          <w:i w:val="0"/>
          <w:iCs w:val="0"/>
          <w:caps w:val="0"/>
          <w:color w:val="auto"/>
          <w:spacing w:val="0"/>
          <w:sz w:val="32"/>
          <w:szCs w:val="32"/>
          <w:highlight w:val="none"/>
          <w:shd w:val="clear" w:color="auto" w:fill="FFFFFF"/>
        </w:rPr>
        <w:t>安全风险防控能力持续增强，安全生产</w:t>
      </w:r>
      <w:r>
        <w:rPr>
          <w:rFonts w:hint="eastAsia" w:ascii="仿宋" w:hAnsi="仿宋" w:eastAsia="仿宋" w:cs="仿宋"/>
          <w:i w:val="0"/>
          <w:iCs w:val="0"/>
          <w:caps w:val="0"/>
          <w:color w:val="auto"/>
          <w:spacing w:val="0"/>
          <w:sz w:val="32"/>
          <w:szCs w:val="32"/>
          <w:highlight w:val="none"/>
          <w:shd w:val="clear" w:color="auto" w:fill="FFFFFF"/>
          <w:lang w:val="en-US" w:eastAsia="zh-CN"/>
        </w:rPr>
        <w:t>管控</w:t>
      </w:r>
      <w:r>
        <w:rPr>
          <w:rFonts w:hint="eastAsia" w:ascii="仿宋" w:hAnsi="仿宋" w:eastAsia="仿宋" w:cs="仿宋"/>
          <w:i w:val="0"/>
          <w:iCs w:val="0"/>
          <w:caps w:val="0"/>
          <w:color w:val="auto"/>
          <w:spacing w:val="0"/>
          <w:sz w:val="32"/>
          <w:szCs w:val="32"/>
          <w:highlight w:val="none"/>
          <w:shd w:val="clear" w:color="auto" w:fill="FFFFFF"/>
        </w:rPr>
        <w:t>水平</w:t>
      </w:r>
      <w:r>
        <w:rPr>
          <w:rFonts w:hint="eastAsia" w:ascii="仿宋" w:hAnsi="仿宋" w:eastAsia="仿宋" w:cs="仿宋"/>
          <w:i w:val="0"/>
          <w:iCs w:val="0"/>
          <w:caps w:val="0"/>
          <w:color w:val="auto"/>
          <w:spacing w:val="0"/>
          <w:sz w:val="32"/>
          <w:szCs w:val="32"/>
          <w:highlight w:val="none"/>
          <w:shd w:val="clear" w:color="auto" w:fill="FFFFFF"/>
          <w:lang w:val="en-US" w:eastAsia="zh-CN"/>
        </w:rPr>
        <w:t>得到显著</w:t>
      </w:r>
      <w:r>
        <w:rPr>
          <w:rFonts w:hint="eastAsia" w:ascii="仿宋" w:hAnsi="仿宋" w:eastAsia="仿宋" w:cs="仿宋"/>
          <w:i w:val="0"/>
          <w:iCs w:val="0"/>
          <w:caps w:val="0"/>
          <w:color w:val="auto"/>
          <w:spacing w:val="0"/>
          <w:sz w:val="32"/>
          <w:szCs w:val="32"/>
          <w:highlight w:val="none"/>
          <w:shd w:val="clear" w:color="auto" w:fill="FFFFFF"/>
        </w:rPr>
        <w:t>提高。</w:t>
      </w:r>
    </w:p>
    <w:p w14:paraId="2DFC531C">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i w:val="0"/>
          <w:iCs w:val="0"/>
          <w:caps w:val="0"/>
          <w:color w:val="auto"/>
          <w:spacing w:val="0"/>
          <w:sz w:val="32"/>
          <w:szCs w:val="32"/>
          <w:highlight w:val="none"/>
          <w:shd w:val="clear" w:color="auto" w:fill="FFFFFF"/>
        </w:rPr>
      </w:pPr>
    </w:p>
    <w:p w14:paraId="0D3AC3E8">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晋安区“3·19”物体打击</w:t>
      </w:r>
      <w:r>
        <w:rPr>
          <w:rFonts w:hint="eastAsia" w:ascii="仿宋" w:hAnsi="仿宋" w:eastAsia="仿宋" w:cs="仿宋"/>
          <w:color w:val="auto"/>
          <w:sz w:val="32"/>
          <w:szCs w:val="32"/>
          <w:highlight w:val="none"/>
          <w:rtl w:val="0"/>
          <w:lang w:val="en-US" w:eastAsia="zh-CN"/>
        </w:rPr>
        <w:t>一般生产安全事故</w:t>
      </w:r>
    </w:p>
    <w:p w14:paraId="37041E61">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整改和防范措施落实情况评估工作组</w:t>
      </w:r>
    </w:p>
    <w:p w14:paraId="1E2018A6">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2026年3月17</w:t>
      </w:r>
      <w:bookmarkStart w:id="0" w:name="_GoBack"/>
      <w:bookmarkEnd w:id="0"/>
      <w:r>
        <w:rPr>
          <w:rFonts w:hint="eastAsia" w:ascii="仿宋" w:hAnsi="仿宋" w:eastAsia="仿宋" w:cs="仿宋"/>
          <w:color w:val="auto"/>
          <w:sz w:val="32"/>
          <w:szCs w:val="32"/>
          <w:highlight w:val="none"/>
          <w:lang w:val="en-US" w:eastAsia="zh-CN"/>
        </w:rPr>
        <w:t>日</w:t>
      </w:r>
    </w:p>
    <w:p w14:paraId="4F6B1C00">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1C5A31"/>
    <w:rsid w:val="033E5141"/>
    <w:rsid w:val="04725735"/>
    <w:rsid w:val="06085010"/>
    <w:rsid w:val="08604EA7"/>
    <w:rsid w:val="0BA13F3D"/>
    <w:rsid w:val="161F3DAC"/>
    <w:rsid w:val="162E2871"/>
    <w:rsid w:val="17854713"/>
    <w:rsid w:val="19143FA0"/>
    <w:rsid w:val="1D4961E3"/>
    <w:rsid w:val="1D556D9E"/>
    <w:rsid w:val="1DFB2E68"/>
    <w:rsid w:val="20B147CB"/>
    <w:rsid w:val="22A068A5"/>
    <w:rsid w:val="233A1C62"/>
    <w:rsid w:val="239C706C"/>
    <w:rsid w:val="2424531B"/>
    <w:rsid w:val="256535EF"/>
    <w:rsid w:val="26D34CA8"/>
    <w:rsid w:val="2A3A75DF"/>
    <w:rsid w:val="2A7455A5"/>
    <w:rsid w:val="2AD01CF1"/>
    <w:rsid w:val="2ADF3CE2"/>
    <w:rsid w:val="30C029C9"/>
    <w:rsid w:val="31457C05"/>
    <w:rsid w:val="33955D2A"/>
    <w:rsid w:val="33C70135"/>
    <w:rsid w:val="346841D5"/>
    <w:rsid w:val="349A3F38"/>
    <w:rsid w:val="36015455"/>
    <w:rsid w:val="3BE41159"/>
    <w:rsid w:val="3C0B1B54"/>
    <w:rsid w:val="3FB5178A"/>
    <w:rsid w:val="402E35C5"/>
    <w:rsid w:val="42C972FA"/>
    <w:rsid w:val="4328097C"/>
    <w:rsid w:val="446E0159"/>
    <w:rsid w:val="44DF2E05"/>
    <w:rsid w:val="4807498C"/>
    <w:rsid w:val="48C951B6"/>
    <w:rsid w:val="4DD059E1"/>
    <w:rsid w:val="50B96C00"/>
    <w:rsid w:val="53BA3A1A"/>
    <w:rsid w:val="54216F96"/>
    <w:rsid w:val="54F71AA5"/>
    <w:rsid w:val="555962BC"/>
    <w:rsid w:val="55C951EF"/>
    <w:rsid w:val="59E65F92"/>
    <w:rsid w:val="5A9E6190"/>
    <w:rsid w:val="5AFA0BA8"/>
    <w:rsid w:val="5DC56BE4"/>
    <w:rsid w:val="616E7593"/>
    <w:rsid w:val="61B01959"/>
    <w:rsid w:val="62567F7F"/>
    <w:rsid w:val="629753C4"/>
    <w:rsid w:val="6333348C"/>
    <w:rsid w:val="637B25C6"/>
    <w:rsid w:val="6B1C3BBC"/>
    <w:rsid w:val="6B1C5A31"/>
    <w:rsid w:val="6C5975D6"/>
    <w:rsid w:val="6CDE737B"/>
    <w:rsid w:val="6D17288C"/>
    <w:rsid w:val="6D466420"/>
    <w:rsid w:val="6DD93FE6"/>
    <w:rsid w:val="6EE719FA"/>
    <w:rsid w:val="71864485"/>
    <w:rsid w:val="737E3665"/>
    <w:rsid w:val="74147B26"/>
    <w:rsid w:val="74786307"/>
    <w:rsid w:val="74C72DEA"/>
    <w:rsid w:val="75FE0A8D"/>
    <w:rsid w:val="764741E2"/>
    <w:rsid w:val="77536BB7"/>
    <w:rsid w:val="783E33C3"/>
    <w:rsid w:val="784C1F84"/>
    <w:rsid w:val="7A432AB5"/>
    <w:rsid w:val="7A996FD7"/>
    <w:rsid w:val="7AE2272C"/>
    <w:rsid w:val="7AFA6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3"/>
    <w:qFormat/>
    <w:uiPriority w:val="0"/>
    <w:pPr>
      <w:ind w:firstLine="420" w:firstLineChars="100"/>
    </w:pPr>
  </w:style>
  <w:style w:type="paragraph" w:styleId="6">
    <w:name w:val="Body Text First Indent 2"/>
    <w:basedOn w:val="1"/>
    <w:next w:val="5"/>
    <w:qFormat/>
    <w:uiPriority w:val="0"/>
    <w:pPr>
      <w:spacing w:after="120"/>
      <w:ind w:left="420" w:leftChars="200" w:firstLine="420"/>
    </w:pPr>
    <w:rPr>
      <w:sz w:val="21"/>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2246</Words>
  <Characters>2299</Characters>
  <Lines>0</Lines>
  <Paragraphs>0</Paragraphs>
  <TotalTime>0</TotalTime>
  <ScaleCrop>false</ScaleCrop>
  <LinksUpToDate>false</LinksUpToDate>
  <CharactersWithSpaces>2328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2026-06-05T08:04:00Z</dcterms:created>
  <dc:creator>宋阳</dc:creator>
  <cp:lastModifiedBy>卡路</cp:lastModifiedBy>
  <cp:lastPrinted>2026-06-12T00:27:00Z</cp:lastPrinted>
  <dcterms:modified xsi:type="dcterms:W3CDTF">2026-06-22T01:39:14Z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8166A1DC50DF4683BCD55E303ECAFB49_13</vt:lpwstr>
  </property>
  <property fmtid="{D5CDD505-2E9C-101B-9397-08002B2CF9AE}" pid="4" name="KSOTemplateDocerSaveRecord">
    <vt:lpwstr>eyJoZGlkIjoiMTcxYWE1NzdlZmMzM2ZjNmNkMWFkOWFmZjZhM2QzZDQiLCJ1c2VySWQiOiI0ODMxMzYyNzAifQ==</vt:lpwstr>
  </property>
</Properties>
</file>