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提前下达2024年中央财政残疾人事业发展补助资金预算（一般公共预算）（闽财社指〔2023〕100号 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用于7岁以上残疾人康复、农村困难残疾人实用技术培训、残疾人机动轮椅车燃油补贴以及阳光家园计划——智力、精神和重度肢体残疾人托养服务等方面支出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辅助器具适配补贴以“保基本、广覆盖、制度化”为基本原则，以普通型、大众化辅助器具为主，重点解决残疾人最基本、最迫切的辅助器具需求。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受益残疾人数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1)项目按时完成率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