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提前下达2024年残疾人事业发展省级补助转移支付预算（一般公共预算）（闽财社指〔2023〕83号）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"十四五"时期，继续实施残疾人康复项目，残疾儿童和残疾人得到不同程序的康复，减轻功能障碍，增强生活自理能力和社会参与能力，实施残疾人家庭无障碍改造项目，减轻家庭成员的护理压力，切实解放家庭劳动力，实施残疾人就业和托养项目，残疾人按比例就业、集中就业、自主创业就业，灵活就业等多种形式就业规模稳中有升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“为孤独症、肢体（脑瘫）、听力、智力、言语、视力等0-17岁残疾儿童康复服务提供救助补助，使他们得到不同程度的康复。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1)残疾人康复 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260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2)残疾人就业奖励补贴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3)扶持农村困难残疾人就业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4)残疾人辅助性就业机构补助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5)残疾人居家托养补助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6)残疾人家庭无障碍改造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1)项目及时完成率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1)有需求的残疾人基本康复服务率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1)残疾人对康复服务 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