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2024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2023年福乐家园残疾人专职服务人员经费（2023结转）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进一步加强“福乐家园”规范管理，提升残疾人服务水平和质量。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1)人均工资标准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元/月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2500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2500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1)福乐家园残疾人专职服务人员人数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1)资金拨付合规性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1)工资发放及时率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1)服务残疾人人数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1)残疾人及残疾人家属对福乐家园残疾人专职服务人员的服务满意度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