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2023年晋安区福乐家园运行经费（2023结转）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进一步加强“福乐家园”规范管理，提升残疾人服务水平和质量。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1)人均工资标准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1)福乐家园残疾人专职服务人员人数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1)项目按时完成率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1)减轻残疾人家庭负担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1)残疾人及残疾人家属对福乐家园残疾人专职服务人员的服务满意度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