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2023年晋安区代表团参加市第五届残运会暨特奥会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2023年晋安区残联组织残疾人参加市残联第五届残运会及特奥会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2023年晋安区残联组织残疾人参加市残联第五届残运会及特奥会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122992.6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122992.6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1)残疾运动员人数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1)减轻受益残疾人家庭负担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	</w:t>
        <w:cr/>
        <w:t>受益残疾人满意度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