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2023年晋安区残疾人职业技能培训经费（2023结转）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进一步推进残疾人职业技能和实用技术培训工作，促进残疾人就业。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进一步推进残疾人职业技能和实用技术培训工作，促进残疾人就业。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43961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162425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1)减轻受益残疾人家庭经济负担（户）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受益残疾人满意度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