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2024年残疾人团体身体意外伤害保险经费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为进一步建设完善残疾人的社会保障体系，减轻家庭负担，提高残疾人幸福指数。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124760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124760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1)晋安区残疾人意外伤害保险投保人数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6238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1)投保覆盖率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1)减轻残疾人家庭经济负担人数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6238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1)全区持有效残疾人证的残疾人对投保工作满意度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