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晋安区2024年残联康复就业中心大楼及寿山乡同乐园电费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保障残联康复就业中心大楼及同乐园电力保障。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保障残联康复就业中心大楼及同乐园电力保障。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49527.74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1)福州同乐生态农业观光园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1)保证福州同乐生态农业观光园整治期间的安保数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1)保障残联满意度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