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2024年贫困精神病患者服药和住院补助资金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为贫困（低保）精神病患者提供服药和住院补助，使他们得到不同程度的治疗和康复，进一步改善生活质量，减轻家庭经济负担，服药补助每人每年500元，住院补助每人每年4000元。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减轻贫困精神病患者服药和住院的经济负担，控制和缓解病情，维护社会稳定。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1)贫困精神病患者服药补助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2)贫困精神病患者住院补助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1)贫困精神病患者服药和住院补助金额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1.91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1)资金符合合规性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1)贫困精神病患者服药受助人数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2)贫困精神病患者住院受助人数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1)残疾人对基本康复服务的满意度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由于财政资金紧张，未能将资金划拨我会，故现在还无法及时发放给残疾人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希望财政能将资金及时发放给残疾人，为残疾人减轻经济负担，控制和缓解病情，维护社会稳定。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