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2024年晋安区扶持残疾人就业创业补助资金3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实施残疾人就业项目，残疾人按比例就业，集中就业，自主创业就业，灵活就业等多种形式就业规模稳中有升，促进残疾人实现较为充分，较高质量就业。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实施残疾人就业项目，残疾人按比例就业，集中就业，自主创业就业，灵活就业等多种形式就业规模稳中有升，促进残疾人实现较为充分，较高质量就业。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1)安排残疾人就业补贴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1)安排残疾人就业补贴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1)促进企业安置残疾人就业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1)企业和残疾人的满意度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