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2023年晋安区第三批残疾人家庭无障碍改造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支持困难重度残疾人家庭无障碍改造，改善残疾人居家环境。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支持困难重度残疾人家庭无障碍改造，改善残疾人居家环境。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1)家庭无障碍改造补助标准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1)残疾人家庭无障碍改造惠及人数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1)提高残疾人生活水平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1)接受无障碍改造残疾人家庭满意度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