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2023年度晋安区精神障碍患者康复救助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通过精神障碍患者康复救助工作，提高精神障碍患者生活质量，减轻其家庭经济负担，促进家庭和谐、社会稳定。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提供精神障碍患者生活质量，减轻家庭经济负担，促进家庭和谐、社会稳定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1)财政投入总数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29.095001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29.095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1)有需求的精神障碍患者人数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1)资金拨付合规性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1)项目完成时间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1)残疾人基本康复服务覆盖率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1)残疾人家属对残疾人康复服务定点康复机构的满意率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