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2024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晋安区2024年1-3月（0-17岁）残疾儿童康复救助补助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“十四五”时期，继续实施残疾人康复项目，残疾儿童和残疾人得到不同程度的康复，减轻功能障碍，增强生活自理能力和社会参与能力。晋安区户籍和持有晋安区居住证的残疾儿童康复救助年龄为0-17岁，即在申请康复救助年度的1月1日，年龄未满18周岁。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“为孤独症、肢体（脑瘫）、听力、智力、言语、视力等0-17岁残疾儿童康复服务提供救助补助，使他们得到不同程度的康复。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100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1)残疾儿童康复救助补助金额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万元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68.749551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68.7495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1)残疾儿童康复救助补助人数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户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260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260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1)补助资金发放合规性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1)残疾儿童康复救助完成时间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月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7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7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1)减轻受益残疾儿童家庭经济负担（元）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月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2800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2800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1)残疾人对康复服务的满意度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