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晋安区2024年1-3月（0-17岁）残疾儿童康复救助补助2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“十四五”时期，继续实施残疾人康复项目，残疾儿童和残疾人得到不同程度的康复，减轻功能障碍，增强生活自理能力和社会参与能力。晋安区户籍和持有晋安区居住证的残疾儿童康复救助年龄为0-17岁，即在申请康复救助年度的1月1日，年龄未满18周岁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“为孤独症、肢体（脑瘫）、听力、智力、言语、视力等0-17岁残疾儿童康复服务提供救助补助，使他们得到不同程度的康复。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1)残疾儿童康复救助补助金额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1)残疾儿童康复救助补助人数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1)残疾儿童康复救助完成时间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1)减轻受益残疾儿童家庭经济负担（元）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2800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1)残疾人对康复服务的满意度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