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晋安区2024年7-9月（0-17岁）残疾儿童康复救助补助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“十四五”时期，继续实施残疾人康复项目，残疾儿童和残疾人得到不同程度的康复，减轻功能障碍，增强生活自理能力和社会参与能力。晋安区户籍和持有晋安区居住证的残疾儿童康复救助年龄为0-17岁，即在申请康复救助年度的1月1日，年龄未满18周岁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2024年第三季度（0-17岁）残疾儿童共有290名符合康复救助补助条件，现划拨康复救助补助经费共计1373590.14元。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低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1)残疾儿童康复救助补助金额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137.359014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1)残疾儿童康复救助补助人数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1)补助资金发放合规性补助资金发放合规性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1)残疾儿童康复救助完成时间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1)减轻受益残疾儿童家庭经济负担（元）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1)残疾儿童家庭的满意度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财政资金紧张，财政资金紧张，财政资金紧张，财政资金紧张，财政资金紧张，财政资金紧张，财政资金紧张，财政资金紧张。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财政资金紧张，财政资金紧张，财政资金紧张，财政资金紧张，财政资金紧张，财政资金紧张，财政资金紧张，财政资金紧张，财政资金紧张，财政资金紧张，财政资金紧张，财政资金紧张，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财政资金紧张，财政资金紧张，财政资金紧张，财政资金紧张，财政资金紧张，财政资金紧张，财政资金紧张，财政资金紧张。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财政资金紧张，财政资金紧张，财政资金紧张，财政资金紧张，财政资金紧张，财政资金紧张，财政资金紧张，财政资金紧张，财政资金紧张，财政资金紧张，财政资金紧张，财政资金紧张，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