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提前下达2024年残疾人事业发展省级补助转移支付预算（政府性基金预算）（闽财社指〔2023〕83号 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"十四五"时期，继续实施残疾人康复项目，残疾儿童和残疾人得到不同程序的康复，减轻功能障碍，增强生活自理能力和社会参与能力，实施残疾人家庭无障碍改造项目，减轻家庭成员的护理压力，切实解放家庭劳动力，实施残疾人就业和托养项目，残疾人按比例就业、集中就业、自主创业就业，灵活就业等多种形式就业规模稳中有升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“为孤独症、肢体（脑瘫）、听力、智力、言语、视力等0-17岁残疾儿童康复服务提供救助补助，使他们得到不同程度的康复。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1)项目及时完成率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1)有需求的残疾人基本康复服务率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1)残疾人对康复服务 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