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2024年晋安区“两节”慰问困难残疾人生活补助经费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为晋安区生活困难残疾人发放2024年两节慰问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为晋安区生活困难残疾人498户发放2024年两节慰问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1)财政拨付资金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1)元旦春节慰问覆盖率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1)增加困难残疾人家庭经济收入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1)困难残疾人满意度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