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返还四城区残疾人就业保障金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返还四城区残疾人就业保障金，指标来源：榕财社指【2023】129号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返还四城区残疾人就业保障金，指标来源：榕财社指【2023】129号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1483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2)残疾人就业奖励补贴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3)超比例1+7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4)残疾人居家托养补助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5)辅具适配需求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6)扶残助学补助晋安区人数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1)项目及时完成率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1)提高残疾人生活质量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