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2024年晋安区残疾人就业服务指导中心工作经费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2024年晋安区残疾人就业服务指导中心 工作经费90万元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2024年晋安区残疾人就业服务指导中心 工作经费90万元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1)党建活动场次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2)招聘活动场次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3)走访基层场次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4)走访企业数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5)宣传活动场次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1)被投诉率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1)资金发放及时率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1)残疾人保障金征收金额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1)单位员工满意度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