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2024年晋安区残疾人协会经费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进一步激发专门协会活力，有效发挥协会在残联组织的主体作用，为各类别的残疾人提供更贴心的服务。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1)活动使用经费标准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2.46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1)五大协会全年开展活动次数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1)活动对象与协会类别吻合度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1)按计划开展时间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 xml:space="preserve">月 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1)提高残疾人的社会活动参与率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1)协会残疾人满意度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