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2024年晋安区扶持残疾人辅助性就业机构建设补助资金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实行政策扶持和市场推动相结合，以促进残疾人辅助性就业发展为基础，发挥社会企业主体作用和劳动项目开发为核心，逐步建立和形成主要针对智力、精神和重度肢体残疾人辅助性就业模式及有效运行机制，稳定和扩大该类残疾人的辅助性就业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实行政策扶持和市场推动相结合，以促进残疾人辅助性就业发展为基础，发挥社会企业主体作用和劳动项目开发为核心，逐步建立和形成主要针对智力、精神和重度肢体残疾人辅助性就业模式及有效运行机制，稳定和扩大该类残疾人的辅助性就业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1)财政投入总数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842240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1218080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1)扶持单位数（残疾人辅助性就业机构）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 xml:space="preserve">1)	</w:t>
        <w:cr/>
        <w:t>资金拨付合规性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1)项目完成时限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1)增加智力、精神和重度肢体残疾人辅助性就业人数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17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1)残疾人满意度（智力、精神和重度肢体残疾人辅助性就业）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财政紧张未支出，财政紧张未支出，财政紧张未支出，财政紧张未支出，财政紧张未支出，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财政紧张未支出，财政紧张未支出，财政紧张未支出，财政紧张未支出，财政紧张未支出，财政紧张未支出，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