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2023年12月-2024年6月晋安区残疾人居家托养服务费、评估费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为符合条件的残疾人由服务方提供上门居家服务，市级为该项目资金补助50%，项目得到了残疾人欢迎。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为符合条件的残疾人由服务方提供上门居家服务，市级为该项目资金补助50%，项目得到了残疾人欢迎。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残疾人满意度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