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widowControl/>
        <w:jc w:val="center"/>
        <w:rPr>
          <w:sz w:val="32"/>
          <w:szCs w:val="32"/>
          <w:highlight w:val="none"/>
        </w:rPr>
      </w:pPr>
    </w:p>
    <w:p>
      <w:pPr>
        <w:widowControl/>
        <w:jc w:val="both"/>
        <w:rPr>
          <w:sz w:val="84"/>
          <w:szCs w:val="84"/>
          <w:highlight w:val="none"/>
        </w:rPr>
      </w:pP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lang w:val="en-US" w:eastAsia="zh-CN"/>
        </w:rPr>
        <w:t>2025</w:t>
      </w:r>
      <w:r>
        <w:rPr>
          <w:rFonts w:hint="eastAsia" w:ascii="方正小标宋简体" w:eastAsia="方正小标宋简体"/>
          <w:b/>
          <w:bCs/>
          <w:sz w:val="84"/>
          <w:szCs w:val="84"/>
          <w:highlight w:val="none"/>
        </w:rPr>
        <w:t>年度</w:t>
      </w: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rPr>
        <w:t>福州市晋安区计划生育</w:t>
      </w:r>
    </w:p>
    <w:p>
      <w:pPr>
        <w:widowControl/>
        <w:jc w:val="center"/>
        <w:rPr>
          <w:rFonts w:hint="eastAsia" w:ascii="方正小标宋简体" w:eastAsia="方正小标宋简体"/>
          <w:b/>
          <w:bCs/>
          <w:sz w:val="84"/>
          <w:szCs w:val="84"/>
          <w:highlight w:val="none"/>
          <w:lang w:val="en-US" w:eastAsia="zh-CN"/>
        </w:rPr>
        <w:sectPr>
          <w:footerReference r:id="rId3" w:type="default"/>
          <w:pgSz w:w="11906" w:h="16838"/>
          <w:pgMar w:top="1440" w:right="1083" w:bottom="1440" w:left="1083" w:header="0" w:footer="720" w:gutter="0"/>
          <w:pgBorders>
            <w:top w:val="none" w:sz="0" w:space="0"/>
            <w:left w:val="none" w:sz="0" w:space="0"/>
            <w:bottom w:val="none" w:sz="0" w:space="0"/>
            <w:right w:val="none" w:sz="0" w:space="0"/>
          </w:pgBorders>
          <w:pgNumType w:fmt="decimal"/>
          <w:cols w:space="0" w:num="1"/>
          <w:titlePg/>
          <w:rtlGutter w:val="0"/>
          <w:docGrid w:type="lines" w:linePitch="317" w:charSpace="0"/>
        </w:sectPr>
      </w:pPr>
      <w:r>
        <w:rPr>
          <w:rFonts w:hint="eastAsia" w:ascii="方正小标宋简体" w:eastAsia="方正小标宋简体"/>
          <w:b/>
          <w:bCs/>
          <w:sz w:val="84"/>
          <w:szCs w:val="84"/>
          <w:highlight w:val="none"/>
        </w:rPr>
        <w:t>协会汇总</w:t>
      </w:r>
      <w:r>
        <w:rPr>
          <w:rFonts w:hint="eastAsia" w:ascii="方正小标宋简体" w:eastAsia="方正小标宋简体"/>
          <w:b/>
          <w:bCs/>
          <w:sz w:val="84"/>
          <w:u w:val="none" w:color="auto"/>
          <w:lang w:val="en-US" w:eastAsia="zh-CN"/>
        </w:rPr>
        <w:t>部门</w:t>
      </w:r>
      <w:r>
        <w:rPr>
          <w:rFonts w:hint="eastAsia" w:ascii="方正小标宋简体" w:eastAsia="方正小标宋简体"/>
          <w:b/>
          <w:bCs/>
          <w:sz w:val="84"/>
          <w:szCs w:val="84"/>
          <w:highlight w:val="none"/>
        </w:rPr>
        <w:t>决算</w:t>
      </w:r>
    </w:p>
    <w:sdt>
      <w:sdtPr>
        <w:rPr>
          <w:rFonts w:hint="eastAsia" w:ascii="仿宋" w:hAnsi="仿宋" w:eastAsia="仿宋" w:cs="仿宋"/>
          <w:b/>
          <w:bCs/>
          <w:kern w:val="0"/>
          <w:sz w:val="32"/>
          <w:szCs w:val="32"/>
          <w:lang w:val="en-US" w:eastAsia="zh-CN"/>
        </w:rPr>
        <w:id w:val="147456983"/>
        <w15:color w:val="DBDBDB"/>
        <w:docPartObj>
          <w:docPartGallery w:val="Table of Contents"/>
          <w:docPartUnique/>
        </w:docPartObj>
      </w:sdtPr>
      <w:sdtEndPr>
        <w:rPr>
          <w:rFonts w:hint="eastAsia" w:ascii="宋体" w:hAnsi="宋体" w:eastAsia="宋体" w:cs="Times New Roman"/>
          <w:b/>
          <w:bCs/>
          <w:kern w:val="2"/>
          <w:sz w:val="32"/>
          <w:szCs w:val="32"/>
          <w:lang w:val="en-US" w:eastAsia="zh-CN" w:bidi="ar-SA"/>
        </w:rPr>
      </w:sdtEndPr>
      <w:sdtContent>
        <w:p>
          <w:pPr>
            <w:widowControl/>
            <w:spacing w:before="0" w:beforeLines="0" w:after="0" w:afterLines="0" w:line="240" w:lineRule="auto"/>
            <w:ind w:left="0" w:leftChars="0" w:right="0" w:rightChars="0" w:firstLine="0" w:firstLineChars="0"/>
            <w:jc w:val="center"/>
            <w:rPr>
              <w:rFonts w:hint="eastAsia" w:ascii="仿宋" w:hAnsi="仿宋" w:eastAsia="仿宋" w:cs="仿宋"/>
              <w:b/>
              <w:bCs/>
              <w:kern w:val="0"/>
              <w:sz w:val="32"/>
              <w:szCs w:val="32"/>
            </w:rPr>
          </w:pPr>
          <w:bookmarkStart w:id="26" w:name="_GoBack"/>
          <w:bookmarkEnd w:id="26"/>
          <w:r>
            <w:rPr>
              <w:rFonts w:hint="eastAsia" w:ascii="仿宋" w:hAnsi="仿宋" w:eastAsia="仿宋" w:cs="仿宋"/>
              <w:b/>
              <w:bCs/>
              <w:kern w:val="0"/>
              <w:sz w:val="32"/>
              <w:szCs w:val="32"/>
              <w:lang w:val="en-US" w:eastAsia="zh-CN"/>
            </w:rPr>
            <w:t xml:space="preserve">目 </w:t>
          </w:r>
          <w:r>
            <w:rPr>
              <w:rFonts w:hint="eastAsia" w:ascii="仿宋" w:hAnsi="仿宋" w:eastAsia="仿宋" w:cs="仿宋"/>
              <w:b/>
              <w:bCs/>
              <w:kern w:val="0"/>
              <w:sz w:val="32"/>
              <w:szCs w:val="32"/>
            </w:rPr>
            <w:t>录</w:t>
          </w:r>
        </w:p>
        <w:p>
          <w:pPr>
            <w:pStyle w:val="17"/>
            <w:tabs>
              <w:tab w:val="right" w:leader="dot" w:pos="9730"/>
            </w:tabs>
            <w:rPr>
              <w:rFonts w:asciiTheme="minorHAnsi" w:hAnsiTheme="minorHAns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 HYPERLINK \l "_Toc256000054" </w:instrText>
          </w:r>
          <w:r>
            <w:fldChar w:fldCharType="separate"/>
          </w:r>
          <w:r>
            <w:rPr>
              <w:rStyle w:val="22"/>
              <w:rFonts w:ascii="仿宋" w:hAnsi="仿宋" w:eastAsia="仿宋" w:cs="仿宋"/>
            </w:rPr>
            <w:t>第一部分</w:t>
          </w:r>
          <w:r>
            <w:rPr>
              <w:rStyle w:val="22"/>
              <w:rFonts w:ascii="黑体" w:hAnsi="黑体" w:eastAsia="黑体" w:cs="黑体"/>
            </w:rPr>
            <w:t xml:space="preserve"> </w:t>
          </w:r>
          <w:r>
            <w:rPr>
              <w:rStyle w:val="22"/>
              <w:rFonts w:ascii="仿宋" w:hAnsi="仿宋" w:eastAsia="仿宋" w:cs="仿宋"/>
            </w:rPr>
            <w:t>部门概况</w:t>
          </w:r>
          <w:r>
            <w:tab/>
          </w:r>
          <w:r>
            <w:fldChar w:fldCharType="begin"/>
          </w:r>
          <w:r>
            <w:instrText xml:space="preserve"> PAGEREF _Toc256000054 \h </w:instrText>
          </w:r>
          <w:r>
            <w:fldChar w:fldCharType="separate"/>
          </w:r>
          <w:r>
            <w:t>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"_Toc256000055" </w:instrText>
          </w:r>
          <w:r>
            <w:fldChar w:fldCharType="separate"/>
          </w:r>
          <w:r>
            <w:rPr>
              <w:rStyle w:val="22"/>
              <w:rFonts w:ascii="仿宋" w:hAnsi="仿宋" w:eastAsia="仿宋" w:cs="仿宋"/>
            </w:rPr>
            <w:t>一、部门主要职责</w:t>
          </w:r>
          <w:r>
            <w:tab/>
          </w:r>
          <w:r>
            <w:fldChar w:fldCharType="begin"/>
          </w:r>
          <w:r>
            <w:instrText xml:space="preserve"> PAGEREF _Toc256000055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"_Toc256000056" </w:instrText>
          </w:r>
          <w:r>
            <w:fldChar w:fldCharType="separate"/>
          </w:r>
          <w:r>
            <w:rPr>
              <w:rStyle w:val="22"/>
              <w:rFonts w:ascii="仿宋" w:hAnsi="仿宋" w:eastAsia="仿宋" w:cs="仿宋"/>
            </w:rPr>
            <w:t>二、部门决算单位基本情况</w:t>
          </w:r>
          <w:r>
            <w:tab/>
          </w:r>
          <w:r>
            <w:fldChar w:fldCharType="begin"/>
          </w:r>
          <w:r>
            <w:instrText xml:space="preserve"> PAGEREF _Toc256000056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"_Toc256000057" </w:instrText>
          </w:r>
          <w:r>
            <w:fldChar w:fldCharType="separate"/>
          </w:r>
          <w:r>
            <w:rPr>
              <w:rStyle w:val="22"/>
              <w:rFonts w:ascii="仿宋" w:hAnsi="仿宋" w:eastAsia="仿宋" w:cs="仿宋"/>
            </w:rPr>
            <w:t>三、部门主要工作总结</w:t>
          </w:r>
          <w:r>
            <w:tab/>
          </w:r>
          <w:r>
            <w:rPr>
              <w:rFonts w:hint="eastAsia"/>
              <w:lang w:val="en-US" w:eastAsia="zh-CN"/>
            </w:rPr>
            <w:t>....2</w:t>
          </w:r>
          <w:r>
            <w:fldChar w:fldCharType="begin"/>
          </w:r>
          <w:r>
            <w:instrText xml:space="preserve"> PAGEREF _Toc256000057 \h </w:instrText>
          </w:r>
          <w:r>
            <w:fldChar w:fldCharType="separate"/>
          </w:r>
          <w:r>
            <w:rPr>
              <w:rFonts w:hint="eastAsia"/>
              <w:b/>
              <w:lang w:val="en-US" w:eastAsia="zh-CN"/>
            </w:rPr>
            <w:t xml:space="preserve"> </w:t>
          </w:r>
          <w:r>
            <w:rPr>
              <w:b/>
            </w:rPr>
            <w:t>。</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"_Toc256000058" </w:instrText>
          </w:r>
          <w:r>
            <w:fldChar w:fldCharType="separate"/>
          </w:r>
          <w:r>
            <w:rPr>
              <w:rStyle w:val="22"/>
              <w:rFonts w:ascii="仿宋" w:hAnsi="仿宋" w:eastAsia="仿宋" w:cs="仿宋"/>
            </w:rPr>
            <w:t>第二部分</w:t>
          </w:r>
          <w:r>
            <w:rPr>
              <w:rStyle w:val="22"/>
              <w:rFonts w:ascii="黑体" w:hAnsi="黑体" w:eastAsia="黑体" w:cs="黑体"/>
            </w:rPr>
            <w:t xml:space="preserve"> </w:t>
          </w:r>
          <w:r>
            <w:rPr>
              <w:rStyle w:val="22"/>
              <w:rFonts w:ascii="仿宋" w:hAnsi="仿宋" w:eastAsia="仿宋" w:cs="仿宋"/>
            </w:rPr>
            <w:t>2025年度部门决算表</w:t>
          </w:r>
          <w:r>
            <w:tab/>
          </w:r>
          <w:r>
            <w:fldChar w:fldCharType="begin"/>
          </w:r>
          <w:r>
            <w:instrText xml:space="preserve"> PAGEREF _Toc256000058 \h </w:instrText>
          </w:r>
          <w:r>
            <w:fldChar w:fldCharType="separate"/>
          </w:r>
          <w:r>
            <w:t>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"_Toc256000059" </w:instrText>
          </w:r>
          <w:r>
            <w:fldChar w:fldCharType="separate"/>
          </w:r>
          <w:r>
            <w:rPr>
              <w:rStyle w:val="22"/>
              <w:rFonts w:ascii="仿宋" w:hAnsi="仿宋" w:eastAsia="仿宋" w:cs="仿宋"/>
            </w:rPr>
            <w:t>一、收入支出决算总表</w:t>
          </w:r>
          <w:r>
            <w:tab/>
          </w:r>
          <w:r>
            <w:fldChar w:fldCharType="begin"/>
          </w:r>
          <w:r>
            <w:instrText xml:space="preserve"> PAGEREF _Toc256000059 \h </w:instrText>
          </w:r>
          <w:r>
            <w:fldChar w:fldCharType="separate"/>
          </w:r>
          <w:r>
            <w:t>5</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"_Toc256000060" </w:instrText>
          </w:r>
          <w:r>
            <w:fldChar w:fldCharType="separate"/>
          </w:r>
          <w:r>
            <w:rPr>
              <w:rStyle w:val="22"/>
              <w:rFonts w:ascii="仿宋" w:hAnsi="仿宋" w:eastAsia="仿宋" w:cs="仿宋"/>
            </w:rPr>
            <w:t>二、收入决算表</w:t>
          </w:r>
          <w:r>
            <w:tab/>
          </w:r>
          <w:r>
            <w:fldChar w:fldCharType="begin"/>
          </w:r>
          <w:r>
            <w:instrText xml:space="preserve"> PAGEREF _Toc256000060 \h </w:instrText>
          </w:r>
          <w:r>
            <w:fldChar w:fldCharType="separate"/>
          </w:r>
          <w:r>
            <w:t>7</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"_Toc256000061" </w:instrText>
          </w:r>
          <w:r>
            <w:fldChar w:fldCharType="separate"/>
          </w:r>
          <w:r>
            <w:rPr>
              <w:rStyle w:val="22"/>
              <w:rFonts w:ascii="仿宋" w:hAnsi="仿宋" w:eastAsia="仿宋" w:cs="仿宋"/>
            </w:rPr>
            <w:t>三、支出决算表</w:t>
          </w:r>
          <w:r>
            <w:tab/>
          </w:r>
          <w:r>
            <w:fldChar w:fldCharType="begin"/>
          </w:r>
          <w:r>
            <w:instrText xml:space="preserve"> PAGEREF _Toc256000061 \h </w:instrText>
          </w:r>
          <w:r>
            <w:fldChar w:fldCharType="separate"/>
          </w:r>
          <w:r>
            <w:t>9</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"_Toc256000062" </w:instrText>
          </w:r>
          <w:r>
            <w:fldChar w:fldCharType="separate"/>
          </w:r>
          <w:r>
            <w:rPr>
              <w:rStyle w:val="22"/>
              <w:rFonts w:ascii="仿宋" w:hAnsi="仿宋" w:eastAsia="仿宋" w:cs="仿宋"/>
            </w:rPr>
            <w:t>四、财政拨款收入支出决算总表</w:t>
          </w:r>
          <w:r>
            <w:tab/>
          </w:r>
          <w:r>
            <w:fldChar w:fldCharType="begin"/>
          </w:r>
          <w:r>
            <w:instrText xml:space="preserve"> PAGEREF _Toc256000062 \h </w:instrText>
          </w:r>
          <w:r>
            <w:fldChar w:fldCharType="separate"/>
          </w:r>
          <w:r>
            <w:t>11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"_Toc256000063" </w:instrText>
          </w:r>
          <w:r>
            <w:fldChar w:fldCharType="separate"/>
          </w:r>
          <w:r>
            <w:rPr>
              <w:rStyle w:val="22"/>
              <w:rFonts w:ascii="仿宋" w:hAnsi="仿宋" w:eastAsia="仿宋" w:cs="仿宋"/>
            </w:rPr>
            <w:t>五、一般公共预算财政拨款支出决算表</w:t>
          </w:r>
          <w:r>
            <w:tab/>
          </w:r>
          <w:r>
            <w:fldChar w:fldCharType="begin"/>
          </w:r>
          <w:r>
            <w:instrText xml:space="preserve"> PAGEREF _Toc256000063 \h </w:instrText>
          </w:r>
          <w:r>
            <w:fldChar w:fldCharType="separate"/>
          </w:r>
          <w:r>
            <w:t>14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"_Toc256000064" </w:instrText>
          </w:r>
          <w:r>
            <w:fldChar w:fldCharType="separate"/>
          </w:r>
          <w:r>
            <w:rPr>
              <w:rStyle w:val="22"/>
              <w:rFonts w:ascii="仿宋" w:hAnsi="仿宋" w:eastAsia="仿宋" w:cs="仿宋"/>
            </w:rPr>
            <w:t>六、一般公共预算财政拨款基本支出决算表</w:t>
          </w:r>
          <w:r>
            <w:tab/>
          </w:r>
          <w:r>
            <w:fldChar w:fldCharType="begin"/>
          </w:r>
          <w:r>
            <w:instrText xml:space="preserve"> PAGEREF _Toc256000064 \h </w:instrText>
          </w:r>
          <w:r>
            <w:fldChar w:fldCharType="separate"/>
          </w:r>
          <w:r>
            <w:t>16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"_Toc256000065" </w:instrText>
          </w:r>
          <w:r>
            <w:fldChar w:fldCharType="separate"/>
          </w:r>
          <w:r>
            <w:rPr>
              <w:rStyle w:val="22"/>
              <w:rFonts w:ascii="仿宋" w:hAnsi="仿宋" w:eastAsia="仿宋" w:cs="仿宋"/>
            </w:rPr>
            <w:t>七、一般公共预算财政拨款“三公”经费支出决算表</w:t>
          </w:r>
          <w:r>
            <w:tab/>
          </w:r>
          <w:r>
            <w:fldChar w:fldCharType="begin"/>
          </w:r>
          <w:r>
            <w:instrText xml:space="preserve"> PAGEREF _Toc256000065 \h </w:instrText>
          </w:r>
          <w:r>
            <w:fldChar w:fldCharType="separate"/>
          </w:r>
          <w:r>
            <w:t>19</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"_Toc256000066" </w:instrText>
          </w:r>
          <w:r>
            <w:fldChar w:fldCharType="separate"/>
          </w:r>
          <w:r>
            <w:rPr>
              <w:rStyle w:val="22"/>
              <w:rFonts w:ascii="仿宋" w:hAnsi="仿宋" w:eastAsia="仿宋" w:cs="仿宋"/>
            </w:rPr>
            <w:t>八、政府性基金预算财政拨款收入支出决算表</w:t>
          </w:r>
          <w:r>
            <w:tab/>
          </w:r>
          <w:r>
            <w:fldChar w:fldCharType="begin"/>
          </w:r>
          <w:r>
            <w:instrText xml:space="preserve"> PAGEREF _Toc256000066 \h </w:instrText>
          </w:r>
          <w:r>
            <w:fldChar w:fldCharType="separate"/>
          </w:r>
          <w:r>
            <w:t>20</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"_Toc256000067" </w:instrText>
          </w:r>
          <w:r>
            <w:fldChar w:fldCharType="separate"/>
          </w:r>
          <w:r>
            <w:rPr>
              <w:rStyle w:val="22"/>
              <w:rFonts w:ascii="仿宋" w:hAnsi="仿宋" w:eastAsia="仿宋" w:cs="仿宋"/>
            </w:rPr>
            <w:t>九、国有资本经营预算财政拨款支出决算表</w:t>
          </w:r>
          <w:r>
            <w:tab/>
          </w:r>
          <w:r>
            <w:fldChar w:fldCharType="begin"/>
          </w:r>
          <w:r>
            <w:instrText xml:space="preserve"> PAGEREF _Toc256000067 \h </w:instrText>
          </w:r>
          <w:r>
            <w:fldChar w:fldCharType="separate"/>
          </w:r>
          <w:r>
            <w:t>21</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"_Toc256000068" </w:instrText>
          </w:r>
          <w:r>
            <w:fldChar w:fldCharType="separate"/>
          </w:r>
          <w:r>
            <w:rPr>
              <w:rStyle w:val="22"/>
              <w:rFonts w:ascii="仿宋" w:hAnsi="仿宋" w:eastAsia="仿宋" w:cs="仿宋"/>
            </w:rPr>
            <w:t>第三部分</w:t>
          </w:r>
          <w:r>
            <w:rPr>
              <w:rStyle w:val="22"/>
              <w:rFonts w:ascii="黑体" w:hAnsi="黑体" w:eastAsia="黑体" w:cs="黑体"/>
            </w:rPr>
            <w:t xml:space="preserve"> </w:t>
          </w:r>
          <w:r>
            <w:rPr>
              <w:rStyle w:val="22"/>
              <w:rFonts w:ascii="仿宋" w:hAnsi="仿宋" w:eastAsia="仿宋" w:cs="仿宋"/>
            </w:rPr>
            <w:t>2025年度部门决算情况说明</w:t>
          </w:r>
          <w:r>
            <w:tab/>
          </w:r>
          <w:r>
            <w:fldChar w:fldCharType="begin"/>
          </w:r>
          <w:r>
            <w:instrText xml:space="preserve"> PAGEREF _Toc256000068 \h </w:instrText>
          </w:r>
          <w:r>
            <w:fldChar w:fldCharType="separate"/>
          </w:r>
          <w:r>
            <w:t>22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"_Toc256000069" </w:instrText>
          </w:r>
          <w:r>
            <w:fldChar w:fldCharType="separate"/>
          </w:r>
          <w:r>
            <w:rPr>
              <w:rStyle w:val="22"/>
              <w:rFonts w:ascii="仿宋" w:hAnsi="仿宋" w:eastAsia="仿宋" w:cs="仿宋"/>
            </w:rPr>
            <w:t>一、收入支出决算总体情况说明</w:t>
          </w:r>
          <w:r>
            <w:tab/>
          </w:r>
          <w:r>
            <w:fldChar w:fldCharType="begin"/>
          </w:r>
          <w:r>
            <w:instrText xml:space="preserve"> PAGEREF _Toc256000069 \h </w:instrText>
          </w:r>
          <w:r>
            <w:fldChar w:fldCharType="separate"/>
          </w:r>
          <w:r>
            <w:t>23</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"_Toc256000070" </w:instrText>
          </w:r>
          <w:r>
            <w:fldChar w:fldCharType="separate"/>
          </w:r>
          <w:r>
            <w:rPr>
              <w:rStyle w:val="22"/>
              <w:rFonts w:ascii="仿宋" w:hAnsi="仿宋" w:eastAsia="仿宋" w:cs="仿宋"/>
            </w:rPr>
            <w:t>二、财政拨款收入支出决算总体情况说明</w:t>
          </w:r>
          <w:r>
            <w:tab/>
          </w:r>
          <w:r>
            <w:fldChar w:fldCharType="begin"/>
          </w:r>
          <w:r>
            <w:instrText xml:space="preserve"> PAGEREF _Toc256000070 \h </w:instrText>
          </w:r>
          <w:r>
            <w:fldChar w:fldCharType="separate"/>
          </w:r>
          <w:r>
            <w:t>24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"_Toc256000071" </w:instrText>
          </w:r>
          <w:r>
            <w:fldChar w:fldCharType="separate"/>
          </w:r>
          <w:r>
            <w:rPr>
              <w:rStyle w:val="22"/>
              <w:rFonts w:ascii="仿宋" w:hAnsi="仿宋" w:eastAsia="仿宋" w:cs="仿宋"/>
            </w:rPr>
            <w:t>三、一般公共预算财政拨款支出决算情况说明</w:t>
          </w:r>
          <w:r>
            <w:tab/>
          </w:r>
          <w:r>
            <w:fldChar w:fldCharType="begin"/>
          </w:r>
          <w:r>
            <w:instrText xml:space="preserve"> PAGEREF _Toc256000071 \h </w:instrText>
          </w:r>
          <w:r>
            <w:fldChar w:fldCharType="separate"/>
          </w:r>
          <w:r>
            <w:t>24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"_Toc256000072" </w:instrText>
          </w:r>
          <w:r>
            <w:fldChar w:fldCharType="separate"/>
          </w:r>
          <w:r>
            <w:rPr>
              <w:rStyle w:val="22"/>
              <w:rFonts w:ascii="仿宋" w:hAnsi="仿宋" w:eastAsia="仿宋" w:cs="仿宋"/>
            </w:rPr>
            <w:t>四、政府性基金预算财政拨款支出决算情况说明</w:t>
          </w:r>
          <w:r>
            <w:tab/>
          </w:r>
          <w:r>
            <w:fldChar w:fldCharType="begin"/>
          </w:r>
          <w:r>
            <w:instrText xml:space="preserve"> PAGEREF _Toc256000072 \h </w:instrText>
          </w:r>
          <w:r>
            <w:fldChar w:fldCharType="separate"/>
          </w:r>
          <w:r>
            <w:t>24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"_Toc256000073" </w:instrText>
          </w:r>
          <w:r>
            <w:fldChar w:fldCharType="separate"/>
          </w:r>
          <w:r>
            <w:rPr>
              <w:rStyle w:val="22"/>
              <w:rFonts w:ascii="仿宋" w:hAnsi="仿宋" w:eastAsia="仿宋" w:cs="仿宋"/>
            </w:rPr>
            <w:t>五、国有资本经营预算财政拨款支出决算情况说明</w:t>
          </w:r>
          <w:r>
            <w:tab/>
          </w:r>
          <w:r>
            <w:fldChar w:fldCharType="begin"/>
          </w:r>
          <w:r>
            <w:instrText xml:space="preserve"> PAGEREF _Toc256000073 \h </w:instrText>
          </w:r>
          <w:r>
            <w:fldChar w:fldCharType="separate"/>
          </w:r>
          <w:r>
            <w:t>25</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"_Toc256000074" </w:instrText>
          </w:r>
          <w:r>
            <w:fldChar w:fldCharType="separate"/>
          </w:r>
          <w:r>
            <w:rPr>
              <w:rStyle w:val="22"/>
              <w:rFonts w:ascii="仿宋" w:hAnsi="仿宋" w:eastAsia="仿宋" w:cs="仿宋"/>
            </w:rPr>
            <w:t>六、一般公共预算财政拨款基本支出决算情况说明</w:t>
          </w:r>
          <w:r>
            <w:tab/>
          </w:r>
          <w:r>
            <w:fldChar w:fldCharType="begin"/>
          </w:r>
          <w:r>
            <w:instrText xml:space="preserve"> PAGEREF _Toc256000074 \h </w:instrText>
          </w:r>
          <w:r>
            <w:fldChar w:fldCharType="separate"/>
          </w:r>
          <w:r>
            <w:t>25</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"_Toc256000075" </w:instrText>
          </w:r>
          <w:r>
            <w:fldChar w:fldCharType="separate"/>
          </w:r>
          <w:r>
            <w:rPr>
              <w:rStyle w:val="22"/>
              <w:rFonts w:ascii="仿宋" w:hAnsi="仿宋" w:eastAsia="仿宋" w:cs="仿宋"/>
            </w:rPr>
            <w:t>七、一般公共预算财政拨款“三公”经费支出决算情况说明</w:t>
          </w:r>
          <w:r>
            <w:tab/>
          </w:r>
          <w:r>
            <w:fldChar w:fldCharType="begin"/>
          </w:r>
          <w:r>
            <w:instrText xml:space="preserve"> PAGEREF _Toc256000075 \h </w:instrText>
          </w:r>
          <w:r>
            <w:fldChar w:fldCharType="separate"/>
          </w:r>
          <w:r>
            <w:t>26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"_Toc256000076" </w:instrText>
          </w:r>
          <w:r>
            <w:fldChar w:fldCharType="separate"/>
          </w:r>
          <w:r>
            <w:rPr>
              <w:rStyle w:val="22"/>
              <w:rFonts w:ascii="仿宋" w:hAnsi="仿宋" w:eastAsia="仿宋" w:cs="仿宋"/>
            </w:rPr>
            <w:t>八、预算绩效情况说明</w:t>
          </w:r>
          <w:r>
            <w:tab/>
          </w:r>
          <w:r>
            <w:fldChar w:fldCharType="begin"/>
          </w:r>
          <w:r>
            <w:instrText xml:space="preserve"> PAGEREF _Toc256000076 \h </w:instrText>
          </w:r>
          <w:r>
            <w:fldChar w:fldCharType="separate"/>
          </w:r>
          <w:r>
            <w:t>27</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"_Toc256000077" </w:instrText>
          </w:r>
          <w:r>
            <w:fldChar w:fldCharType="separate"/>
          </w:r>
          <w:r>
            <w:rPr>
              <w:rStyle w:val="22"/>
              <w:rFonts w:ascii="仿宋" w:hAnsi="仿宋" w:eastAsia="仿宋" w:cs="仿宋"/>
            </w:rPr>
            <w:t>九、其他重要事项说明</w:t>
          </w:r>
          <w:r>
            <w:tab/>
          </w:r>
          <w:r>
            <w:fldChar w:fldCharType="begin"/>
          </w:r>
          <w:r>
            <w:instrText xml:space="preserve"> PAGEREF _Toc256000077 \h </w:instrText>
          </w:r>
          <w:r>
            <w:fldChar w:fldCharType="separate"/>
          </w:r>
          <w:r>
            <w:t>27</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"_Toc256000079" </w:instrText>
          </w:r>
          <w:r>
            <w:fldChar w:fldCharType="separate"/>
          </w:r>
          <w:r>
            <w:rPr>
              <w:rStyle w:val="22"/>
              <w:rFonts w:ascii="仿宋" w:hAnsi="仿宋" w:eastAsia="仿宋" w:cs="仿宋"/>
            </w:rPr>
            <w:t>第四部分</w:t>
          </w:r>
          <w:r>
            <w:rPr>
              <w:rStyle w:val="22"/>
              <w:rFonts w:ascii="黑体" w:hAnsi="黑体" w:eastAsia="黑体" w:cs="黑体"/>
            </w:rPr>
            <w:t xml:space="preserve"> </w:t>
          </w:r>
          <w:r>
            <w:rPr>
              <w:rStyle w:val="22"/>
              <w:rFonts w:ascii="仿宋" w:hAnsi="仿宋" w:eastAsia="仿宋" w:cs="仿宋"/>
            </w:rPr>
            <w:t>名词解释</w:t>
          </w:r>
          <w:r>
            <w:tab/>
          </w:r>
          <w:r>
            <w:fldChar w:fldCharType="begin"/>
          </w:r>
          <w:r>
            <w:instrText xml:space="preserve"> PAGEREF _Toc256000079 \h </w:instrText>
          </w:r>
          <w:r>
            <w:fldChar w:fldCharType="separate"/>
          </w:r>
          <w:r>
            <w:t>28</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"_Toc256000080" </w:instrText>
          </w:r>
          <w:r>
            <w:fldChar w:fldCharType="separate"/>
          </w:r>
          <w:r>
            <w:rPr>
              <w:rStyle w:val="22"/>
              <w:rFonts w:ascii="仿宋" w:hAnsi="仿宋" w:eastAsia="仿宋" w:cs="仿宋"/>
            </w:rPr>
            <w:t>第五部分</w:t>
          </w:r>
          <w:r>
            <w:rPr>
              <w:rStyle w:val="22"/>
              <w:rFonts w:ascii="黑体" w:hAnsi="黑体" w:eastAsia="黑体" w:cs="黑体"/>
            </w:rPr>
            <w:t xml:space="preserve"> </w:t>
          </w:r>
          <w:r>
            <w:rPr>
              <w:rStyle w:val="22"/>
              <w:rFonts w:ascii="仿宋" w:hAnsi="仿宋" w:eastAsia="仿宋" w:cs="仿宋"/>
            </w:rPr>
            <w:t>附件</w:t>
          </w:r>
          <w:r>
            <w:tab/>
          </w:r>
          <w:r>
            <w:fldChar w:fldCharType="begin"/>
          </w:r>
          <w:r>
            <w:instrText xml:space="preserve"> PAGEREF _Toc256000080 \h </w:instrText>
          </w:r>
          <w:r>
            <w:fldChar w:fldCharType="separate"/>
          </w:r>
          <w:r>
            <w:t>31</w:t>
          </w:r>
          <w:r>
            <w:fldChar w:fldCharType="end"/>
          </w:r>
          <w:r>
            <w:fldChar w:fldCharType="end"/>
          </w:r>
        </w:p>
        <w:p>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sdtContent>
    </w:sdt>
    <w:p>
      <w:pPr>
        <w:pStyle w:val="28"/>
        <w:widowControl/>
        <w:spacing w:before="100" w:after="100"/>
        <w:ind w:left="100" w:right="100" w:firstLine="0"/>
        <w:jc w:val="left"/>
        <w:rPr>
          <w:rFonts w:ascii="Times New Roman" w:hAnsi="Times New Roman" w:eastAsia="Times New Roman" w:cs="Times New Roman"/>
          <w:kern w:val="0"/>
          <w:sz w:val="24"/>
        </w:rPr>
      </w:pPr>
      <w:bookmarkStart w:id="0" w:name="a000"/>
    </w:p>
    <w:p>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8"/>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8"/>
        <w:widowControl/>
        <w:spacing w:before="100" w:after="100"/>
        <w:ind w:left="100" w:right="100" w:firstLine="0"/>
        <w:jc w:val="left"/>
        <w:rPr>
          <w:rFonts w:ascii="Times New Roman" w:hAnsi="Times New Roman" w:eastAsia="Times New Roman" w:cs="Times New Roman"/>
          <w:kern w:val="0"/>
          <w:sz w:val="24"/>
        </w:rPr>
      </w:pPr>
    </w:p>
    <w:p>
      <w:pPr>
        <w:pStyle w:val="28"/>
        <w:widowControl/>
        <w:spacing w:before="100" w:after="100"/>
        <w:ind w:left="100" w:right="100" w:firstLine="0"/>
        <w:jc w:val="left"/>
        <w:rPr>
          <w:rFonts w:ascii="Times New Roman" w:hAnsi="Times New Roman" w:eastAsia="Times New Roman" w:cs="Times New Roman"/>
          <w:kern w:val="0"/>
          <w:sz w:val="24"/>
        </w:rPr>
      </w:pPr>
    </w:p>
    <w:p>
      <w:pPr>
        <w:pStyle w:val="28"/>
        <w:widowControl/>
        <w:spacing w:before="100" w:after="100"/>
        <w:ind w:left="100" w:right="100" w:firstLine="0"/>
        <w:jc w:val="left"/>
        <w:rPr>
          <w:rFonts w:ascii="Times New Roman" w:hAnsi="Times New Roman" w:eastAsia="Times New Roman" w:cs="Times New Roman"/>
          <w:kern w:val="0"/>
          <w:sz w:val="24"/>
        </w:rPr>
      </w:pPr>
    </w:p>
    <w:p>
      <w:pPr>
        <w:pStyle w:val="28"/>
        <w:widowControl/>
        <w:spacing w:before="10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4"/>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部门概况</w:t>
      </w:r>
      <w:bookmarkEnd w:id="1"/>
    </w:p>
    <w:p>
      <w:pPr>
        <w:pStyle w:val="28"/>
        <w:widowControl/>
        <w:spacing w:before="100" w:after="100"/>
        <w:ind w:left="100" w:right="100" w:firstLine="0"/>
        <w:jc w:val="center"/>
        <w:rPr>
          <w:rFonts w:ascii="Times New Roman" w:hAnsi="Times New Roman" w:eastAsia="Times New Roman" w:cs="Times New Roman"/>
          <w:kern w:val="0"/>
          <w:sz w:val="24"/>
        </w:rPr>
      </w:pPr>
    </w:p>
    <w:p>
      <w:pPr>
        <w:sectPr>
          <w:footerReference r:id="rId5" w:type="default"/>
          <w:pgSz w:w="11906" w:h="16838"/>
          <w:pgMar w:top="1440" w:right="720" w:bottom="1440" w:left="720" w:header="720" w:footer="720" w:gutter="0"/>
          <w:pgNumType w:start="1"/>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5"/>
      <w:r>
        <w:rPr>
          <w:rFonts w:ascii="黑体" w:hAnsi="黑体" w:eastAsia="黑体" w:cs="黑体"/>
          <w:b w:val="0"/>
          <w:bCs w:val="0"/>
          <w:spacing w:val="0"/>
        </w:rPr>
        <w:t>一、部门主要职责</w:t>
      </w:r>
      <w:bookmarkEnd w:id="2"/>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30" w:lineRule="atLeast"/>
        <w:ind w:right="0" w:firstLine="640" w:firstLineChars="200"/>
        <w:jc w:val="left"/>
        <w:rPr>
          <w:rFonts w:hint="eastAsia" w:ascii="仿宋" w:hAnsi="仿宋" w:eastAsia="仿宋" w:cs="仿宋"/>
          <w:kern w:val="0"/>
          <w:sz w:val="24"/>
          <w:szCs w:val="24"/>
          <w:shd w:val="clear" w:color="auto" w:fill="FFFFFF"/>
        </w:rPr>
      </w:pPr>
      <w:bookmarkStart w:id="3" w:name="_Toc256000056"/>
      <w:r>
        <w:rPr>
          <w:rFonts w:hint="eastAsia" w:ascii="仿宋" w:hAnsi="仿宋" w:eastAsia="仿宋" w:cs="仿宋"/>
          <w:i w:val="0"/>
          <w:caps w:val="0"/>
          <w:color w:val="000000"/>
          <w:spacing w:val="0"/>
          <w:kern w:val="0"/>
          <w:sz w:val="32"/>
          <w:szCs w:val="32"/>
          <w:shd w:val="clear" w:color="auto" w:fill="FFFFFF"/>
        </w:rPr>
        <w:t>本部门的主要职责是：</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30" w:lineRule="atLeast"/>
        <w:ind w:left="958" w:leftChars="304" w:right="0" w:hanging="320" w:hangingChars="100"/>
        <w:jc w:val="left"/>
        <w:rPr>
          <w:rFonts w:hint="eastAsia" w:ascii="仿宋" w:hAnsi="仿宋" w:eastAsia="仿宋" w:cs="仿宋"/>
          <w:kern w:val="0"/>
          <w:sz w:val="24"/>
          <w:szCs w:val="24"/>
          <w:shd w:val="clear" w:color="auto" w:fill="FFFFFF"/>
        </w:rPr>
      </w:pPr>
      <w:r>
        <w:rPr>
          <w:rFonts w:hint="eastAsia" w:ascii="仿宋" w:hAnsi="仿宋" w:eastAsia="仿宋" w:cs="仿宋"/>
          <w:i w:val="0"/>
          <w:caps w:val="0"/>
          <w:color w:val="000000"/>
          <w:spacing w:val="0"/>
          <w:kern w:val="0"/>
          <w:sz w:val="32"/>
          <w:szCs w:val="32"/>
          <w:shd w:val="clear" w:color="auto" w:fill="FFFFFF"/>
        </w:rPr>
        <w:t>（一）协助政府贯彻落实《中华人民共和国与计划生育法》和国家相关法律、法规和政策</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30" w:lineRule="atLeast"/>
        <w:ind w:left="958" w:leftChars="304" w:right="0" w:hanging="320" w:hangingChars="100"/>
        <w:jc w:val="left"/>
        <w:rPr>
          <w:rFonts w:hint="eastAsia" w:ascii="仿宋" w:hAnsi="仿宋" w:eastAsia="仿宋" w:cs="仿宋"/>
          <w:kern w:val="0"/>
          <w:sz w:val="24"/>
          <w:szCs w:val="24"/>
          <w:shd w:val="clear" w:color="auto" w:fill="FFFFFF"/>
        </w:rPr>
      </w:pPr>
      <w:r>
        <w:rPr>
          <w:rFonts w:hint="eastAsia" w:ascii="仿宋" w:hAnsi="仿宋" w:eastAsia="仿宋" w:cs="仿宋"/>
          <w:i w:val="0"/>
          <w:caps w:val="0"/>
          <w:color w:val="000000"/>
          <w:spacing w:val="0"/>
          <w:kern w:val="0"/>
          <w:sz w:val="32"/>
          <w:szCs w:val="32"/>
          <w:shd w:val="clear" w:color="auto" w:fill="FFFFFF"/>
        </w:rPr>
        <w:t>（二）开展群众性宣传工作，普及生殖保健、计划生育等科学知识和信息，倡导科学、文明、健康的婚育观念，提高群众实行计划生育的能力和水平。</w:t>
      </w:r>
    </w:p>
    <w:p>
      <w:pPr>
        <w:pStyle w:val="5"/>
        <w:keepNext w:val="0"/>
        <w:keepLines w:val="0"/>
        <w:spacing w:before="100" w:after="100" w:line="560" w:lineRule="atLeast"/>
        <w:ind w:left="638" w:leftChars="304" w:right="100" w:firstLine="0" w:firstLineChars="0"/>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（三）拓展服务领域，推进生育关怀行动，为广大育龄群众和计划生育家庭谋福利。</w:t>
      </w:r>
    </w:p>
    <w:p>
      <w:pPr>
        <w:pStyle w:val="5"/>
        <w:keepNext w:val="0"/>
        <w:keepLines w:val="0"/>
        <w:spacing w:before="100" w:after="100" w:line="560" w:lineRule="atLeast"/>
        <w:ind w:left="638" w:leftChars="304" w:right="100" w:firstLine="0" w:firstLineChars="0"/>
        <w:rPr>
          <w:rFonts w:ascii="Times New Roman" w:hAnsi="Times New Roman" w:eastAsia="Times New Roman" w:cs="Times New Roman"/>
          <w:b/>
          <w:bCs/>
          <w:kern w:val="0"/>
          <w:sz w:val="28"/>
          <w:szCs w:val="28"/>
        </w:rPr>
      </w:pPr>
      <w:r>
        <w:rPr>
          <w:rFonts w:ascii="黑体" w:hAnsi="黑体" w:eastAsia="黑体" w:cs="黑体"/>
          <w:b w:val="0"/>
          <w:bCs w:val="0"/>
          <w:spacing w:val="0"/>
        </w:rPr>
        <w:t>二、部门决算单位基本情况</w:t>
      </w:r>
      <w:bookmarkEnd w:id="3"/>
    </w:p>
    <w:p>
      <w:pPr>
        <w:keepNext w:val="0"/>
        <w:keepLines w:val="0"/>
        <w:widowControl/>
        <w:suppressLineNumbers w:val="0"/>
        <w:spacing w:before="0" w:beforeAutospacing="0" w:after="100" w:afterAutospacing="1" w:line="600" w:lineRule="exact"/>
        <w:ind w:left="0" w:right="0" w:firstLine="640" w:firstLineChars="20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从决算单位构成看，本部门包括</w:t>
      </w:r>
      <w:r>
        <w:rPr>
          <w:rFonts w:hint="eastAsia" w:ascii="仿宋" w:hAnsi="仿宋" w:eastAsia="仿宋" w:cs="仿宋"/>
          <w:i w:val="0"/>
          <w:caps w:val="0"/>
          <w:color w:val="000000"/>
          <w:spacing w:val="0"/>
          <w:kern w:val="0"/>
          <w:sz w:val="32"/>
          <w:szCs w:val="32"/>
          <w:shd w:val="clear" w:color="auto" w:fill="FFFFFF"/>
          <w:lang w:val="en-US" w:eastAsia="zh-CN"/>
        </w:rPr>
        <w:t>3</w:t>
      </w:r>
      <w:r>
        <w:rPr>
          <w:rFonts w:hint="eastAsia" w:ascii="仿宋" w:hAnsi="仿宋" w:eastAsia="仿宋" w:cs="仿宋"/>
          <w:i w:val="0"/>
          <w:caps w:val="0"/>
          <w:color w:val="000000"/>
          <w:spacing w:val="0"/>
          <w:kern w:val="0"/>
          <w:sz w:val="32"/>
          <w:szCs w:val="32"/>
          <w:shd w:val="clear" w:color="auto" w:fill="FFFFFF"/>
        </w:rPr>
        <w:t>个机关行政处（科）室及0个下属单位，其中：列入202</w:t>
      </w:r>
      <w:r>
        <w:rPr>
          <w:rFonts w:hint="eastAsia" w:ascii="仿宋" w:hAnsi="仿宋" w:eastAsia="仿宋" w:cs="仿宋"/>
          <w:i w:val="0"/>
          <w:caps w:val="0"/>
          <w:color w:val="000000"/>
          <w:spacing w:val="0"/>
          <w:kern w:val="0"/>
          <w:sz w:val="32"/>
          <w:szCs w:val="32"/>
          <w:shd w:val="clear" w:color="auto" w:fill="FFFFFF"/>
          <w:lang w:val="en-US" w:eastAsia="zh-CN"/>
        </w:rPr>
        <w:t>5</w:t>
      </w:r>
      <w:r>
        <w:rPr>
          <w:rFonts w:hint="eastAsia" w:ascii="仿宋" w:hAnsi="仿宋" w:eastAsia="仿宋" w:cs="仿宋"/>
          <w:i w:val="0"/>
          <w:caps w:val="0"/>
          <w:color w:val="000000"/>
          <w:spacing w:val="0"/>
          <w:kern w:val="0"/>
          <w:sz w:val="32"/>
          <w:szCs w:val="32"/>
          <w:shd w:val="clear" w:color="auto" w:fill="FFFFFF"/>
        </w:rPr>
        <w:t>年部门决算编制范围的单位详细情况见下表:</w:t>
      </w:r>
    </w:p>
    <w:tbl>
      <w:tblPr>
        <w:tblStyle w:val="19"/>
        <w:tblW w:w="8522" w:type="dxa"/>
        <w:jc w:val="center"/>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autofit"/>
        <w:tblCellMar>
          <w:top w:w="0" w:type="dxa"/>
          <w:left w:w="0" w:type="dxa"/>
          <w:bottom w:w="0" w:type="dxa"/>
          <w:right w:w="0" w:type="dxa"/>
        </w:tblCellMar>
      </w:tblPr>
      <w:tblGrid>
        <w:gridCol w:w="2130"/>
        <w:gridCol w:w="2130"/>
        <w:gridCol w:w="2131"/>
        <w:gridCol w:w="2131"/>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4" w:hRule="atLeast"/>
          <w:jc w:val="center"/>
        </w:trPr>
        <w:tc>
          <w:tcPr>
            <w:tcW w:w="213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wordWrap w:val="0"/>
              <w:spacing w:before="0" w:beforeAutospacing="0" w:after="0" w:afterAutospacing="0" w:line="600" w:lineRule="atLeast"/>
              <w:ind w:right="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单位名称</w:t>
            </w:r>
          </w:p>
        </w:tc>
        <w:tc>
          <w:tcPr>
            <w:tcW w:w="2130"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wordWrap w:val="0"/>
              <w:spacing w:before="0" w:beforeAutospacing="0" w:after="0" w:afterAutospacing="0" w:line="600" w:lineRule="atLeast"/>
              <w:ind w:right="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经费性质</w:t>
            </w:r>
          </w:p>
        </w:tc>
        <w:tc>
          <w:tcPr>
            <w:tcW w:w="2131"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wordWrap w:val="0"/>
              <w:spacing w:before="0" w:beforeAutospacing="0" w:after="0" w:afterAutospacing="0" w:line="600" w:lineRule="atLeast"/>
              <w:ind w:right="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人员编制数</w:t>
            </w:r>
          </w:p>
        </w:tc>
        <w:tc>
          <w:tcPr>
            <w:tcW w:w="2131" w:type="dxa"/>
            <w:tcBorders>
              <w:top w:val="single" w:color="auto" w:sz="8" w:space="0"/>
              <w:left w:val="nil"/>
              <w:bottom w:val="single" w:color="auto" w:sz="8" w:space="0"/>
              <w:right w:val="single" w:color="auto" w:sz="8" w:space="0"/>
            </w:tcBorders>
            <w:noWrap w:val="0"/>
            <w:tcMar>
              <w:left w:w="108" w:type="dxa"/>
              <w:right w:w="108" w:type="dxa"/>
            </w:tcMar>
            <w:vAlign w:val="center"/>
          </w:tcPr>
          <w:p>
            <w:pPr>
              <w:keepNext w:val="0"/>
              <w:keepLines w:val="0"/>
              <w:widowControl/>
              <w:suppressLineNumbers w:val="0"/>
              <w:wordWrap w:val="0"/>
              <w:spacing w:before="0" w:beforeAutospacing="0" w:after="0" w:afterAutospacing="0" w:line="600" w:lineRule="atLeast"/>
              <w:ind w:right="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在职人数</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jc w:val="center"/>
        </w:trPr>
        <w:tc>
          <w:tcPr>
            <w:tcW w:w="2130" w:type="dxa"/>
            <w:tcBorders>
              <w:top w:val="nil"/>
              <w:left w:val="single" w:color="auto" w:sz="8" w:space="0"/>
              <w:bottom w:val="single" w:color="auto" w:sz="8" w:space="0"/>
              <w:right w:val="single" w:color="auto" w:sz="8" w:space="0"/>
            </w:tcBorders>
            <w:noWrap w:val="0"/>
            <w:tcMar>
              <w:left w:w="108" w:type="dxa"/>
              <w:right w:w="108" w:type="dxa"/>
            </w:tcMar>
            <w:vAlign w:val="top"/>
          </w:tcPr>
          <w:p>
            <w:pPr>
              <w:keepNext w:val="0"/>
              <w:keepLines w:val="0"/>
              <w:widowControl/>
              <w:suppressLineNumbers w:val="0"/>
              <w:wordWrap w:val="0"/>
              <w:spacing w:before="0" w:beforeAutospacing="0" w:after="0" w:afterAutospacing="0" w:line="600" w:lineRule="atLeast"/>
              <w:ind w:right="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福州市晋安区计划生育协会</w:t>
            </w:r>
          </w:p>
        </w:tc>
        <w:tc>
          <w:tcPr>
            <w:tcW w:w="2130" w:type="dxa"/>
            <w:tcBorders>
              <w:top w:val="nil"/>
              <w:left w:val="nil"/>
              <w:bottom w:val="single" w:color="auto" w:sz="8" w:space="0"/>
              <w:right w:val="single" w:color="auto" w:sz="8" w:space="0"/>
            </w:tcBorders>
            <w:noWrap w:val="0"/>
            <w:tcMar>
              <w:left w:w="108" w:type="dxa"/>
              <w:right w:w="108" w:type="dxa"/>
            </w:tcMar>
            <w:vAlign w:val="top"/>
          </w:tcPr>
          <w:p>
            <w:pPr>
              <w:keepNext w:val="0"/>
              <w:keepLines w:val="0"/>
              <w:widowControl/>
              <w:suppressLineNumbers w:val="0"/>
              <w:wordWrap w:val="0"/>
              <w:spacing w:before="0" w:beforeAutospacing="0" w:after="0" w:afterAutospacing="0" w:line="600" w:lineRule="atLeast"/>
              <w:ind w:right="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行政单位</w:t>
            </w:r>
          </w:p>
        </w:tc>
        <w:tc>
          <w:tcPr>
            <w:tcW w:w="2131" w:type="dxa"/>
            <w:tcBorders>
              <w:top w:val="nil"/>
              <w:left w:val="nil"/>
              <w:bottom w:val="single" w:color="auto" w:sz="8" w:space="0"/>
              <w:right w:val="single" w:color="auto" w:sz="8" w:space="0"/>
            </w:tcBorders>
            <w:noWrap w:val="0"/>
            <w:tcMar>
              <w:left w:w="108" w:type="dxa"/>
              <w:right w:w="108" w:type="dxa"/>
            </w:tcMar>
            <w:vAlign w:val="top"/>
          </w:tcPr>
          <w:p>
            <w:pPr>
              <w:keepNext w:val="0"/>
              <w:keepLines w:val="0"/>
              <w:widowControl/>
              <w:suppressLineNumbers w:val="0"/>
              <w:wordWrap w:val="0"/>
              <w:spacing w:before="0" w:beforeAutospacing="0" w:after="0" w:afterAutospacing="0" w:line="600" w:lineRule="atLeast"/>
              <w:ind w:right="0"/>
              <w:jc w:val="left"/>
              <w:rPr>
                <w:rFonts w:hint="eastAsia" w:ascii="仿宋" w:hAnsi="仿宋" w:eastAsia="仿宋" w:cs="仿宋"/>
                <w:i w:val="0"/>
                <w:caps w:val="0"/>
                <w:color w:val="000000"/>
                <w:spacing w:val="0"/>
                <w:kern w:val="0"/>
                <w:sz w:val="32"/>
                <w:szCs w:val="32"/>
                <w:shd w:val="clear" w:color="auto" w:fill="FFFFFF"/>
              </w:rPr>
            </w:pPr>
            <w:r>
              <w:rPr>
                <w:rFonts w:hint="eastAsia" w:ascii="仿宋" w:hAnsi="仿宋" w:eastAsia="仿宋" w:cs="仿宋"/>
                <w:i w:val="0"/>
                <w:caps w:val="0"/>
                <w:color w:val="000000"/>
                <w:spacing w:val="0"/>
                <w:kern w:val="0"/>
                <w:sz w:val="32"/>
                <w:szCs w:val="32"/>
                <w:shd w:val="clear" w:color="auto" w:fill="FFFFFF"/>
              </w:rPr>
              <w:t>5</w:t>
            </w:r>
          </w:p>
        </w:tc>
        <w:tc>
          <w:tcPr>
            <w:tcW w:w="2131" w:type="dxa"/>
            <w:tcBorders>
              <w:top w:val="nil"/>
              <w:left w:val="nil"/>
              <w:bottom w:val="single" w:color="auto" w:sz="8" w:space="0"/>
              <w:right w:val="single" w:color="auto" w:sz="8" w:space="0"/>
            </w:tcBorders>
            <w:noWrap w:val="0"/>
            <w:tcMar>
              <w:left w:w="108" w:type="dxa"/>
              <w:right w:w="108" w:type="dxa"/>
            </w:tcMar>
            <w:vAlign w:val="top"/>
          </w:tcPr>
          <w:p>
            <w:pPr>
              <w:keepNext w:val="0"/>
              <w:keepLines w:val="0"/>
              <w:widowControl/>
              <w:suppressLineNumbers w:val="0"/>
              <w:wordWrap w:val="0"/>
              <w:spacing w:before="0" w:beforeAutospacing="0" w:after="0" w:afterAutospacing="0" w:line="600" w:lineRule="atLeast"/>
              <w:ind w:right="0"/>
              <w:jc w:val="left"/>
              <w:rPr>
                <w:rFonts w:hint="default" w:ascii="仿宋" w:hAnsi="仿宋" w:eastAsia="仿宋" w:cs="仿宋"/>
                <w:i w:val="0"/>
                <w:caps w:val="0"/>
                <w:color w:val="000000"/>
                <w:spacing w:val="0"/>
                <w:kern w:val="0"/>
                <w:sz w:val="32"/>
                <w:szCs w:val="32"/>
                <w:shd w:val="clear" w:color="auto" w:fill="FFFFFF"/>
                <w:lang w:val="en-US" w:eastAsia="zh-CN"/>
              </w:rPr>
            </w:pPr>
            <w:r>
              <w:rPr>
                <w:rFonts w:hint="eastAsia" w:ascii="仿宋" w:hAnsi="仿宋" w:eastAsia="仿宋" w:cs="仿宋"/>
                <w:i w:val="0"/>
                <w:caps w:val="0"/>
                <w:color w:val="000000"/>
                <w:spacing w:val="0"/>
                <w:kern w:val="0"/>
                <w:sz w:val="32"/>
                <w:szCs w:val="32"/>
                <w:shd w:val="clear" w:color="auto" w:fill="FFFFFF"/>
                <w:lang w:val="en-US" w:eastAsia="zh-CN"/>
              </w:rPr>
              <w:t>5</w:t>
            </w:r>
          </w:p>
        </w:tc>
      </w:tr>
    </w:tbl>
    <w:p>
      <w:pPr>
        <w:keepNext w:val="0"/>
        <w:keepLines w:val="0"/>
        <w:widowControl/>
        <w:suppressLineNumbers w:val="0"/>
        <w:spacing w:before="0" w:beforeAutospacing="0" w:after="100" w:afterAutospacing="1" w:line="600" w:lineRule="exact"/>
        <w:ind w:left="0" w:right="0" w:firstLine="640" w:firstLineChars="200"/>
        <w:jc w:val="left"/>
        <w:rPr>
          <w:rFonts w:hint="eastAsia" w:ascii="黑体" w:hAnsi="宋体" w:eastAsia="黑体" w:cs="黑体"/>
          <w:kern w:val="0"/>
          <w:sz w:val="32"/>
          <w:szCs w:val="32"/>
          <w:shd w:val="clear" w:color="auto" w:fill="FFFFFF"/>
        </w:rPr>
      </w:pPr>
    </w:p>
    <w:p>
      <w:pPr>
        <w:pStyle w:val="2"/>
        <w:bidi w:val="0"/>
        <w:rPr>
          <w:rFonts w:hint="eastAsia"/>
        </w:rPr>
      </w:pPr>
      <w:r>
        <w:rPr>
          <w:rFonts w:hint="eastAsia"/>
        </w:rPr>
        <w:t>三、部门主要工作总结</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30" w:lineRule="atLeast"/>
        <w:ind w:left="0" w:right="0" w:firstLine="640" w:firstLineChars="200"/>
        <w:jc w:val="left"/>
        <w:rPr>
          <w:rFonts w:hint="eastAsia" w:ascii="仿宋" w:hAnsi="仿宋" w:eastAsia="仿宋" w:cs="仿宋"/>
          <w:kern w:val="0"/>
          <w:sz w:val="24"/>
          <w:szCs w:val="24"/>
          <w:shd w:val="clear" w:color="auto" w:fill="FFFFFF"/>
        </w:rPr>
      </w:pPr>
      <w:r>
        <w:rPr>
          <w:rFonts w:hint="eastAsia" w:ascii="仿宋" w:hAnsi="仿宋" w:eastAsia="仿宋" w:cs="仿宋"/>
          <w:kern w:val="0"/>
          <w:sz w:val="32"/>
          <w:szCs w:val="32"/>
          <w:shd w:val="clear" w:color="auto" w:fill="FFFFFF"/>
        </w:rPr>
        <w:t>202</w:t>
      </w:r>
      <w:r>
        <w:rPr>
          <w:rFonts w:hint="eastAsia" w:ascii="仿宋" w:hAnsi="仿宋" w:eastAsia="仿宋" w:cs="仿宋"/>
          <w:kern w:val="0"/>
          <w:sz w:val="32"/>
          <w:szCs w:val="32"/>
          <w:shd w:val="clear" w:color="auto" w:fill="FFFFFF"/>
          <w:lang w:val="en-US" w:eastAsia="zh-CN"/>
        </w:rPr>
        <w:t>5</w:t>
      </w:r>
      <w:r>
        <w:rPr>
          <w:rFonts w:hint="eastAsia" w:ascii="仿宋" w:hAnsi="仿宋" w:eastAsia="仿宋" w:cs="仿宋"/>
          <w:kern w:val="0"/>
          <w:sz w:val="32"/>
          <w:szCs w:val="32"/>
          <w:shd w:val="clear" w:color="auto" w:fill="FFFFFF"/>
        </w:rPr>
        <w:t>年</w:t>
      </w:r>
      <w:r>
        <w:rPr>
          <w:rFonts w:hint="eastAsia" w:ascii="仿宋" w:hAnsi="仿宋" w:eastAsia="仿宋" w:cs="仿宋"/>
          <w:i w:val="0"/>
          <w:caps w:val="0"/>
          <w:color w:val="000000"/>
          <w:spacing w:val="0"/>
          <w:kern w:val="0"/>
          <w:sz w:val="32"/>
          <w:szCs w:val="32"/>
          <w:shd w:val="clear" w:color="auto" w:fill="FFFFFF"/>
        </w:rPr>
        <w:t>我单位主要任务是：推进人口计划生育基层群众自治，教育、引导广大群众自觉实行计划生育，反映群众在生殖健康、计划生育等方面的诉求，依法维护群众的合法权益。在生殖健康、人口和计划生育方面开展国际交流与合作，开展群众性宣传工作，普及生殖健康、在相关国际事务中积极发挥作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330" w:lineRule="atLeast"/>
        <w:ind w:left="0" w:right="0" w:firstLine="640" w:firstLineChars="200"/>
        <w:jc w:val="left"/>
        <w:rPr>
          <w:rFonts w:hint="eastAsia" w:ascii="仿宋" w:hAnsi="仿宋" w:eastAsia="仿宋" w:cs="仿宋"/>
          <w:kern w:val="0"/>
          <w:sz w:val="24"/>
          <w:szCs w:val="24"/>
          <w:shd w:val="clear" w:color="auto" w:fill="FFFFFF"/>
        </w:rPr>
      </w:pPr>
      <w:r>
        <w:rPr>
          <w:rFonts w:hint="eastAsia" w:ascii="仿宋" w:hAnsi="仿宋" w:eastAsia="仿宋" w:cs="仿宋"/>
          <w:i w:val="0"/>
          <w:caps w:val="0"/>
          <w:color w:val="000000"/>
          <w:spacing w:val="0"/>
          <w:kern w:val="0"/>
          <w:sz w:val="32"/>
          <w:szCs w:val="32"/>
          <w:shd w:val="clear" w:color="auto" w:fill="FFFFFF"/>
        </w:rPr>
        <w:t>拓展服务领域，推进生育关怀行动方面做了大量工作，特别在指导计划生育基层群众自治组织的建立方面做了许多具体工作，取得了很好的效果。围绕上述任务，重点完成了一下工作：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600" w:lineRule="atLeast"/>
        <w:ind w:left="0" w:right="0"/>
        <w:jc w:val="left"/>
        <w:rPr>
          <w:rFonts w:hint="eastAsia" w:ascii="仿宋" w:hAnsi="仿宋" w:eastAsia="仿宋" w:cs="仿宋"/>
          <w:kern w:val="0"/>
          <w:sz w:val="24"/>
          <w:szCs w:val="24"/>
          <w:shd w:val="clear" w:color="auto" w:fill="FFFFFF"/>
        </w:rPr>
      </w:pPr>
      <w:r>
        <w:rPr>
          <w:rFonts w:hint="eastAsia" w:ascii="仿宋" w:hAnsi="仿宋" w:eastAsia="仿宋" w:cs="仿宋"/>
          <w:i w:val="0"/>
          <w:caps w:val="0"/>
          <w:color w:val="000000"/>
          <w:spacing w:val="0"/>
          <w:kern w:val="0"/>
          <w:sz w:val="32"/>
          <w:szCs w:val="32"/>
          <w:shd w:val="clear" w:color="auto" w:fill="FFFFFF"/>
        </w:rPr>
        <w:t>（一）做好幸福工程、安居工程等申请对象的审核工作，进一步做好当年失独家庭的计生保险工作。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600" w:lineRule="atLeast"/>
        <w:ind w:left="0" w:right="0"/>
        <w:jc w:val="left"/>
        <w:rPr>
          <w:rFonts w:hint="eastAsia" w:ascii="仿宋" w:hAnsi="仿宋" w:eastAsia="仿宋" w:cs="仿宋"/>
          <w:kern w:val="0"/>
          <w:sz w:val="24"/>
          <w:szCs w:val="24"/>
          <w:shd w:val="clear" w:color="auto" w:fill="FFFFFF"/>
        </w:rPr>
      </w:pPr>
      <w:r>
        <w:rPr>
          <w:rFonts w:hint="eastAsia" w:ascii="仿宋" w:hAnsi="仿宋" w:eastAsia="仿宋" w:cs="仿宋"/>
          <w:i w:val="0"/>
          <w:caps w:val="0"/>
          <w:color w:val="000000"/>
          <w:spacing w:val="0"/>
          <w:kern w:val="0"/>
          <w:sz w:val="32"/>
          <w:szCs w:val="32"/>
          <w:shd w:val="clear" w:color="auto" w:fill="FFFFFF"/>
        </w:rPr>
        <w:t>（二）组织开展生殖健康咨询、优生优育指导、计划生育保险、计划生育家庭帮扶和流动人口服务等，提高群众健康素养和家庭发展能力。</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left"/>
        <w:rPr>
          <w:rFonts w:hint="eastAsia" w:ascii="黑体" w:hAnsi="宋体" w:eastAsia="黑体" w:cs="黑体"/>
          <w:kern w:val="0"/>
          <w:sz w:val="36"/>
          <w:szCs w:val="36"/>
        </w:rPr>
      </w:pPr>
      <w:r>
        <w:rPr>
          <w:rFonts w:hint="eastAsia" w:ascii="仿宋" w:hAnsi="仿宋" w:eastAsia="仿宋" w:cs="仿宋"/>
          <w:i w:val="0"/>
          <w:caps w:val="0"/>
          <w:color w:val="000000"/>
          <w:spacing w:val="0"/>
          <w:kern w:val="0"/>
          <w:sz w:val="32"/>
          <w:szCs w:val="32"/>
          <w:shd w:val="clear" w:color="auto" w:fill="FFFFFF"/>
        </w:rPr>
        <w:t>（三）做好计划生育困难家庭和特殊家庭的生活、生产、生育扶助和精神慰藉等服务。</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sectPr>
          <w:footerReference r:id="rId6"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4" w:name="_Toc256000058"/>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2025年度部门决算表</w:t>
      </w:r>
      <w:bookmarkEnd w:id="4"/>
    </w:p>
    <w:p>
      <w:pPr>
        <w:pStyle w:val="29"/>
        <w:widowControl/>
        <w:spacing w:before="100" w:after="100"/>
        <w:ind w:left="100" w:right="100" w:firstLine="0"/>
        <w:jc w:val="center"/>
        <w:rPr>
          <w:rFonts w:ascii="Times New Roman" w:hAnsi="Times New Roman" w:eastAsia="Times New Roman" w:cs="Times New Roman"/>
          <w:kern w:val="0"/>
          <w:sz w:val="24"/>
        </w:rPr>
      </w:pPr>
    </w:p>
    <w:p>
      <w:pPr>
        <w:sectPr>
          <w:footerReference r:id="rId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5" w:name="_Toc256000059"/>
      <w:r>
        <w:rPr>
          <w:rFonts w:ascii="黑体" w:hAnsi="黑体" w:eastAsia="黑体" w:cs="黑体"/>
          <w:b w:val="0"/>
          <w:bCs w:val="0"/>
          <w:spacing w:val="0"/>
        </w:rPr>
        <w:t>一、收入支出决算总表</w:t>
      </w:r>
      <w:bookmarkEnd w:id="5"/>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3789"/>
        <w:gridCol w:w="3790"/>
        <w:gridCol w:w="3790"/>
        <w:gridCol w:w="3790"/>
      </w:tblGrid>
      <w:tr>
        <w:trPr>
          <w:cantSplit/>
          <w:tblHeader/>
        </w:trPr>
        <w:tc>
          <w:tcPr>
            <w:tcW w:w="16380" w:type="dxa"/>
            <w:gridSpan w:val="4"/>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eastAsia="宋体" w:cs="宋体"/>
                <w:b w:val="0"/>
                <w:bCs w:val="0"/>
                <w:i w:val="0"/>
                <w:iCs w:val="0"/>
                <w:smallCaps w:val="0"/>
                <w:color w:val="000000"/>
                <w:kern w:val="0"/>
                <w:sz w:val="21"/>
                <w:szCs w:val="26"/>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w:t>
            </w: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0.15</w:t>
            </w: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21.02</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215.05</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17.23</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注：1.本表反映部门本年度的总收支和年末结转结余情况。</w:t>
            </w:r>
          </w:p>
        </w:tc>
      </w:tr>
      <w:tr>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pPr>
        <w:sectPr>
          <w:footerReference r:id="rId8"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24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60"/>
      <w:r>
        <w:rPr>
          <w:rFonts w:ascii="黑体" w:hAnsi="黑体" w:eastAsia="黑体" w:cs="黑体"/>
          <w:b w:val="0"/>
          <w:bCs w:val="0"/>
          <w:spacing w:val="0"/>
        </w:rPr>
        <w:t>二、收入决算表</w:t>
      </w:r>
      <w:bookmarkEnd w:id="6"/>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19"/>
        <w:tblW w:w="4881" w:type="pct"/>
        <w:tblInd w:w="20" w:type="dxa"/>
        <w:tblLayout w:type="fixed"/>
        <w:tblCellMar>
          <w:top w:w="0" w:type="dxa"/>
          <w:left w:w="108" w:type="dxa"/>
          <w:bottom w:w="0" w:type="dxa"/>
          <w:right w:w="108" w:type="dxa"/>
        </w:tblCellMar>
      </w:tblPr>
      <w:tblGrid>
        <w:gridCol w:w="578"/>
        <w:gridCol w:w="578"/>
        <w:gridCol w:w="578"/>
        <w:gridCol w:w="2241"/>
        <w:gridCol w:w="1114"/>
        <w:gridCol w:w="1678"/>
        <w:gridCol w:w="1678"/>
        <w:gridCol w:w="1678"/>
        <w:gridCol w:w="1678"/>
        <w:gridCol w:w="1678"/>
        <w:gridCol w:w="1318"/>
      </w:tblGrid>
      <w:tr>
        <w:tblPrEx>
          <w:tblCellMar>
            <w:top w:w="0" w:type="dxa"/>
            <w:left w:w="108" w:type="dxa"/>
            <w:bottom w:w="0" w:type="dxa"/>
            <w:right w:w="108" w:type="dxa"/>
          </w:tblCellMar>
        </w:tblPrEx>
        <w:trPr>
          <w:cantSplit/>
          <w:tblHeader/>
        </w:trPr>
        <w:tc>
          <w:tcPr>
            <w:tcW w:w="14800" w:type="dxa"/>
            <w:gridSpan w:val="11"/>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tblPrEx>
          <w:tblCellMar>
            <w:top w:w="0" w:type="dxa"/>
            <w:left w:w="108" w:type="dxa"/>
            <w:bottom w:w="0" w:type="dxa"/>
            <w:right w:w="108" w:type="dxa"/>
          </w:tblCellMar>
        </w:tblPrEx>
        <w:trPr>
          <w:cantSplit/>
          <w:tblHeader/>
        </w:trPr>
        <w:tc>
          <w:tcPr>
            <w:tcW w:w="1157"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242"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114"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319"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tblPrEx>
          <w:tblCellMar>
            <w:top w:w="0" w:type="dxa"/>
            <w:left w:w="108" w:type="dxa"/>
            <w:bottom w:w="0" w:type="dxa"/>
            <w:right w:w="108" w:type="dxa"/>
          </w:tblCellMar>
        </w:tblPrEx>
        <w:trPr>
          <w:cantSplit/>
          <w:tblHeader/>
        </w:trPr>
        <w:tc>
          <w:tcPr>
            <w:tcW w:w="8447" w:type="dxa"/>
            <w:gridSpan w:val="7"/>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319"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3977"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114"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1678"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1678"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1678"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1678"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1678"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1319"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tblPrEx>
          <w:tblCellMar>
            <w:top w:w="0" w:type="dxa"/>
            <w:left w:w="108" w:type="dxa"/>
            <w:bottom w:w="0" w:type="dxa"/>
            <w:right w:w="108" w:type="dxa"/>
          </w:tblCellMar>
        </w:tblPrEx>
        <w:trPr>
          <w:cantSplit/>
          <w:tblHeader/>
        </w:trPr>
        <w:tc>
          <w:tcPr>
            <w:tcW w:w="173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242"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114"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319"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735"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24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11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31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7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201</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Times New Roman" w:hAnsi="Times New Roman" w:eastAsia="宋体" w:cs="Times New Roman"/>
                <w:b w:val="0"/>
                <w:bCs w:val="0"/>
                <w:i w:val="0"/>
                <w:iCs w:val="0"/>
                <w:smallCaps w:val="0"/>
                <w:color w:val="000000"/>
                <w:kern w:val="0"/>
                <w:sz w:val="26"/>
                <w:szCs w:val="26"/>
                <w:lang w:val="en-US" w:eastAsia="zh-CN"/>
              </w:rPr>
            </w:pPr>
            <w:r>
              <w:rPr>
                <w:rFonts w:hint="eastAsia" w:ascii="宋体" w:hAnsi="宋体" w:cs="宋体"/>
                <w:b w:val="0"/>
                <w:bCs w:val="0"/>
                <w:i w:val="0"/>
                <w:iCs w:val="0"/>
                <w:smallCaps w:val="0"/>
                <w:color w:val="000000"/>
                <w:kern w:val="0"/>
                <w:sz w:val="18"/>
                <w:szCs w:val="22"/>
                <w:lang w:val="en-US" w:eastAsia="zh-CN"/>
              </w:rPr>
              <w:t>一般公共服务支出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0.15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20132</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组织事务</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2013299</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其他组织事务支出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208</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社会保障和就业支出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21.02</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21.02</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20805</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行政事业单位养老支出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21.02</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21.02</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2080501</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行政单位离退休</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11.98</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11.98</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both"/>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2080505</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机关事业单位基本养老保险缴费支出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6.03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6.03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2080506</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机关事业单位职业年金缴费支出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3.01</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3.01</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卫生健康支出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215.05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215.05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21007</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计划生育事务</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215.05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215.05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2100716</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计划生育机构</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209.4</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209.4</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2100717</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计划生育服务</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74.03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74.03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2100799</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其他计划生育事务支出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89.01</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89.01</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21011</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行政事业单位医疗</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5.65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5.65</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2101101</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行政单位医疗</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3.39</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3.39</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2101103</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公务员医疗补助</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2.26</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2.26</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221</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住房保障支出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17.23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17.23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22102</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住房改革支出</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17.23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17.23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2210201</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住房公积金</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9.13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9.13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2210202</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提租补贴</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1.66</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1.66</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2210203</w:t>
            </w:r>
          </w:p>
        </w:tc>
        <w:tc>
          <w:tcPr>
            <w:tcW w:w="2242"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购房补贴</w:t>
            </w:r>
          </w:p>
        </w:tc>
        <w:tc>
          <w:tcPr>
            <w:tcW w:w="111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6.43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6.43</w:t>
            </w: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678"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31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4800" w:type="dxa"/>
            <w:gridSpan w:val="11"/>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注：本表反映部门本年度取得的各项收入情况。</w:t>
            </w:r>
          </w:p>
        </w:tc>
      </w:tr>
      <w:tr>
        <w:tblPrEx>
          <w:tblCellMar>
            <w:top w:w="0" w:type="dxa"/>
            <w:left w:w="108" w:type="dxa"/>
            <w:bottom w:w="0" w:type="dxa"/>
            <w:right w:w="108" w:type="dxa"/>
          </w:tblCellMar>
        </w:tblPrEx>
        <w:trPr>
          <w:cantSplit/>
        </w:trPr>
        <w:tc>
          <w:tcPr>
            <w:tcW w:w="14800" w:type="dxa"/>
            <w:gridSpan w:val="11"/>
            <w:noWrap w:val="0"/>
            <w:tcMar>
              <w:top w:w="15" w:type="dxa"/>
              <w:left w:w="108" w:type="dxa"/>
              <w:bottom w:w="15" w:type="dxa"/>
              <w:right w:w="108" w:type="dxa"/>
            </w:tcMar>
            <w:vAlign w:val="center"/>
          </w:tcPr>
          <w:p>
            <w:pPr>
              <w:widowControl/>
              <w:spacing w:line="375" w:lineRule="atLeast"/>
              <w:jc w:val="left"/>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4800" w:type="dxa"/>
            <w:gridSpan w:val="11"/>
            <w:noWrap w:val="0"/>
            <w:tcMar>
              <w:top w:w="15" w:type="dxa"/>
              <w:left w:w="108" w:type="dxa"/>
              <w:bottom w:w="15" w:type="dxa"/>
              <w:right w:w="108" w:type="dxa"/>
            </w:tcMar>
            <w:vAlign w:val="center"/>
          </w:tcPr>
          <w:p>
            <w:pPr>
              <w:widowControl/>
              <w:spacing w:line="375" w:lineRule="atLeast"/>
              <w:jc w:val="left"/>
              <w:rPr>
                <w:rFonts w:ascii="宋体" w:hAnsi="宋体" w:eastAsia="宋体" w:cs="宋体"/>
                <w:b w:val="0"/>
                <w:bCs w:val="0"/>
                <w:i w:val="0"/>
                <w:iCs w:val="0"/>
                <w:smallCaps w:val="0"/>
                <w:color w:val="000000"/>
                <w:kern w:val="0"/>
                <w:sz w:val="21"/>
                <w:szCs w:val="26"/>
              </w:rPr>
            </w:pPr>
          </w:p>
        </w:tc>
      </w:tr>
    </w:tbl>
    <w:p>
      <w:pPr>
        <w:sectPr>
          <w:footerReference r:id="rId9"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61"/>
      <w:r>
        <w:rPr>
          <w:rFonts w:ascii="黑体" w:hAnsi="黑体" w:eastAsia="黑体" w:cs="黑体"/>
          <w:b w:val="0"/>
          <w:bCs w:val="0"/>
          <w:spacing w:val="0"/>
        </w:rPr>
        <w:t>三、支出决算表</w:t>
      </w:r>
      <w:bookmarkEnd w:id="7"/>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CellMar>
            <w:top w:w="0" w:type="dxa"/>
            <w:left w:w="108" w:type="dxa"/>
            <w:bottom w:w="0" w:type="dxa"/>
            <w:right w:w="108" w:type="dxa"/>
          </w:tblCellMar>
        </w:tblPrEx>
        <w:trPr>
          <w:cantSplit/>
          <w:tblHeader/>
        </w:trPr>
        <w:tc>
          <w:tcPr>
            <w:tcW w:w="15159" w:type="dxa"/>
            <w:gridSpan w:val="10"/>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tblPrEx>
          <w:tblCellMar>
            <w:top w:w="0" w:type="dxa"/>
            <w:left w:w="108" w:type="dxa"/>
            <w:bottom w:w="0" w:type="dxa"/>
            <w:right w:w="108" w:type="dxa"/>
          </w:tblCellMar>
        </w:tblPrEx>
        <w:trPr>
          <w:cantSplit/>
          <w:tblHeader/>
        </w:trPr>
        <w:tc>
          <w:tcPr>
            <w:tcW w:w="3783" w:type="dxa"/>
            <w:gridSpan w:val="4"/>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tblPrEx>
          <w:tblCellMar>
            <w:top w:w="0" w:type="dxa"/>
            <w:left w:w="108" w:type="dxa"/>
            <w:bottom w:w="0" w:type="dxa"/>
            <w:right w:w="108" w:type="dxa"/>
          </w:tblCellMar>
        </w:tblPrEx>
        <w:trPr>
          <w:cantSplit/>
          <w:tblHeader/>
        </w:trPr>
        <w:tc>
          <w:tcPr>
            <w:tcW w:w="9471" w:type="dxa"/>
            <w:gridSpan w:val="7"/>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1896"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1896"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1896"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1896"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1896"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tblPrEx>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rPr>
          <w:cantSplit/>
          <w:tblHeader/>
        </w:trPr>
        <w:tc>
          <w:tcPr>
            <w:tcW w:w="62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hint="eastAsia" w:ascii="宋体" w:hAnsi="宋体" w:cs="宋体"/>
                <w:b w:val="0"/>
                <w:bCs w:val="0"/>
                <w:i w:val="0"/>
                <w:iCs w:val="0"/>
                <w:smallCaps w:val="0"/>
                <w:color w:val="000000"/>
                <w:kern w:val="0"/>
                <w:sz w:val="21"/>
                <w:szCs w:val="26"/>
                <w:lang w:val="en-US" w:eastAsia="zh-CN"/>
              </w:rPr>
              <w:t>253.45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hint="eastAsia" w:ascii="宋体" w:hAnsi="宋体" w:cs="宋体"/>
                <w:b w:val="0"/>
                <w:bCs w:val="0"/>
                <w:i w:val="0"/>
                <w:iCs w:val="0"/>
                <w:smallCaps w:val="0"/>
                <w:color w:val="000000"/>
                <w:kern w:val="0"/>
                <w:sz w:val="21"/>
                <w:szCs w:val="26"/>
                <w:lang w:val="en-US" w:eastAsia="zh-CN"/>
              </w:rPr>
              <w:t>124.58</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hint="eastAsia" w:ascii="宋体" w:hAnsi="宋体" w:cs="宋体"/>
                <w:b w:val="0"/>
                <w:bCs w:val="0"/>
                <w:i w:val="0"/>
                <w:iCs w:val="0"/>
                <w:smallCaps w:val="0"/>
                <w:color w:val="000000"/>
                <w:kern w:val="0"/>
                <w:sz w:val="21"/>
                <w:szCs w:val="26"/>
                <w:lang w:val="en-US" w:eastAsia="zh-CN"/>
              </w:rPr>
              <w:t>128.87</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Times New Roman" w:hAnsi="Times New Roman" w:eastAsia="宋体" w:cs="Times New Roman"/>
                <w:b w:val="0"/>
                <w:bCs w:val="0"/>
                <w:i w:val="0"/>
                <w:iCs w:val="0"/>
                <w:smallCaps w:val="0"/>
                <w:color w:val="000000"/>
                <w:kern w:val="0"/>
                <w:sz w:val="26"/>
                <w:szCs w:val="26"/>
                <w:lang w:val="en-US" w:eastAsia="zh-CN" w:bidi="ar-SA"/>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Times New Roman" w:hAnsi="Times New Roman" w:eastAsia="宋体" w:cs="Times New Roman"/>
                <w:b w:val="0"/>
                <w:bCs w:val="0"/>
                <w:i w:val="0"/>
                <w:iCs w:val="0"/>
                <w:smallCaps w:val="0"/>
                <w:color w:val="000000"/>
                <w:kern w:val="0"/>
                <w:sz w:val="26"/>
                <w:szCs w:val="26"/>
                <w:lang w:val="en-US" w:eastAsia="zh-CN" w:bidi="ar-SA"/>
              </w:rPr>
            </w:pPr>
            <w:r>
              <w:rPr>
                <w:rFonts w:hint="eastAsia" w:ascii="宋体" w:hAnsi="宋体" w:cs="宋体"/>
                <w:b w:val="0"/>
                <w:bCs w:val="0"/>
                <w:i w:val="0"/>
                <w:iCs w:val="0"/>
                <w:smallCaps w:val="0"/>
                <w:color w:val="000000"/>
                <w:kern w:val="0"/>
                <w:sz w:val="21"/>
                <w:szCs w:val="26"/>
                <w:lang w:val="en-US" w:eastAsia="zh-CN"/>
              </w:rPr>
              <w:t>一般公共服务支出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Times New Roman" w:hAnsi="Times New Roman" w:eastAsia="宋体" w:cs="Times New Roman"/>
                <w:b w:val="0"/>
                <w:bCs w:val="0"/>
                <w:i w:val="0"/>
                <w:iCs w:val="0"/>
                <w:smallCaps w:val="0"/>
                <w:color w:val="000000"/>
                <w:kern w:val="0"/>
                <w:sz w:val="26"/>
                <w:szCs w:val="26"/>
                <w:lang w:val="en-US" w:eastAsia="zh-CN"/>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0.15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20132</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组织事务</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宋体" w:hAnsi="宋体" w:eastAsia="宋体" w:cs="宋体"/>
                <w:b w:val="0"/>
                <w:bCs w:val="0"/>
                <w:i w:val="0"/>
                <w:iCs w:val="0"/>
                <w:smallCaps w:val="0"/>
                <w:color w:val="000000"/>
                <w:kern w:val="0"/>
                <w:sz w:val="21"/>
                <w:szCs w:val="26"/>
                <w:lang w:val="en-US" w:eastAsia="zh-CN"/>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2013299</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其他组织事务支出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0.15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宋体" w:hAnsi="宋体" w:eastAsia="宋体" w:cs="宋体"/>
                <w:b w:val="0"/>
                <w:bCs w:val="0"/>
                <w:i w:val="0"/>
                <w:iCs w:val="0"/>
                <w:smallCaps w:val="0"/>
                <w:color w:val="000000"/>
                <w:kern w:val="0"/>
                <w:sz w:val="21"/>
                <w:szCs w:val="26"/>
                <w:lang w:val="en-US" w:eastAsia="zh-CN"/>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0.15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社会保障和就业支出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21.02</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20.94</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0.08</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行政事业单位养老支出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21.02</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20.94</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0.08</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行政单位离退休</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11.98</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11.90</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0.08</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both"/>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2080505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机关事业单位基本养老保险缴费支出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6.03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6.03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2080506</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机关事业单位职业年金缴费支出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3.01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3.01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卫生健康支出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215.05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86.41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128.64</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计划生育事务</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215.05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80.76</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128.64</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2100716</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计划生育机构</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209.4</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74.03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2100717</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计划生育服务</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74.03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6.73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39.63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2100799</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其他计划生育事务支出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89.01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宋体" w:hAnsi="宋体" w:eastAsia="宋体" w:cs="宋体"/>
                <w:b w:val="0"/>
                <w:bCs w:val="0"/>
                <w:i w:val="0"/>
                <w:iCs w:val="0"/>
                <w:smallCaps w:val="0"/>
                <w:color w:val="000000"/>
                <w:kern w:val="0"/>
                <w:sz w:val="21"/>
                <w:szCs w:val="26"/>
                <w:lang w:val="en-US" w:eastAsia="zh-CN"/>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89.01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21011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行政事业单位医疗</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5.65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5.65</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2101101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行政单位医疗</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3.39</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3.39</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2101103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公务员医疗补助</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2.26</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2.26</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住房保障支出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17.23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17.23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住房改革支出</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17.23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17.23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2210201</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住房公积金</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9.13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9.13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2210202</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提租补贴</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1.66</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1.66</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2210203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购房补贴</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6.43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rPr>
            </w:pPr>
            <w:r>
              <w:rPr>
                <w:rFonts w:hint="eastAsia" w:ascii="宋体" w:hAnsi="宋体" w:cs="宋体"/>
                <w:b w:val="0"/>
                <w:bCs w:val="0"/>
                <w:i w:val="0"/>
                <w:iCs w:val="0"/>
                <w:smallCaps w:val="0"/>
                <w:color w:val="000000"/>
                <w:kern w:val="0"/>
                <w:sz w:val="21"/>
                <w:szCs w:val="26"/>
                <w:lang w:val="en-US" w:eastAsia="zh-CN"/>
              </w:rPr>
              <w:t>6.43</w:t>
            </w: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c>
          <w:tcPr>
            <w:tcW w:w="1896"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5159" w:type="dxa"/>
            <w:gridSpan w:val="10"/>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注：本表反映部门本年度各项支出情况。</w:t>
            </w:r>
          </w:p>
        </w:tc>
      </w:tr>
    </w:tbl>
    <w:p>
      <w:pPr>
        <w:sectPr>
          <w:footerReference r:id="rId10"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62"/>
      <w:r>
        <w:rPr>
          <w:rFonts w:ascii="黑体" w:hAnsi="黑体" w:eastAsia="黑体" w:cs="黑体"/>
          <w:b w:val="0"/>
          <w:bCs w:val="0"/>
          <w:spacing w:val="0"/>
        </w:rPr>
        <w:t>四、财政拨款收入支出决算总表</w:t>
      </w:r>
      <w:bookmarkEnd w:id="8"/>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CellMar>
            <w:top w:w="0" w:type="dxa"/>
            <w:left w:w="108" w:type="dxa"/>
            <w:bottom w:w="0" w:type="dxa"/>
            <w:right w:w="108" w:type="dxa"/>
          </w:tblCellMar>
        </w:tblPrEx>
        <w:trPr>
          <w:cantSplit/>
          <w:tblHeader/>
        </w:trPr>
        <w:tc>
          <w:tcPr>
            <w:tcW w:w="16377" w:type="dxa"/>
            <w:gridSpan w:val="7"/>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3"/>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3"/>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253.45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0.15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0.15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215.05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215.05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17.23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17.23</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253.45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377" w:type="dxa"/>
            <w:gridSpan w:val="7"/>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377" w:type="dxa"/>
            <w:gridSpan w:val="7"/>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注：本部门2025年度没有使用财政拨款安排的收支。</w:t>
            </w:r>
          </w:p>
        </w:tc>
      </w:tr>
    </w:tbl>
    <w:p>
      <w:pPr>
        <w:sectPr>
          <w:footerReference r:id="rId11"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3"/>
      <w:r>
        <w:rPr>
          <w:rFonts w:ascii="黑体" w:hAnsi="黑体" w:eastAsia="黑体" w:cs="黑体"/>
          <w:b w:val="0"/>
          <w:bCs w:val="0"/>
          <w:spacing w:val="0"/>
        </w:rPr>
        <w:t>五、一般公共预算财政拨款支出决算表</w:t>
      </w:r>
      <w:bookmarkEnd w:id="9"/>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19"/>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tblPrEx>
          <w:tblCellMar>
            <w:top w:w="0" w:type="dxa"/>
            <w:left w:w="108" w:type="dxa"/>
            <w:bottom w:w="0" w:type="dxa"/>
            <w:right w:w="108" w:type="dxa"/>
          </w:tblCellMar>
        </w:tblPrEx>
        <w:trPr>
          <w:cantSplit/>
          <w:tblHeader/>
        </w:trPr>
        <w:tc>
          <w:tcPr>
            <w:tcW w:w="15159" w:type="dxa"/>
            <w:gridSpan w:val="5"/>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tblPrEx>
          <w:tblCellMar>
            <w:top w:w="0" w:type="dxa"/>
            <w:left w:w="108" w:type="dxa"/>
            <w:bottom w:w="0" w:type="dxa"/>
            <w:right w:w="108" w:type="dxa"/>
          </w:tblCellMar>
        </w:tblPrEx>
        <w:trPr>
          <w:cantSplit/>
          <w:tblHeader/>
        </w:trPr>
        <w:tc>
          <w:tcPr>
            <w:tcW w:w="5094"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55"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71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tblPrEx>
          <w:tblCellMar>
            <w:top w:w="0" w:type="dxa"/>
            <w:left w:w="108" w:type="dxa"/>
            <w:bottom w:w="0" w:type="dxa"/>
            <w:right w:w="108" w:type="dxa"/>
          </w:tblCellMar>
        </w:tblPrEx>
        <w:trPr>
          <w:cantSplit/>
          <w:tblHeader/>
        </w:trPr>
        <w:tc>
          <w:tcPr>
            <w:tcW w:w="8449" w:type="dxa"/>
            <w:gridSpan w:val="3"/>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671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006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CellMar>
            <w:top w:w="0" w:type="dxa"/>
            <w:left w:w="108" w:type="dxa"/>
            <w:bottom w:w="0" w:type="dxa"/>
            <w:right w:w="108" w:type="dxa"/>
          </w:tblCellMar>
        </w:tblPrEx>
        <w:trPr>
          <w:cantSplit/>
          <w:tblHeader/>
        </w:trPr>
        <w:tc>
          <w:tcPr>
            <w:tcW w:w="174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354"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35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335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35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CellMar>
            <w:top w:w="0" w:type="dxa"/>
            <w:left w:w="108" w:type="dxa"/>
            <w:bottom w:w="0" w:type="dxa"/>
            <w:right w:w="108" w:type="dxa"/>
          </w:tblCellMar>
        </w:tblPrEx>
        <w:trPr>
          <w:cantSplit/>
          <w:tblHeader/>
        </w:trPr>
        <w:tc>
          <w:tcPr>
            <w:tcW w:w="174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253.45</w:t>
            </w: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124.58</w:t>
            </w: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128.87</w:t>
            </w: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Times New Roman" w:hAnsi="Times New Roman" w:eastAsia="宋体" w:cs="Times New Roman"/>
                <w:b w:val="0"/>
                <w:bCs w:val="0"/>
                <w:i w:val="0"/>
                <w:iCs w:val="0"/>
                <w:smallCaps w:val="0"/>
                <w:color w:val="000000"/>
                <w:kern w:val="0"/>
                <w:sz w:val="26"/>
                <w:szCs w:val="26"/>
                <w:lang w:val="en-US" w:eastAsia="zh-CN" w:bidi="ar-SA"/>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201</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Times New Roman" w:hAnsi="Times New Roman" w:eastAsia="宋体" w:cs="Times New Roman"/>
                <w:b w:val="0"/>
                <w:bCs w:val="0"/>
                <w:i w:val="0"/>
                <w:iCs w:val="0"/>
                <w:smallCaps w:val="0"/>
                <w:color w:val="000000"/>
                <w:kern w:val="0"/>
                <w:sz w:val="26"/>
                <w:szCs w:val="26"/>
                <w:lang w:val="en-US" w:eastAsia="zh-CN" w:bidi="ar-SA"/>
              </w:rPr>
            </w:pPr>
            <w:r>
              <w:rPr>
                <w:rFonts w:hint="eastAsia" w:ascii="宋体" w:hAnsi="宋体" w:cs="宋体"/>
                <w:b w:val="0"/>
                <w:bCs w:val="0"/>
                <w:i w:val="0"/>
                <w:iCs w:val="0"/>
                <w:smallCaps w:val="0"/>
                <w:color w:val="000000"/>
                <w:kern w:val="0"/>
                <w:sz w:val="21"/>
                <w:szCs w:val="26"/>
                <w:lang w:val="en-US" w:eastAsia="zh-CN"/>
              </w:rPr>
              <w:t>一般公共服务支出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bidi="ar-SA"/>
              </w:rPr>
            </w:pPr>
            <w:r>
              <w:rPr>
                <w:rFonts w:hint="eastAsia" w:ascii="宋体" w:hAnsi="宋体" w:cs="宋体"/>
                <w:b w:val="0"/>
                <w:bCs w:val="0"/>
                <w:i w:val="0"/>
                <w:iCs w:val="0"/>
                <w:smallCaps w:val="0"/>
                <w:color w:val="000000"/>
                <w:kern w:val="0"/>
                <w:sz w:val="21"/>
                <w:szCs w:val="26"/>
                <w:lang w:val="en-US" w:eastAsia="zh-CN"/>
              </w:rPr>
              <w:t>0.15</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Times New Roman" w:hAnsi="Times New Roman" w:eastAsia="宋体" w:cs="Times New Roman"/>
                <w:b w:val="0"/>
                <w:bCs w:val="0"/>
                <w:i w:val="0"/>
                <w:iCs w:val="0"/>
                <w:smallCaps w:val="0"/>
                <w:color w:val="000000"/>
                <w:kern w:val="0"/>
                <w:sz w:val="26"/>
                <w:szCs w:val="26"/>
                <w:lang w:val="en-US" w:eastAsia="zh-CN" w:bidi="ar-SA"/>
              </w:rPr>
            </w:pP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lang w:val="en-US" w:eastAsia="zh-CN" w:bidi="ar-SA"/>
              </w:rPr>
            </w:pPr>
            <w:r>
              <w:rPr>
                <w:rFonts w:hint="eastAsia" w:ascii="宋体" w:hAnsi="宋体" w:cs="宋体"/>
                <w:b w:val="0"/>
                <w:bCs w:val="0"/>
                <w:i w:val="0"/>
                <w:iCs w:val="0"/>
                <w:smallCaps w:val="0"/>
                <w:color w:val="000000"/>
                <w:kern w:val="0"/>
                <w:sz w:val="21"/>
                <w:szCs w:val="26"/>
                <w:lang w:val="en-US" w:eastAsia="zh-CN"/>
              </w:rPr>
              <w:t>0.15</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20132</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组织事务</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0.15</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宋体" w:hAnsi="宋体" w:eastAsia="宋体" w:cs="宋体"/>
                <w:b w:val="0"/>
                <w:bCs w:val="0"/>
                <w:i w:val="0"/>
                <w:iCs w:val="0"/>
                <w:smallCaps w:val="0"/>
                <w:color w:val="000000"/>
                <w:kern w:val="0"/>
                <w:sz w:val="21"/>
                <w:szCs w:val="26"/>
                <w:lang w:val="en-US" w:eastAsia="zh-CN" w:bidi="ar-SA"/>
              </w:rPr>
            </w:pP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0.15</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2013299</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其他组织事务支出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0.15</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宋体" w:hAnsi="宋体" w:eastAsia="宋体" w:cs="宋体"/>
                <w:b w:val="0"/>
                <w:bCs w:val="0"/>
                <w:i w:val="0"/>
                <w:iCs w:val="0"/>
                <w:smallCaps w:val="0"/>
                <w:color w:val="000000"/>
                <w:kern w:val="0"/>
                <w:sz w:val="21"/>
                <w:szCs w:val="26"/>
                <w:lang w:val="en-US" w:eastAsia="zh-CN" w:bidi="ar-SA"/>
              </w:rPr>
            </w:pP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0.15</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社会保障和就业支出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21.02</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20.94</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0.08</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行政事业单位养老支出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21.02</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20.94</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0.08</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2080501</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行政单位离退休</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11.98</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11.90</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0.08</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both"/>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2080505</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机关事业单位基本养老保险缴费支出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6.03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6.03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lang w:val="en-US" w:eastAsia="zh-CN" w:bidi="ar-SA"/>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2080506</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机关事业单位职业年金缴费支出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3.01</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3.01</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lang w:val="en-US" w:eastAsia="zh-CN" w:bidi="ar-SA"/>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卫生健康支出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215.05</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86.41</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128.64</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计划生育事务</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215.05</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80.76</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128.64</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2100716</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计划生育机构</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209.4</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74.03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lang w:val="en-US" w:eastAsia="zh-CN" w:bidi="ar-SA"/>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2100717</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计划生育服务</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74.03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6.73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39.63</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2100799</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其他计划生育事务支出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89.01</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eastAsia" w:ascii="宋体" w:hAnsi="宋体" w:eastAsia="宋体" w:cs="宋体"/>
                <w:b w:val="0"/>
                <w:bCs w:val="0"/>
                <w:i w:val="0"/>
                <w:iCs w:val="0"/>
                <w:smallCaps w:val="0"/>
                <w:color w:val="000000"/>
                <w:kern w:val="0"/>
                <w:sz w:val="21"/>
                <w:szCs w:val="26"/>
                <w:lang w:val="en-US" w:eastAsia="zh-CN" w:bidi="ar-SA"/>
              </w:rPr>
            </w:pP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89.01</w:t>
            </w: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21011</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行政事业单位医疗</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5.65</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5.65</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lang w:val="en-US" w:eastAsia="zh-CN" w:bidi="ar-SA"/>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2101101</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行政单位医疗</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3.39</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3.39</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2101103</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公务员医疗补助</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2.26</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2.26</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住房保障支出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17.23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17.23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住房改革支出</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17.23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17.23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2210201</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住房公积金</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9.13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9.13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2210202</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提租补贴</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1.66</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1.66</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2210203</w:t>
            </w:r>
          </w:p>
        </w:tc>
        <w:tc>
          <w:tcPr>
            <w:tcW w:w="3354"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hint="eastAsia"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购房补贴</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6.43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宋体" w:hAnsi="宋体" w:eastAsia="宋体" w:cs="宋体"/>
                <w:b w:val="0"/>
                <w:bCs w:val="0"/>
                <w:i w:val="0"/>
                <w:iCs w:val="0"/>
                <w:smallCaps w:val="0"/>
                <w:color w:val="000000"/>
                <w:kern w:val="0"/>
                <w:sz w:val="21"/>
                <w:szCs w:val="26"/>
                <w:lang w:val="en-US" w:eastAsia="zh-CN" w:bidi="ar-SA"/>
              </w:rPr>
            </w:pPr>
            <w:r>
              <w:rPr>
                <w:rFonts w:hint="eastAsia" w:ascii="宋体" w:hAnsi="宋体" w:cs="宋体"/>
                <w:b w:val="0"/>
                <w:bCs w:val="0"/>
                <w:i w:val="0"/>
                <w:iCs w:val="0"/>
                <w:smallCaps w:val="0"/>
                <w:color w:val="000000"/>
                <w:kern w:val="0"/>
                <w:sz w:val="21"/>
                <w:szCs w:val="26"/>
                <w:lang w:val="en-US" w:eastAsia="zh-CN"/>
              </w:rPr>
              <w:t>6.43</w:t>
            </w:r>
          </w:p>
        </w:tc>
        <w:tc>
          <w:tcPr>
            <w:tcW w:w="335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宋体" w:hAnsi="宋体" w:eastAsia="宋体" w:cs="宋体"/>
                <w:b w:val="0"/>
                <w:bCs w:val="0"/>
                <w:i w:val="0"/>
                <w:iCs w:val="0"/>
                <w:smallCaps w:val="0"/>
                <w:color w:val="000000"/>
                <w:kern w:val="0"/>
                <w:sz w:val="21"/>
                <w:szCs w:val="26"/>
              </w:rPr>
            </w:pPr>
          </w:p>
        </w:tc>
      </w:tr>
      <w:tr>
        <w:tblPrEx>
          <w:tblCellMar>
            <w:top w:w="0" w:type="dxa"/>
            <w:left w:w="108" w:type="dxa"/>
            <w:bottom w:w="0" w:type="dxa"/>
            <w:right w:w="108" w:type="dxa"/>
          </w:tblCellMar>
        </w:tblPrEx>
        <w:trPr>
          <w:cantSplit/>
        </w:trPr>
        <w:tc>
          <w:tcPr>
            <w:tcW w:w="15159"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5159"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注：本部门2025年度没有使用一般公共预算财政拨款安排的支出。</w:t>
            </w:r>
          </w:p>
        </w:tc>
      </w:tr>
    </w:tbl>
    <w:p>
      <w:pPr>
        <w:sectPr>
          <w:footerReference r:id="rId12"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4"/>
      <w:r>
        <w:rPr>
          <w:rFonts w:ascii="黑体" w:hAnsi="黑体" w:eastAsia="黑体" w:cs="黑体"/>
          <w:b w:val="0"/>
          <w:bCs w:val="0"/>
          <w:spacing w:val="0"/>
        </w:rPr>
        <w:t>六、一般公共预算财政拨款基本支出决算表</w:t>
      </w:r>
      <w:bookmarkEnd w:id="10"/>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1684"/>
        <w:gridCol w:w="1684"/>
        <w:gridCol w:w="1684"/>
        <w:gridCol w:w="1684"/>
        <w:gridCol w:w="1684"/>
        <w:gridCol w:w="1684"/>
        <w:gridCol w:w="1684"/>
        <w:gridCol w:w="1684"/>
        <w:gridCol w:w="1684"/>
      </w:tblGrid>
      <w:tr>
        <w:tblPrEx>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tblPrEx>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tblPrEx>
          <w:tblCellMar>
            <w:top w:w="0" w:type="dxa"/>
            <w:left w:w="108" w:type="dxa"/>
            <w:bottom w:w="0" w:type="dxa"/>
            <w:right w:w="108" w:type="dxa"/>
          </w:tblCellMar>
        </w:tblPrEx>
        <w:trPr>
          <w:cantSplit/>
          <w:tblHeader/>
        </w:trPr>
        <w:tc>
          <w:tcPr>
            <w:tcW w:w="183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6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03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3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9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03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3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03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 xml:space="preserve">    110.03</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2.65</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23.35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2.14</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28.96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6.03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0.08</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3.32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2.26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9.13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hint="default" w:ascii="Times New Roman" w:hAnsi="Times New Roman" w:eastAsia="宋体" w:cs="Times New Roman"/>
                <w:b w:val="0"/>
                <w:bCs w:val="0"/>
                <w:i w:val="0"/>
                <w:iCs w:val="0"/>
                <w:smallCaps w:val="0"/>
                <w:color w:val="000000"/>
                <w:kern w:val="0"/>
                <w:sz w:val="26"/>
                <w:szCs w:val="26"/>
                <w:lang w:val="en-US" w:eastAsia="zh-CN"/>
              </w:rPr>
            </w:pPr>
            <w:r>
              <w:rPr>
                <w:rFonts w:ascii="宋体" w:hAnsi="宋体" w:eastAsia="宋体" w:cs="宋体"/>
                <w:b w:val="0"/>
                <w:bCs w:val="0"/>
                <w:i w:val="0"/>
                <w:iCs w:val="0"/>
                <w:smallCaps w:val="0"/>
                <w:color w:val="000000"/>
                <w:kern w:val="0"/>
                <w:sz w:val="21"/>
                <w:szCs w:val="26"/>
              </w:rPr>
              <w:t> </w:t>
            </w:r>
            <w:r>
              <w:rPr>
                <w:rFonts w:hint="eastAsia" w:ascii="宋体" w:hAnsi="宋体" w:cs="宋体"/>
                <w:b w:val="0"/>
                <w:bCs w:val="0"/>
                <w:i w:val="0"/>
                <w:iCs w:val="0"/>
                <w:smallCaps w:val="0"/>
                <w:color w:val="000000"/>
                <w:kern w:val="0"/>
                <w:sz w:val="21"/>
                <w:szCs w:val="26"/>
                <w:lang w:val="en-US" w:eastAsia="zh-CN"/>
              </w:rPr>
              <w:t>11.90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0.39</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0.04</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11.90</w:t>
            </w: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121.93</w:t>
            </w:r>
            <w:r>
              <w:rPr>
                <w:rFonts w:ascii="宋体" w:hAnsi="宋体" w:eastAsia="宋体" w:cs="宋体"/>
                <w:b w:val="0"/>
                <w:bCs w:val="0"/>
                <w:i w:val="0"/>
                <w:iCs w:val="0"/>
                <w:smallCaps w:val="0"/>
                <w:color w:val="000000"/>
                <w:kern w:val="0"/>
                <w:sz w:val="21"/>
                <w:szCs w:val="26"/>
              </w:rPr>
              <w:t> </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hint="eastAsia" w:ascii="宋体" w:hAnsi="宋体" w:cs="宋体"/>
                <w:b w:val="0"/>
                <w:bCs w:val="0"/>
                <w:i w:val="0"/>
                <w:iCs w:val="0"/>
                <w:smallCaps w:val="0"/>
                <w:color w:val="000000"/>
                <w:kern w:val="0"/>
                <w:sz w:val="21"/>
                <w:szCs w:val="26"/>
                <w:lang w:val="en-US" w:eastAsia="zh-CN"/>
              </w:rPr>
              <w:t>2.65</w:t>
            </w: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注：本部门2025年度没有使用一般公共预算财政拨款安排的基本支出。</w:t>
            </w:r>
          </w:p>
        </w:tc>
      </w:tr>
    </w:tbl>
    <w:p>
      <w:pPr>
        <w:sectPr>
          <w:footerReference r:id="rId13"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5"/>
      <w:r>
        <w:rPr>
          <w:rFonts w:ascii="黑体" w:hAnsi="黑体" w:eastAsia="黑体" w:cs="黑体"/>
          <w:b w:val="0"/>
          <w:bCs w:val="0"/>
          <w:spacing w:val="0"/>
        </w:rPr>
        <w:t>七、一般公共预算财政拨款“三公”经费支出决算表</w:t>
      </w:r>
      <w:bookmarkEnd w:id="11"/>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5053"/>
        <w:gridCol w:w="5053"/>
        <w:gridCol w:w="5053"/>
      </w:tblGrid>
      <w:tr>
        <w:tblPrEx>
          <w:tblCellMar>
            <w:top w:w="0" w:type="dxa"/>
            <w:left w:w="108" w:type="dxa"/>
            <w:bottom w:w="0" w:type="dxa"/>
            <w:right w:w="108" w:type="dxa"/>
          </w:tblCellMar>
        </w:tblPrEx>
        <w:trPr>
          <w:cantSplit/>
          <w:tblHeader/>
        </w:trPr>
        <w:tc>
          <w:tcPr>
            <w:tcW w:w="16383" w:type="dxa"/>
            <w:gridSpan w:val="3"/>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注：本部门2025年度没有使用一般公共预算财政拨款安排的“三公”经费支出。</w:t>
            </w:r>
          </w:p>
        </w:tc>
      </w:tr>
    </w:tbl>
    <w:p>
      <w:pPr>
        <w:sectPr>
          <w:footerReference r:id="rId14"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8"/>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6"/>
      <w:r>
        <w:rPr>
          <w:rFonts w:ascii="黑体" w:hAnsi="黑体" w:eastAsia="黑体" w:cs="黑体"/>
          <w:b w:val="0"/>
          <w:bCs w:val="0"/>
          <w:spacing w:val="0"/>
        </w:rPr>
        <w:t>八、政府性基金预算财政拨款收入支出决算表</w:t>
      </w:r>
      <w:bookmarkEnd w:id="12"/>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注：本部门2025年度没有使用政府性基金预算财政拨款安排的收支。</w:t>
            </w:r>
          </w:p>
        </w:tc>
      </w:tr>
    </w:tbl>
    <w:p>
      <w:pPr>
        <w:sectPr>
          <w:footerReference r:id="rId15"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8"/>
        <w:widowControl/>
        <w:spacing w:before="240" w:after="240"/>
        <w:jc w:val="left"/>
        <w:rPr>
          <w:rFonts w:ascii="Times New Roman" w:hAnsi="Times New Roman" w:eastAsia="Times New Roman" w:cs="Times New Roman"/>
          <w:kern w:val="0"/>
          <w:sz w:val="24"/>
        </w:rPr>
      </w:pPr>
      <w:r>
        <w:rPr>
          <w:rFonts w:ascii="宋体" w:hAnsi="宋体" w:eastAsia="宋体" w:cs="宋体"/>
          <w:spacing w:val="0"/>
          <w:kern w:val="0"/>
          <w:sz w:val="24"/>
        </w:rPr>
        <w:t> </w:t>
      </w:r>
      <w:r>
        <w:rPr>
          <w:rFonts w:ascii="宋体" w:hAnsi="宋体" w:eastAsia="宋体" w:cs="宋体"/>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7"/>
      <w:r>
        <w:rPr>
          <w:rFonts w:ascii="黑体" w:hAnsi="黑体" w:eastAsia="黑体" w:cs="黑体"/>
          <w:b w:val="0"/>
          <w:bCs w:val="0"/>
          <w:spacing w:val="0"/>
        </w:rPr>
        <w:t>九、国有资本经营预算财政拨款支出决算表</w:t>
      </w:r>
      <w:bookmarkEnd w:id="13"/>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19"/>
        <w:tblW w:w="5000" w:type="pct"/>
        <w:tblInd w:w="20" w:type="dxa"/>
        <w:tblLayout w:type="fixed"/>
        <w:tblCellMar>
          <w:top w:w="0" w:type="dxa"/>
          <w:left w:w="108" w:type="dxa"/>
          <w:bottom w:w="0" w:type="dxa"/>
          <w:right w:w="108" w:type="dxa"/>
        </w:tblCellMar>
      </w:tblPr>
      <w:tblGrid>
        <w:gridCol w:w="3031"/>
        <w:gridCol w:w="3032"/>
        <w:gridCol w:w="3032"/>
        <w:gridCol w:w="3032"/>
        <w:gridCol w:w="3032"/>
      </w:tblGrid>
      <w:tr>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编制单位：福州市晋安区计划生育协会汇总</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CellMar>
            <w:top w:w="0" w:type="dxa"/>
            <w:left w:w="108" w:type="dxa"/>
            <w:bottom w:w="0" w:type="dxa"/>
            <w:right w:w="108" w:type="dxa"/>
          </w:tblCellMar>
        </w:tblPrEx>
        <w:trPr>
          <w:cantSplit/>
          <w:tblHeader/>
        </w:trPr>
        <w:tc>
          <w:tcPr>
            <w:tcW w:w="371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注：本部门2025年度没有使用国有资本经营预算财政拨款安排的支出。</w:t>
            </w:r>
          </w:p>
        </w:tc>
      </w:tr>
    </w:tbl>
    <w:p>
      <w:pPr>
        <w:sectPr>
          <w:footerReference r:id="rId16"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8"/>
        <w:widowControl/>
        <w:spacing w:before="24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8"/>
        <w:widowControl/>
        <w:spacing w:before="100" w:after="100" w:line="560" w:lineRule="atLeast"/>
        <w:ind w:left="100" w:right="100" w:firstLine="0"/>
        <w:jc w:val="center"/>
        <w:rPr>
          <w:rFonts w:ascii="Times New Roman" w:hAnsi="Times New Roman" w:eastAsia="Times New Roman" w:cs="Times New Roman"/>
          <w:kern w:val="0"/>
          <w:sz w:val="24"/>
        </w:rPr>
      </w:pPr>
    </w:p>
    <w:p>
      <w:pPr>
        <w:pStyle w:val="28"/>
        <w:widowControl/>
        <w:spacing w:before="100" w:after="100" w:line="560" w:lineRule="atLeast"/>
        <w:ind w:left="100" w:right="100" w:firstLine="0"/>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8"/>
        <w:widowControl/>
        <w:spacing w:before="10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8"/>
        <w:widowControl/>
        <w:spacing w:before="100" w:after="100"/>
        <w:ind w:left="100" w:right="100" w:firstLine="0"/>
        <w:jc w:val="left"/>
        <w:rPr>
          <w:rFonts w:ascii="Times New Roman" w:hAnsi="Times New Roman" w:eastAsia="Times New Roman" w:cs="Times New Roman"/>
          <w:kern w:val="0"/>
          <w:sz w:val="24"/>
        </w:rPr>
      </w:pPr>
      <w:r>
        <w:rPr>
          <w:rFonts w:ascii="Calibri" w:hAnsi="Calibri" w:eastAsia="Calibri" w:cs="Calibri"/>
          <w:spacing w:val="0"/>
          <w:kern w:val="0"/>
          <w:szCs w:val="21"/>
        </w:rPr>
        <w:t> </w:t>
      </w: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9"/>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4" w:name="_Toc256000068"/>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2025年度部门决算情况说明</w:t>
      </w:r>
      <w:bookmarkEnd w:id="14"/>
    </w:p>
    <w:p>
      <w:pPr>
        <w:widowControl/>
        <w:spacing w:before="240" w:after="240"/>
        <w:jc w:val="left"/>
        <w:rPr>
          <w:rFonts w:ascii="Times New Roman" w:hAnsi="Times New Roman" w:eastAsia="Times New Roman" w:cs="Times New Roman"/>
          <w:kern w:val="0"/>
          <w:sz w:val="24"/>
        </w:rPr>
      </w:pPr>
    </w:p>
    <w:p>
      <w:pPr>
        <w:sectPr>
          <w:footerReference r:id="rId1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5" w:name="_Toc256000069"/>
      <w:r>
        <w:rPr>
          <w:rFonts w:ascii="黑体" w:hAnsi="黑体" w:eastAsia="黑体" w:cs="黑体"/>
          <w:b w:val="0"/>
          <w:bCs w:val="0"/>
          <w:spacing w:val="0"/>
        </w:rPr>
        <w:t>一、收入支出决算总体情况说明</w:t>
      </w:r>
      <w:bookmarkEnd w:id="15"/>
      <w:r>
        <w:rPr>
          <w:rFonts w:ascii="黑体" w:hAnsi="黑体" w:eastAsia="黑体" w:cs="黑体"/>
          <w:b w:val="0"/>
          <w:bCs w:val="0"/>
          <w:spacing w:val="0"/>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2025年度本部门收入总计253.45万元，支出总计253.45万元，与上年决算数相比，各减少2.48万元，下降0.97%。主要</w:t>
      </w:r>
      <w:r>
        <w:rPr>
          <w:rFonts w:hint="eastAsia" w:ascii="FangSong_GB2312" w:hAnsi="FangSong_GB2312" w:eastAsia="FangSong_GB2312" w:cs="FangSong_GB2312"/>
          <w:spacing w:val="0"/>
          <w:kern w:val="0"/>
          <w:sz w:val="32"/>
          <w:szCs w:val="32"/>
          <w:lang w:val="en-US" w:eastAsia="zh-CN"/>
        </w:rPr>
        <w:t>是减少办公经费支出。</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2025年度收入253.45万元，比上年决算数减少2.48万元，下降0.97%，具体情况如下：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1.一般公共预算财政拨款收入253.45万元。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2025年度支出253.45万元，比上年决算数减少2.48万元，下降0.97%，具体情况如下：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1.基本支出124.58万元。其中，人员支出121.93万元，公用支出2.65万元。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2.项目支出128.87万元。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6" w:name="_Toc256000070"/>
      <w:r>
        <w:rPr>
          <w:rFonts w:ascii="黑体" w:hAnsi="黑体" w:eastAsia="黑体" w:cs="黑体"/>
          <w:b w:val="0"/>
          <w:bCs w:val="0"/>
          <w:spacing w:val="0"/>
        </w:rPr>
        <w:t>二、财政拨款收入支出决算总体情况说明</w:t>
      </w:r>
      <w:bookmarkEnd w:id="16"/>
      <w:r>
        <w:rPr>
          <w:rFonts w:ascii="黑体" w:hAnsi="黑体" w:eastAsia="黑体" w:cs="黑体"/>
          <w:b w:val="0"/>
          <w:bCs w:val="0"/>
          <w:spacing w:val="0"/>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2025年度财政拨款收入总计253.45万元，支出总计 253.45万元，与上年决算数相比，各减少2.48万元，下降0.97%，主要是：</w:t>
      </w:r>
      <w:r>
        <w:rPr>
          <w:rFonts w:hint="eastAsia" w:ascii="FangSong_GB2312" w:hAnsi="FangSong_GB2312" w:eastAsia="FangSong_GB2312" w:cs="FangSong_GB2312"/>
          <w:spacing w:val="0"/>
          <w:kern w:val="0"/>
          <w:sz w:val="32"/>
          <w:szCs w:val="32"/>
          <w:lang w:val="en-US" w:eastAsia="zh-CN"/>
        </w:rPr>
        <w:t>办公经费减少。</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7" w:name="_Toc256000071"/>
      <w:r>
        <w:rPr>
          <w:rFonts w:ascii="黑体" w:hAnsi="黑体" w:eastAsia="黑体" w:cs="黑体"/>
          <w:b w:val="0"/>
          <w:bCs w:val="0"/>
          <w:spacing w:val="0"/>
        </w:rPr>
        <w:t>三、一般公共预算财政拨款支出决算情况说明</w:t>
      </w:r>
      <w:bookmarkEnd w:id="17"/>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2025年度一般公共预算财政拨款支出253.45万元，比上年决算数减少2.48万元，下降0.97%，具体情况如下(按项级科目分类统计)：</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bookmarkStart w:id="18" w:name="_Toc256000072"/>
      <w:r>
        <w:rPr>
          <w:rFonts w:ascii="FangSong_GB2312" w:hAnsi="FangSong_GB2312" w:eastAsia="FangSong_GB2312" w:cs="FangSong_GB2312"/>
          <w:spacing w:val="0"/>
          <w:kern w:val="0"/>
          <w:sz w:val="32"/>
          <w:szCs w:val="32"/>
        </w:rPr>
        <w:t>2025年度一般公共预算财政拨款支出253.45万元，比上年决算数减少2.48万元，下降0.97%，具体情况如下(按项级科目分类统计)：</w:t>
      </w:r>
    </w:p>
    <w:p>
      <w:pPr>
        <w:pStyle w:val="28"/>
        <w:widowControl/>
        <w:spacing w:before="100" w:after="100" w:line="560" w:lineRule="atLeast"/>
        <w:ind w:left="100" w:right="100" w:firstLine="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  （一）2013299 其他组织事务支出 0.15万元，与上年决算数持平。</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  （二）2080501 行政单位离退休 11.98万元，较上年决算数减少0.89万元，下降6.88%。主要原因</w:t>
      </w:r>
      <w:r>
        <w:rPr>
          <w:rFonts w:hint="eastAsia" w:ascii="FangSong_GB2312" w:hAnsi="FangSong_GB2312" w:eastAsia="FangSong_GB2312" w:cs="FangSong_GB2312"/>
          <w:spacing w:val="0"/>
          <w:kern w:val="0"/>
          <w:sz w:val="32"/>
          <w:szCs w:val="32"/>
          <w:lang w:val="en-US" w:eastAsia="zh-CN"/>
        </w:rPr>
        <w:t>根据实际情况支出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  （三）2080505 机关事业单位基本养老保险缴费支出 6.03万元，较上年决算数增加0.95万元，增长18.60%。主要原因是</w:t>
      </w:r>
      <w:r>
        <w:rPr>
          <w:rFonts w:hint="eastAsia" w:ascii="FangSong_GB2312" w:hAnsi="FangSong_GB2312" w:eastAsia="FangSong_GB2312" w:cs="FangSong_GB2312"/>
          <w:spacing w:val="0"/>
          <w:kern w:val="0"/>
          <w:sz w:val="32"/>
          <w:szCs w:val="32"/>
          <w:lang w:val="en-US" w:eastAsia="zh-CN"/>
        </w:rPr>
        <w:t>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  （四）2080506 机关事业单位职业年金缴费支出 3.01万元，较上年决算数增加0.47万元，增长18.60%。主要原因是</w:t>
      </w:r>
      <w:r>
        <w:rPr>
          <w:rFonts w:hint="eastAsia" w:ascii="FangSong_GB2312" w:hAnsi="FangSong_GB2312" w:eastAsia="FangSong_GB2312" w:cs="FangSong_GB2312"/>
          <w:spacing w:val="0"/>
          <w:kern w:val="0"/>
          <w:sz w:val="32"/>
          <w:szCs w:val="32"/>
          <w:lang w:val="en-US" w:eastAsia="zh-CN"/>
        </w:rPr>
        <w:t>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  （五）2100716 计划生育机构 74.03万元，较上年决算数增加12.41万元，增长20.14%。主要原因是</w:t>
      </w:r>
      <w:r>
        <w:rPr>
          <w:rFonts w:hint="eastAsia" w:ascii="FangSong_GB2312" w:hAnsi="FangSong_GB2312" w:eastAsia="FangSong_GB2312" w:cs="FangSong_GB2312"/>
          <w:spacing w:val="0"/>
          <w:kern w:val="0"/>
          <w:sz w:val="32"/>
          <w:szCs w:val="32"/>
          <w:lang w:val="en-US" w:eastAsia="zh-CN"/>
        </w:rPr>
        <w:t>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  （六）2100717 计划生育服务 46.36万元，较上年决算数减少11.39万元，下降19.72%。主要原因是</w:t>
      </w:r>
      <w:r>
        <w:rPr>
          <w:rFonts w:hint="eastAsia" w:ascii="FangSong_GB2312" w:hAnsi="FangSong_GB2312" w:eastAsia="FangSong_GB2312" w:cs="FangSong_GB2312"/>
          <w:spacing w:val="0"/>
          <w:kern w:val="0"/>
          <w:sz w:val="32"/>
          <w:szCs w:val="32"/>
          <w:lang w:val="en-US" w:eastAsia="zh-CN"/>
        </w:rPr>
        <w:t>根据实际情况支出。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  （七）2100799 其他计划生育事务支出 89.01万元，较上年决算数减少7.78万元，下降8.03%。主要原因是</w:t>
      </w:r>
      <w:r>
        <w:rPr>
          <w:rFonts w:hint="eastAsia" w:ascii="FangSong_GB2312" w:hAnsi="FangSong_GB2312" w:eastAsia="FangSong_GB2312" w:cs="FangSong_GB2312"/>
          <w:spacing w:val="0"/>
          <w:kern w:val="0"/>
          <w:sz w:val="32"/>
          <w:szCs w:val="32"/>
          <w:lang w:val="en-US" w:eastAsia="zh-CN"/>
        </w:rPr>
        <w:t>项目减少支出。</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  （八）2101101 行政单位医疗 3.39万元，较上年决算数增加0.52万元，增长18.12%。主要原因是</w:t>
      </w:r>
      <w:r>
        <w:rPr>
          <w:rFonts w:hint="eastAsia" w:ascii="FangSong_GB2312" w:hAnsi="FangSong_GB2312" w:eastAsia="FangSong_GB2312" w:cs="FangSong_GB2312"/>
          <w:spacing w:val="0"/>
          <w:kern w:val="0"/>
          <w:sz w:val="32"/>
          <w:szCs w:val="32"/>
          <w:lang w:val="en-US" w:eastAsia="zh-CN"/>
        </w:rPr>
        <w:t>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  （九）2101103 公务员医疗补助 2.26万元，与上年决算数持平。</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  （十）2210201 住房公积金 9.13万元，较上年决算数增加1.41万元，增长18.24%。主要原因是</w:t>
      </w:r>
      <w:r>
        <w:rPr>
          <w:rFonts w:hint="eastAsia" w:ascii="FangSong_GB2312" w:hAnsi="FangSong_GB2312" w:eastAsia="FangSong_GB2312" w:cs="FangSong_GB2312"/>
          <w:spacing w:val="0"/>
          <w:kern w:val="0"/>
          <w:sz w:val="32"/>
          <w:szCs w:val="32"/>
          <w:lang w:val="en-US" w:eastAsia="zh-CN"/>
        </w:rPr>
        <w:t>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  （十一）2210202 提租补贴 1.66万元，较上年决算数增加0.25万元，增长17.57%。主要原因是</w:t>
      </w:r>
      <w:r>
        <w:rPr>
          <w:rFonts w:hint="eastAsia" w:ascii="FangSong_GB2312" w:hAnsi="FangSong_GB2312" w:eastAsia="FangSong_GB2312" w:cs="FangSong_GB2312"/>
          <w:spacing w:val="0"/>
          <w:kern w:val="0"/>
          <w:sz w:val="32"/>
          <w:szCs w:val="32"/>
          <w:lang w:val="en-US" w:eastAsia="zh-CN"/>
        </w:rPr>
        <w:t>人员增加。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  （十二）2210203 购房补贴 6.43万元，较上年决算数增加1.56万元，增长32.15%。主要原因是</w:t>
      </w:r>
      <w:r>
        <w:rPr>
          <w:rFonts w:hint="eastAsia" w:ascii="FangSong_GB2312" w:hAnsi="FangSong_GB2312" w:eastAsia="FangSong_GB2312" w:cs="FangSong_GB2312"/>
          <w:spacing w:val="0"/>
          <w:kern w:val="0"/>
          <w:sz w:val="32"/>
          <w:szCs w:val="32"/>
          <w:lang w:val="en-US" w:eastAsia="zh-CN"/>
        </w:rPr>
        <w:t>人员增加。</w:t>
      </w:r>
    </w:p>
    <w:p>
      <w:pPr>
        <w:pStyle w:val="5"/>
        <w:keepNext w:val="0"/>
        <w:keepLines w:val="0"/>
        <w:spacing w:before="100" w:after="100" w:line="560" w:lineRule="atLeast"/>
        <w:ind w:left="100" w:right="100" w:firstLine="640" w:firstLineChars="0"/>
        <w:rPr>
          <w:rFonts w:ascii="黑体" w:hAnsi="黑体" w:eastAsia="黑体" w:cs="黑体"/>
          <w:b w:val="0"/>
          <w:bCs w:val="0"/>
          <w:spacing w:val="0"/>
        </w:rPr>
      </w:pP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r>
        <w:rPr>
          <w:rFonts w:ascii="黑体" w:hAnsi="黑体" w:eastAsia="黑体" w:cs="黑体"/>
          <w:b w:val="0"/>
          <w:bCs w:val="0"/>
          <w:spacing w:val="0"/>
        </w:rPr>
        <w:t>四、政府性基金预算财政拨款支出决算情况说明</w:t>
      </w:r>
      <w:bookmarkEnd w:id="18"/>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本部门2025年度没有使用政府性基金预算财政拨款安排的支出。</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3"/>
      <w:r>
        <w:rPr>
          <w:rFonts w:ascii="黑体" w:hAnsi="黑体" w:eastAsia="黑体" w:cs="黑体"/>
          <w:b w:val="0"/>
          <w:bCs w:val="0"/>
          <w:spacing w:val="0"/>
        </w:rPr>
        <w:t>五、国有资本经营预算财政拨款支出决算情况说明</w:t>
      </w:r>
      <w:bookmarkEnd w:id="19"/>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本部门2025年度没有使用国有资本经营预算财政拨款安排的支出。</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4"/>
      <w:r>
        <w:rPr>
          <w:rFonts w:ascii="黑体" w:hAnsi="黑体" w:eastAsia="黑体" w:cs="黑体"/>
          <w:b w:val="0"/>
          <w:bCs w:val="0"/>
          <w:spacing w:val="0"/>
        </w:rPr>
        <w:t>六、一般公共预算财政拨款基本支出决算情况说明</w:t>
      </w:r>
      <w:bookmarkEnd w:id="20"/>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2025年度一般公共预算财政拨款基本支出124.58万元，其中：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（一）人员经费121.93万元，主要包括：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（二）公用经费2.65万元，主要包括：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5"/>
      <w:r>
        <w:rPr>
          <w:rFonts w:ascii="黑体" w:hAnsi="黑体" w:eastAsia="黑体" w:cs="黑体"/>
          <w:b w:val="0"/>
          <w:bCs w:val="0"/>
          <w:spacing w:val="0"/>
        </w:rPr>
        <w:t>七、一般公共预算财政拨款“三公”经费支出决算情况说明</w:t>
      </w:r>
      <w:bookmarkEnd w:id="21"/>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2025年度一般公共预算财政拨款“三公”经费支出0万元，与全年预算数持平，与上年决算数持平。具体情况如下：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w:t>
      </w:r>
      <w:r>
        <w:rPr>
          <w:rFonts w:ascii="FangSong_GB2312" w:hAnsi="FangSong_GB2312" w:eastAsia="FangSong_GB2312" w:cs="FangSong_GB2312"/>
          <w:kern w:val="0"/>
          <w:sz w:val="32"/>
          <w:szCs w:val="32"/>
        </w:rPr>
        <w:t>与上年决算数持平。全年安排本部门组织的出国团组0 个，参加其他部门出国团组个；全年因公出国（境）累计0 人次。</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（二）公务用车购置及运行费支出0万元，与全年预算数持平，与上年决算数持平。</w:t>
      </w:r>
      <w:r>
        <w:rPr>
          <w:rFonts w:ascii="FangSong_GB2312" w:hAnsi="FangSong_GB2312" w:eastAsia="FangSong_GB2312" w:cs="FangSong_GB2312"/>
          <w:kern w:val="0"/>
          <w:sz w:val="32"/>
          <w:szCs w:val="32"/>
        </w:rPr>
        <w:t>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公务用车运行费支出0万元，与全年预算数持平，与上年决算数持平。截至2025年12月31日，本部门公务用车保有量为0辆。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（三）公务接待费支出0万元，与全年预算数持平，与上年决算数持平。</w:t>
      </w:r>
      <w:r>
        <w:rPr>
          <w:rFonts w:ascii="FangSong_GB2312" w:hAnsi="FangSong_GB2312" w:eastAsia="FangSong_GB2312" w:cs="FangSong_GB2312"/>
          <w:kern w:val="0"/>
          <w:sz w:val="32"/>
          <w:szCs w:val="32"/>
        </w:rPr>
        <w:t>累计接待0批次、0人次。</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6"/>
      <w:r>
        <w:rPr>
          <w:rFonts w:ascii="黑体" w:hAnsi="黑体" w:eastAsia="黑体" w:cs="黑体"/>
          <w:b w:val="0"/>
          <w:bCs w:val="0"/>
          <w:spacing w:val="0"/>
        </w:rPr>
        <w:t>八、预算绩效情况说明</w:t>
      </w:r>
      <w:bookmarkEnd w:id="22"/>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根据全面实施预算绩效管理要求，本部门组织对2025年度</w:t>
      </w:r>
      <w:r>
        <w:rPr>
          <w:rFonts w:hint="eastAsia" w:ascii="FangSong_GB2312" w:hAnsi="FangSong_GB2312" w:eastAsia="FangSong_GB2312" w:cs="FangSong_GB2312"/>
          <w:spacing w:val="0"/>
          <w:kern w:val="0"/>
          <w:sz w:val="32"/>
          <w:szCs w:val="32"/>
          <w:lang w:val="en-US" w:eastAsia="zh-CN"/>
        </w:rPr>
        <w:t>8</w:t>
      </w:r>
      <w:r>
        <w:rPr>
          <w:rFonts w:ascii="FangSong_GB2312" w:hAnsi="FangSong_GB2312" w:eastAsia="FangSong_GB2312" w:cs="FangSong_GB2312"/>
          <w:spacing w:val="0"/>
          <w:kern w:val="0"/>
          <w:sz w:val="32"/>
          <w:szCs w:val="32"/>
        </w:rPr>
        <w:t>个项目实施单位自评。</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7"/>
      <w:r>
        <w:rPr>
          <w:rFonts w:ascii="黑体" w:hAnsi="黑体" w:eastAsia="黑体" w:cs="黑体"/>
          <w:b w:val="0"/>
          <w:bCs w:val="0"/>
          <w:spacing w:val="0"/>
        </w:rPr>
        <w:t>九、其他重要事项说明</w:t>
      </w:r>
      <w:bookmarkEnd w:id="23"/>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（一）机关运行经费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2025年度机关运行经费支出2.65万元，比上年决算数增加1.04万元，增长64.86%，主要原因是:</w:t>
      </w:r>
      <w:r>
        <w:rPr>
          <w:rFonts w:hint="eastAsia" w:ascii="FangSong_GB2312" w:hAnsi="FangSong_GB2312" w:eastAsia="FangSong_GB2312" w:cs="FangSong_GB2312"/>
          <w:spacing w:val="0"/>
          <w:kern w:val="0"/>
          <w:sz w:val="32"/>
          <w:szCs w:val="32"/>
          <w:lang w:val="en-US" w:eastAsia="zh-CN"/>
        </w:rPr>
        <w:t>根据实际业务支出。</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（二）政府采购情况</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本部门2025年度政府采购支出总额20.77万元，其中：政府采购货物支出0万元、政府采购工程支出0万元、政府采购服务支出20.77万元。授予中小企业合同金额</w:t>
      </w:r>
      <w:r>
        <w:rPr>
          <w:rFonts w:hint="eastAsia" w:ascii="FangSong_GB2312" w:hAnsi="FangSong_GB2312" w:eastAsia="FangSong_GB2312" w:cs="FangSong_GB2312"/>
          <w:spacing w:val="0"/>
          <w:kern w:val="0"/>
          <w:sz w:val="32"/>
          <w:szCs w:val="32"/>
          <w:lang w:val="en-US" w:eastAsia="zh-CN"/>
        </w:rPr>
        <w:t>2</w:t>
      </w:r>
      <w:r>
        <w:rPr>
          <w:rFonts w:ascii="FangSong_GB2312" w:hAnsi="FangSong_GB2312" w:eastAsia="FangSong_GB2312" w:cs="FangSong_GB2312"/>
          <w:spacing w:val="0"/>
          <w:kern w:val="0"/>
          <w:sz w:val="32"/>
          <w:szCs w:val="32"/>
        </w:rPr>
        <w:t>0</w:t>
      </w:r>
      <w:r>
        <w:rPr>
          <w:rFonts w:hint="eastAsia" w:ascii="FangSong_GB2312" w:hAnsi="FangSong_GB2312" w:eastAsia="FangSong_GB2312" w:cs="FangSong_GB2312"/>
          <w:spacing w:val="0"/>
          <w:kern w:val="0"/>
          <w:sz w:val="32"/>
          <w:szCs w:val="32"/>
          <w:lang w:val="en-US" w:eastAsia="zh-CN"/>
        </w:rPr>
        <w:t>.77</w:t>
      </w:r>
      <w:r>
        <w:rPr>
          <w:rFonts w:ascii="FangSong_GB2312" w:hAnsi="FangSong_GB2312" w:eastAsia="FangSong_GB2312" w:cs="FangSong_GB2312"/>
          <w:spacing w:val="0"/>
          <w:kern w:val="0"/>
          <w:sz w:val="32"/>
          <w:szCs w:val="32"/>
        </w:rPr>
        <w:t>万元，占政府采购支出总额的</w:t>
      </w:r>
      <w:r>
        <w:rPr>
          <w:rFonts w:hint="eastAsia" w:ascii="FangSong_GB2312" w:hAnsi="FangSong_GB2312" w:eastAsia="FangSong_GB2312" w:cs="FangSong_GB2312"/>
          <w:spacing w:val="0"/>
          <w:kern w:val="0"/>
          <w:sz w:val="32"/>
          <w:szCs w:val="32"/>
          <w:lang w:val="en-US" w:eastAsia="zh-CN"/>
        </w:rPr>
        <w:t>10</w:t>
      </w:r>
      <w:r>
        <w:rPr>
          <w:rFonts w:ascii="FangSong_GB2312" w:hAnsi="FangSong_GB2312" w:eastAsia="FangSong_GB2312" w:cs="FangSong_GB2312"/>
          <w:spacing w:val="0"/>
          <w:kern w:val="0"/>
          <w:sz w:val="32"/>
          <w:szCs w:val="32"/>
        </w:rPr>
        <w:t>0%，其中：授予小微企业合同金额0万元，占授予中小企业合同金额的0%；货物采购授予中小企业合同金额占货物支出金额的</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spacing w:val="0"/>
          <w:kern w:val="0"/>
          <w:sz w:val="32"/>
          <w:szCs w:val="32"/>
        </w:rPr>
        <w:t>%，工程采购授予中小企业合同金额占工程支出金额的</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spacing w:val="0"/>
          <w:kern w:val="0"/>
          <w:sz w:val="32"/>
          <w:szCs w:val="32"/>
        </w:rPr>
        <w:t>%，服务采购授予中小企业合同金额占服务支出金额的</w:t>
      </w:r>
      <w:r>
        <w:rPr>
          <w:rFonts w:hint="eastAsia" w:ascii="FangSong_GB2312" w:hAnsi="FangSong_GB2312" w:eastAsia="FangSong_GB2312" w:cs="FangSong_GB2312"/>
          <w:spacing w:val="0"/>
          <w:kern w:val="0"/>
          <w:sz w:val="32"/>
          <w:szCs w:val="32"/>
          <w:lang w:val="en-US" w:eastAsia="zh-CN"/>
        </w:rPr>
        <w:t>100</w:t>
      </w:r>
      <w:r>
        <w:rPr>
          <w:rFonts w:ascii="FangSong_GB2312" w:hAnsi="FangSong_GB2312" w:eastAsia="FangSong_GB2312" w:cs="FangSong_GB2312"/>
          <w:spacing w:val="0"/>
          <w:kern w:val="0"/>
          <w:sz w:val="32"/>
          <w:szCs w:val="32"/>
        </w:rPr>
        <w:t>%。</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（三）国有资产占用使用情况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截至2025年12月31日，本部门共有车辆0 辆，其中：副部（省）级以上领导用车0辆、主要负责人用车0辆、机要通信用车0辆、应急保障用车0辆、执法执勤用车0辆、特种专业技术用车0辆、离退休干部服务用车0辆、其他用车0辆；单价100万元（含）以上设备（不含车辆）0台（套）。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sectPr>
          <w:footerReference r:id="rId1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r>
        <w:rPr>
          <w:rFonts w:ascii="Times New Roman" w:hAnsi="Times New Roman" w:eastAsia="Times New Roman" w:cs="Times New Roman"/>
          <w:b/>
          <w:spacing w:val="0"/>
          <w:sz w:val="56"/>
          <w:szCs w:val="56"/>
        </w:rPr>
        <w:t> </w:t>
      </w: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4" w:name="_Toc256000079"/>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名词解释</w:t>
      </w:r>
      <w:bookmarkEnd w:id="24"/>
    </w:p>
    <w:p>
      <w:pPr>
        <w:pStyle w:val="28"/>
        <w:widowControl/>
        <w:spacing w:before="100" w:after="100"/>
        <w:ind w:left="100" w:right="100" w:firstLine="0"/>
        <w:jc w:val="center"/>
        <w:rPr>
          <w:rFonts w:ascii="Times New Roman" w:hAnsi="Times New Roman" w:eastAsia="Times New Roman" w:cs="Times New Roman"/>
          <w:kern w:val="0"/>
          <w:sz w:val="24"/>
        </w:rPr>
      </w:pPr>
    </w:p>
    <w:p>
      <w:pPr>
        <w:sectPr>
          <w:footerReference r:id="rId19"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指单位从本级财政部门取得的财政预算资金，包括一般公共预算财政拨款、政府性基金预算财政拨款和国有资本经营预算财政拨款。</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五、使用非财政拨款结余（含专用结余）</w:t>
      </w:r>
      <w:r>
        <w:rPr>
          <w:rFonts w:ascii="楷体_GB2312" w:hAnsi="楷体_GB2312" w:eastAsia="楷体_GB2312" w:cs="楷体_GB2312"/>
          <w:b/>
          <w:bCs/>
          <w:kern w:val="0"/>
          <w:sz w:val="24"/>
        </w:rPr>
        <w:t>：</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pPr>
        <w:pStyle w:val="28"/>
        <w:widowControl/>
        <w:spacing w:before="240" w:after="240"/>
        <w:ind w:firstLine="643"/>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sectPr>
          <w:footerReference r:id="rId20"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r>
        <w:rPr>
          <w:rFonts w:ascii="宋体" w:hAnsi="宋体" w:eastAsia="宋体" w:cs="宋体"/>
          <w:spacing w:val="0"/>
          <w:kern w:val="0"/>
          <w:sz w:val="56"/>
          <w:szCs w:val="56"/>
        </w:rPr>
        <w:t> </w:t>
      </w: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80"/>
      <w:r>
        <w:rPr>
          <w:rFonts w:ascii="黑体" w:hAnsi="黑体" w:eastAsia="黑体" w:cs="黑体"/>
          <w:b w:val="0"/>
          <w:bCs w:val="0"/>
          <w:spacing w:val="0"/>
          <w:sz w:val="56"/>
          <w:szCs w:val="56"/>
        </w:rPr>
        <w:t>第五部分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附件</w:t>
      </w:r>
      <w:bookmarkEnd w:id="25"/>
    </w:p>
    <w:p>
      <w:pPr>
        <w:pStyle w:val="28"/>
        <w:widowControl/>
        <w:spacing w:before="100" w:after="100"/>
        <w:ind w:left="100" w:right="100" w:firstLine="0"/>
        <w:jc w:val="center"/>
        <w:rPr>
          <w:rFonts w:ascii="Times New Roman" w:hAnsi="Times New Roman" w:eastAsia="Times New Roman" w:cs="Times New Roman"/>
          <w:kern w:val="0"/>
          <w:sz w:val="24"/>
        </w:rPr>
      </w:pPr>
    </w:p>
    <w:p>
      <w:pPr>
        <w:sectPr>
          <w:footerReference r:id="rId21"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一、《项目支出绩效自评表》</w:t>
      </w:r>
    </w:p>
    <w:p>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b/>
          <w:bCs/>
          <w:kern w:val="0"/>
          <w:sz w:val="32"/>
          <w:szCs w:val="32"/>
        </w:rPr>
        <w:t>项目支出绩效自评表</w:t>
      </w:r>
    </w:p>
    <w:p>
      <w:pPr>
        <w:pStyle w:val="28"/>
        <w:widowControl/>
        <w:spacing w:before="240" w:after="240"/>
        <w:jc w:val="center"/>
        <w:rPr>
          <w:rFonts w:ascii="宋体" w:hAnsi="宋体" w:eastAsia="宋体" w:cs="宋体"/>
          <w:kern w:val="0"/>
          <w:sz w:val="22"/>
          <w:szCs w:val="22"/>
        </w:rPr>
      </w:pPr>
      <w:r>
        <w:rPr>
          <w:rFonts w:ascii="宋体" w:hAnsi="宋体" w:eastAsia="宋体" w:cs="宋体"/>
          <w:kern w:val="0"/>
          <w:sz w:val="22"/>
          <w:szCs w:val="22"/>
        </w:rPr>
        <w:t>（2025年度）</w:t>
      </w:r>
    </w:p>
    <w:tbl>
      <w:tblPr>
        <w:tblStyle w:val="19"/>
        <w:tblW w:w="5000" w:type="pct"/>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03"/>
        <w:gridCol w:w="2503"/>
        <w:gridCol w:w="1911"/>
        <w:gridCol w:w="1867"/>
        <w:gridCol w:w="445"/>
        <w:gridCol w:w="431"/>
        <w:gridCol w:w="832"/>
        <w:gridCol w:w="832"/>
        <w:gridCol w:w="1054"/>
        <w:gridCol w:w="1054"/>
        <w:gridCol w:w="330"/>
        <w:gridCol w:w="3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right"/>
        </w:trPr>
        <w:tc>
          <w:tcPr>
            <w:tcW w:w="5000" w:type="pct"/>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5000" w:type="pct"/>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22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2735" w:type="pct"/>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中心户组长补贴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2264" w:type="pct"/>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10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62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104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right"/>
        </w:trPr>
        <w:tc>
          <w:tcPr>
            <w:tcW w:w="2264" w:type="pct"/>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273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中心户组长补贴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jc w:val="right"/>
        </w:trPr>
        <w:tc>
          <w:tcPr>
            <w:tcW w:w="2264" w:type="pct"/>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273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601"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1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3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118.00</w:t>
            </w:r>
          </w:p>
        </w:tc>
        <w:tc>
          <w:tcPr>
            <w:tcW w:w="3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112.88</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112.88</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118.00</w:t>
            </w:r>
          </w:p>
        </w:tc>
        <w:tc>
          <w:tcPr>
            <w:tcW w:w="3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112.88</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112.88</w:t>
            </w:r>
          </w:p>
        </w:tc>
        <w:tc>
          <w:tcPr>
            <w:tcW w:w="313"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272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167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jc w:val="right"/>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724" w:type="pct"/>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开展全区计生政策宣传与服务，引导育龄群众树立新型的生育观念，为提高人口素质，稳定低生育水平做贡献，促进和谐社会建设。</w:t>
            </w:r>
          </w:p>
        </w:tc>
        <w:tc>
          <w:tcPr>
            <w:tcW w:w="1673" w:type="pct"/>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给基层计生协会小组长人，按每人每月120元的标准发放补贴，一年共计112.88万元。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94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7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901"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9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90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协会小组长补贴人次</w:t>
            </w:r>
          </w:p>
        </w:tc>
        <w:tc>
          <w:tcPr>
            <w:tcW w:w="473"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≥3000人次</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9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90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补贴资金覆盖率</w:t>
            </w:r>
          </w:p>
        </w:tc>
        <w:tc>
          <w:tcPr>
            <w:tcW w:w="473"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9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90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补贴支出进度</w:t>
            </w:r>
          </w:p>
        </w:tc>
        <w:tc>
          <w:tcPr>
            <w:tcW w:w="473"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95.66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9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90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财政资金投入</w:t>
            </w:r>
          </w:p>
        </w:tc>
        <w:tc>
          <w:tcPr>
            <w:tcW w:w="473"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≥110万元</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112.88</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9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90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覆盖乡镇街道数</w:t>
            </w:r>
          </w:p>
        </w:tc>
        <w:tc>
          <w:tcPr>
            <w:tcW w:w="473"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9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90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中心户组长满意度</w:t>
            </w:r>
          </w:p>
        </w:tc>
        <w:tc>
          <w:tcPr>
            <w:tcW w:w="473" w:type="pct"/>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3953" w:type="pct"/>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104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1545" w:type="pct"/>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3454" w:type="pct"/>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优（S≧90）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right"/>
        </w:trPr>
        <w:tc>
          <w:tcPr>
            <w:tcW w:w="154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145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95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104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jc w:val="right"/>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9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pPr>
        <w:pStyle w:val="28"/>
        <w:widowControl/>
        <w:spacing w:before="240" w:after="240"/>
        <w:jc w:val="center"/>
        <w:rPr>
          <w:rFonts w:ascii="宋体" w:hAnsi="宋体" w:eastAsia="宋体" w:cs="宋体"/>
          <w:kern w:val="0"/>
          <w:sz w:val="22"/>
          <w:szCs w:val="22"/>
        </w:rPr>
      </w:pPr>
    </w:p>
    <w:p>
      <w:pPr>
        <w:pStyle w:val="28"/>
        <w:widowControl/>
        <w:spacing w:before="240" w:after="240"/>
        <w:jc w:val="center"/>
        <w:rPr>
          <w:rFonts w:ascii="宋体" w:hAnsi="宋体" w:eastAsia="宋体" w:cs="宋体"/>
          <w:kern w:val="0"/>
          <w:sz w:val="22"/>
          <w:szCs w:val="22"/>
        </w:rPr>
      </w:pPr>
    </w:p>
    <w:tbl>
      <w:tblPr>
        <w:tblStyle w:val="1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09"/>
        <w:gridCol w:w="2536"/>
        <w:gridCol w:w="1929"/>
        <w:gridCol w:w="1945"/>
        <w:gridCol w:w="411"/>
        <w:gridCol w:w="410"/>
        <w:gridCol w:w="735"/>
        <w:gridCol w:w="735"/>
        <w:gridCol w:w="1053"/>
        <w:gridCol w:w="1128"/>
        <w:gridCol w:w="308"/>
        <w:gridCol w:w="3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0" w:type="auto"/>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协会会长补贴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协会会长补贴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75.24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开展全区计生政策宣传与服务，引导育龄群众树立新型的生育观念，为提高人口素质，稳定低生育水平做贡献，促进和谐社会建设。</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给基层计生协会副会长209人，按每人每月300元的标准发放补贴，一年共计75.24万元。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协会会长补贴人次</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会长补贴符合率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补贴支出进度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财政资金投入</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根据实际人数支出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覆盖乡镇街道数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会长满意度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0" w:type="auto"/>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优（S≧90）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pPr>
        <w:pStyle w:val="28"/>
        <w:widowControl/>
        <w:spacing w:before="240" w:after="240"/>
        <w:jc w:val="center"/>
        <w:rPr>
          <w:rFonts w:ascii="宋体" w:hAnsi="宋体" w:eastAsia="宋体" w:cs="宋体"/>
          <w:kern w:val="0"/>
          <w:sz w:val="22"/>
          <w:szCs w:val="22"/>
        </w:rPr>
      </w:pPr>
    </w:p>
    <w:tbl>
      <w:tblPr>
        <w:tblStyle w:val="1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2"/>
        <w:gridCol w:w="1174"/>
        <w:gridCol w:w="965"/>
        <w:gridCol w:w="1483"/>
        <w:gridCol w:w="782"/>
        <w:gridCol w:w="664"/>
        <w:gridCol w:w="1355"/>
        <w:gridCol w:w="1355"/>
        <w:gridCol w:w="1320"/>
        <w:gridCol w:w="1532"/>
        <w:gridCol w:w="802"/>
        <w:gridCol w:w="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0" w:type="auto"/>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生育关怀专项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生育关怀专项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45.92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45.92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保证生育关怀行动专项资金专款专用切实发挥效益，帮助实行计划生育的群众和计生工作者解决实际困难。</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主要为548户计划生育特殊家庭送去区级“母亲节”慰问金共计18.4万元等，让计生特殊家庭成员感受到党的温暖。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母亲节慰问和紧急救助等符合条件对象次数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补助资金覆盖率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支付进度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财政投入</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受益人数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计生家庭满意度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0" w:type="auto"/>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优（S≧90）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0" w:type="auto"/>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计生家庭慰问费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计生家庭慰问费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90.57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90.57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开展全区计生政策宣传与服务，引导育龄群众树立新型的生育观念，为提高人口素质，稳定低生育水平做贡献，促进和谐社会建设。</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2025年，晋安区计划生育协会为315户计划生育特殊家庭送去区级“元旦、春节”慰问金共计31.7万元，让计生特殊家庭成员感受到党的温暖。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慰问人数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慰问资金覆盖率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慰问支出进度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财政资金投入</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覆盖乡镇街道数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按比例分配市、区两级慰问资金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计生家庭满意度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0" w:type="auto"/>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良（90&gt;S≧80）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资金管理问题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分配2025年“元旦春节”慰问资金时，优先分配市级资金给乡镇，剩余的乡镇再使用区级资金。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按比例分配市、区两级的“元旦春节”慰问资金给9个乡镇，确保全区计生特殊家庭慰问工作的全覆盖。</w:t>
            </w:r>
          </w:p>
        </w:tc>
      </w:tr>
    </w:tbl>
    <w:p>
      <w:pPr>
        <w:pStyle w:val="28"/>
        <w:widowControl/>
        <w:spacing w:before="240" w:after="240"/>
        <w:jc w:val="center"/>
        <w:rPr>
          <w:rFonts w:ascii="宋体" w:hAnsi="宋体" w:eastAsia="宋体" w:cs="宋体"/>
          <w:kern w:val="0"/>
          <w:sz w:val="22"/>
          <w:szCs w:val="22"/>
        </w:rPr>
      </w:pPr>
    </w:p>
    <w:tbl>
      <w:tblPr>
        <w:tblStyle w:val="1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2"/>
        <w:gridCol w:w="1276"/>
        <w:gridCol w:w="998"/>
        <w:gridCol w:w="1372"/>
        <w:gridCol w:w="685"/>
        <w:gridCol w:w="671"/>
        <w:gridCol w:w="1539"/>
        <w:gridCol w:w="1539"/>
        <w:gridCol w:w="1282"/>
        <w:gridCol w:w="1439"/>
        <w:gridCol w:w="731"/>
        <w:gridCol w:w="7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0" w:type="auto"/>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计生家庭保险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计生家庭保险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开展全区计生政策宣传与服务，引导育龄群众树立新型的生育观念，为提高人口素质，稳定低生育水平做贡献，促进和谐社会建设。</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为计生特殊家庭成员903人，按每人230元的标准购买住院护理保险，共计20.77万元。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计生保险人数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开展各类宣传服务活动</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政府采购率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资金支出进度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按实际人数进行投保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区级资金投入情况</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乡镇街道覆盖数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计生家庭满意度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0" w:type="auto"/>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0" w:type="auto"/>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优（S≧90）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0" w:type="auto"/>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2025年市级“六项任务及生育关怀行动”部分专项经费（榕财社指〔2025〕54号）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2025年市级“六项任务及生育关怀行动”部分专项经费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97.22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97.22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通过开展生育关怀行动，将党和政府的关怀、温暖送到计生困难群众的心坎上，提高他们的幸福感和获得感。</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2025年，晋安区计划生育协会为277户计划生育特殊家庭送去市级“元旦、春节”慰问金共计28万元，让计生特殊家庭成员感受到党的温暖。资助1名困难学子5000元助学金、为计生特殊家庭开展暖心家园活动6场。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受益人口数量</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计量单位填写错误，应为元/人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帮扶对象政策符合率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下达指标转移文件时间</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元旦春节慰问计生困难家庭发放标准</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覆盖乡镇街道数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受益对象满意度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0" w:type="auto"/>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中（80&gt;S≧60）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项目立项问题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反映2025年闽都助学项目完成后受益人口实值与目标比较的情况的计量单位填写错误，应为元/人。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填报反映2025年闽都助学项目完成后受益人口实值与目标比较的情况的计量单位应为元/人。</w:t>
            </w:r>
          </w:p>
        </w:tc>
      </w:tr>
    </w:tbl>
    <w:p>
      <w:pPr>
        <w:pStyle w:val="28"/>
        <w:widowControl/>
        <w:spacing w:before="240" w:after="240"/>
        <w:jc w:val="center"/>
        <w:rPr>
          <w:rFonts w:ascii="宋体" w:hAnsi="宋体" w:eastAsia="宋体" w:cs="宋体"/>
          <w:kern w:val="0"/>
          <w:sz w:val="22"/>
          <w:szCs w:val="22"/>
        </w:rPr>
      </w:pPr>
    </w:p>
    <w:tbl>
      <w:tblPr>
        <w:tblStyle w:val="1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3"/>
        <w:gridCol w:w="1188"/>
        <w:gridCol w:w="1083"/>
        <w:gridCol w:w="1476"/>
        <w:gridCol w:w="595"/>
        <w:gridCol w:w="565"/>
        <w:gridCol w:w="1160"/>
        <w:gridCol w:w="1219"/>
        <w:gridCol w:w="931"/>
        <w:gridCol w:w="1050"/>
        <w:gridCol w:w="27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0" w:type="auto"/>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2024年度六项任务及生育关怀行动专项经费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2024年度六项任务及生育关怀行动专项经费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加强宣传教育，推荐基层青春健康和健康知识进万家项目工作。</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1.99万元用于开展茶园街道计生协宣传教育活动3场。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开展群众性宣传教育服务活动</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文化阵地场所</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资金使用进度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区财政资金紧张活动已完成，资金未支出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财政资金投入金额</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区财政资金紧张活动已完成，资金未支出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乡镇街道覆盖数</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参加家庭健康培训人员满意度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0" w:type="auto"/>
            <w:gridSpan w:val="9"/>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中（80&gt;S≧60）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资金管理问题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按照文件要求宣传活动已全部完成，因区财政资金紧张，项目资金未支出</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按照文件要求宣传活动已全部完成，因区财政资金紧张，项目资金未支出，持续与区财政局联系沟通</w:t>
            </w:r>
          </w:p>
        </w:tc>
      </w:tr>
    </w:tbl>
    <w:p>
      <w:pPr>
        <w:pStyle w:val="28"/>
        <w:widowControl/>
        <w:spacing w:before="240" w:after="240"/>
        <w:jc w:val="both"/>
        <w:rPr>
          <w:rFonts w:ascii="宋体" w:hAnsi="宋体" w:eastAsia="宋体" w:cs="宋体"/>
          <w:kern w:val="0"/>
          <w:sz w:val="22"/>
          <w:szCs w:val="22"/>
        </w:rPr>
      </w:pPr>
    </w:p>
    <w:tbl>
      <w:tblPr>
        <w:tblStyle w:val="1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72"/>
        <w:gridCol w:w="2427"/>
        <w:gridCol w:w="1953"/>
        <w:gridCol w:w="1947"/>
        <w:gridCol w:w="425"/>
        <w:gridCol w:w="424"/>
        <w:gridCol w:w="652"/>
        <w:gridCol w:w="652"/>
        <w:gridCol w:w="1116"/>
        <w:gridCol w:w="1114"/>
        <w:gridCol w:w="312"/>
        <w:gridCol w:w="3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专项资金绩效自评表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0" w:type="auto"/>
            <w:gridSpan w:val="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2024年度“六项任务及生育关怀行动”专项资金（榕财社指［2024］42号）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项目概况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2024年度“六项任务及生育关怀行动”专项资金 榕财社指{2024}42号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0" w:type="auto"/>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主要成效</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其中：当年财政拨款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通过开展生育关怀行动，将党和政府的关怀、温暖送到计生困难的心坎上，提高他们的幸福感和获得感。</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为计生特殊家庭购买暖心家园服务6场。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暖心家园服务企业</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服务群众政策符合率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支付资金时间</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暖心家园项目服务金额</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特殊家庭覆盖率</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受益对象满意度</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8"/>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0" w:type="auto"/>
            <w:gridSpan w:val="10"/>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优（S≧90）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问题与建议（每条问题和建议不少于30个字）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问题类型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存在问题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改进建议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pPr>
        <w:rPr>
          <w:rFonts w:ascii="宋体" w:hAnsi="宋体" w:eastAsia="宋体" w:cs="宋体"/>
          <w:kern w:val="0"/>
          <w:sz w:val="22"/>
          <w:szCs w:val="22"/>
        </w:rPr>
        <w:sectPr>
          <w:footerReference r:id="rId22" w:type="default"/>
          <w:pgSz w:w="16838" w:h="11906" w:orient="landscape"/>
          <w:pgMar w:top="856" w:right="1984" w:bottom="1083" w:left="1871" w:header="0" w:footer="720" w:gutter="0"/>
          <w:cols w:space="0" w:num="1"/>
          <w:rtlGutter w:val="0"/>
          <w:docGrid w:type="lines" w:linePitch="317" w:charSpace="0"/>
        </w:sectPr>
      </w:pPr>
    </w:p>
    <w:p>
      <w:pPr>
        <w:pStyle w:val="28"/>
        <w:widowControl/>
        <w:spacing w:before="240" w:after="240"/>
        <w:jc w:val="both"/>
        <w:rPr>
          <w:rFonts w:ascii="宋体" w:hAnsi="宋体" w:eastAsia="宋体" w:cs="宋体"/>
          <w:kern w:val="0"/>
          <w:sz w:val="22"/>
          <w:szCs w:val="22"/>
        </w:rPr>
      </w:pPr>
    </w:p>
    <w:p>
      <w:pPr>
        <w:pStyle w:val="28"/>
        <w:widowControl/>
        <w:spacing w:before="240" w:after="240"/>
        <w:jc w:val="center"/>
        <w:rPr>
          <w:rFonts w:ascii="宋体" w:hAnsi="宋体" w:eastAsia="宋体" w:cs="宋体"/>
          <w:kern w:val="0"/>
          <w:sz w:val="22"/>
          <w:szCs w:val="22"/>
        </w:rPr>
      </w:pPr>
    </w:p>
    <w:p>
      <w:pPr>
        <w:pStyle w:val="30"/>
        <w:widowControl/>
        <w:numPr>
          <w:ilvl w:val="0"/>
          <w:numId w:val="1"/>
        </w:numPr>
        <w:spacing w:before="240" w:after="240" w:line="560" w:lineRule="atLeast"/>
        <w:ind w:firstLine="640"/>
        <w:jc w:val="left"/>
        <w:rPr>
          <w:rFonts w:ascii="黑体" w:hAnsi="黑体" w:eastAsia="黑体" w:cs="黑体"/>
          <w:kern w:val="0"/>
          <w:sz w:val="32"/>
          <w:szCs w:val="32"/>
        </w:rPr>
      </w:pPr>
      <w:r>
        <w:rPr>
          <w:rFonts w:ascii="黑体" w:hAnsi="黑体" w:eastAsia="黑体" w:cs="黑体"/>
          <w:kern w:val="0"/>
          <w:sz w:val="32"/>
          <w:szCs w:val="32"/>
        </w:rPr>
        <w:t>《项目支出绩效评价报告》</w:t>
      </w: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2025年市级“六项任务及生育关怀行动”部分专项经费（榕财社指〔2025〕54号）</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2025年市级“六项任务及生育关怀行动”部分专项经费</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hint="default" w:ascii="仿宋" w:hAnsi="仿宋" w:eastAsia="仿宋"/>
          <w:sz w:val="32"/>
          <w:szCs w:val="32"/>
          <w:lang w:val="en-US" w:eastAsia="zh-CN"/>
        </w:rPr>
      </w:pPr>
      <w:r>
        <w:rPr>
          <w:rFonts w:hint="eastAsia" w:ascii="仿宋" w:hAnsi="仿宋" w:eastAsia="仿宋"/>
          <w:sz w:val="32"/>
          <w:szCs w:val="32"/>
          <w:lang w:val="en-US" w:eastAsia="zh-CN"/>
        </w:rPr>
        <w:t>完成元旦春节慰问发放等工作。</w:t>
      </w: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77分，等级为中，设置绩效目标6个，实际完成5个，具体情况如下：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1)元旦春节慰问计生困难家庭发放标准</w:t>
      </w:r>
      <w:r>
        <w:rPr>
          <w:rFonts w:ascii="仿宋" w:hAnsi="仿宋" w:eastAsia="仿宋" w:cs="仿宋"/>
          <w:sz w:val="32"/>
        </w:rPr>
        <w:t>(元)，目标值1000，完成值1000，分值10，得分10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1)受益人口数量</w:t>
      </w:r>
      <w:r>
        <w:rPr>
          <w:rFonts w:ascii="仿宋" w:hAnsi="仿宋" w:eastAsia="仿宋" w:cs="仿宋"/>
          <w:sz w:val="32"/>
        </w:rPr>
        <w:t>(人)，目标值5000，完成值1，分值20，得分0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1)帮扶对象政策符合率</w:t>
      </w:r>
      <w:r>
        <w:rPr>
          <w:rFonts w:ascii="仿宋" w:hAnsi="仿宋" w:eastAsia="仿宋" w:cs="仿宋"/>
          <w:sz w:val="32"/>
        </w:rPr>
        <w:t>(%)，目标值100，完成值100，分值10，得分10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1)下达指标转移文件时间</w:t>
      </w:r>
      <w:r>
        <w:rPr>
          <w:rFonts w:ascii="仿宋" w:hAnsi="仿宋" w:eastAsia="仿宋" w:cs="仿宋"/>
          <w:sz w:val="32"/>
        </w:rPr>
        <w:t>(月)，目标值12，完成值12，分值10，得分10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1)覆盖乡镇街道数</w:t>
      </w:r>
      <w:r>
        <w:rPr>
          <w:rFonts w:ascii="仿宋" w:hAnsi="仿宋" w:eastAsia="仿宋" w:cs="仿宋"/>
          <w:sz w:val="32"/>
        </w:rPr>
        <w:t>(个)，目标值3，完成值6，分值30，得分30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1)受益对象满意度</w:t>
      </w:r>
      <w:r>
        <w:rPr>
          <w:rFonts w:ascii="仿宋" w:hAnsi="仿宋" w:eastAsia="仿宋" w:cs="仿宋"/>
          <w:sz w:val="32"/>
        </w:rPr>
        <w:t>(%)，目标值90，完成值100，分值10，得分10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ascii="黑体" w:hAnsi="黑体" w:eastAsia="黑体" w:cs="仿宋"/>
          <w:kern w:val="0"/>
          <w:sz w:val="32"/>
          <w:szCs w:val="32"/>
        </w:rPr>
      </w:pPr>
      <w:r>
        <w:rPr>
          <w:rFonts w:hint="eastAsia" w:ascii="仿宋" w:hAnsi="仿宋" w:eastAsia="仿宋"/>
          <w:b/>
          <w:sz w:val="32"/>
          <w:szCs w:val="32"/>
        </w:rPr>
        <w:t>（一）主要问题</w:t>
      </w:r>
    </w:p>
    <w:p>
      <w:pPr>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反映2025年闽都助学项目完成后受益人口实值与目标比较的情况的计量单位填写错误，应为元/人。</w:t>
      </w:r>
    </w:p>
    <w:p>
      <w:pPr>
        <w:ind w:firstLine="630" w:firstLineChars="196"/>
        <w:rPr>
          <w:rFonts w:ascii="黑体" w:hAnsi="黑体" w:eastAsia="黑体" w:cs="仿宋"/>
          <w:kern w:val="0"/>
          <w:sz w:val="32"/>
          <w:szCs w:val="32"/>
        </w:rPr>
      </w:pPr>
      <w:r>
        <w:rPr>
          <w:rFonts w:hint="eastAsia" w:ascii="仿宋" w:hAnsi="仿宋" w:eastAsia="仿宋"/>
          <w:b/>
          <w:sz w:val="32"/>
          <w:szCs w:val="32"/>
        </w:rPr>
        <w:t>（二）改进措施</w:t>
      </w:r>
    </w:p>
    <w:p>
      <w:pPr>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填报反映2025年闽都助学项目完成后受益人口实值与目标比较的情况的计量单位应为元/人。</w:t>
      </w:r>
    </w:p>
    <w:p>
      <w:pPr>
        <w:ind w:firstLine="420"/>
        <w:jc w:val="center"/>
        <w:rPr>
          <w:rFonts w:hint="eastAsia" w:ascii="宋体" w:hAnsi="宋体" w:cs="仿宋"/>
          <w:b/>
          <w:sz w:val="44"/>
          <w:szCs w:val="44"/>
        </w:rPr>
      </w:pPr>
    </w:p>
    <w:p>
      <w:pPr>
        <w:ind w:firstLine="420"/>
        <w:jc w:val="center"/>
        <w:rPr>
          <w:rFonts w:hint="eastAsia" w:ascii="宋体" w:hAnsi="宋体" w:cs="仿宋"/>
          <w:b/>
          <w:sz w:val="44"/>
          <w:szCs w:val="44"/>
        </w:rPr>
      </w:pPr>
    </w:p>
    <w:p>
      <w:pPr>
        <w:ind w:firstLine="420"/>
        <w:jc w:val="center"/>
        <w:rPr>
          <w:rFonts w:hint="eastAsia" w:ascii="宋体" w:hAnsi="宋体" w:cs="仿宋"/>
          <w:b/>
          <w:sz w:val="44"/>
          <w:szCs w:val="44"/>
        </w:rPr>
      </w:pP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中心户组长补贴</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中心户组长补贴</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hint="eastAsia" w:ascii="仿宋" w:hAnsi="仿宋" w:eastAsia="仿宋"/>
          <w:sz w:val="32"/>
          <w:szCs w:val="32"/>
          <w:lang w:val="en-US" w:eastAsia="zh-CN"/>
        </w:rPr>
      </w:pPr>
      <w:r>
        <w:rPr>
          <w:rFonts w:hint="eastAsia" w:ascii="仿宋_GB2312" w:hAnsi="仿宋_GB2312" w:eastAsia="仿宋_GB2312" w:cs="仿宋_GB2312"/>
          <w:sz w:val="32"/>
          <w:lang w:val="en-US" w:eastAsia="zh-CN"/>
        </w:rPr>
        <w:t>对村（社区）</w:t>
      </w:r>
      <w:r>
        <w:rPr>
          <w:rFonts w:ascii="仿宋_GB2312" w:hAnsi="仿宋_GB2312" w:eastAsia="仿宋_GB2312" w:cs="仿宋_GB2312"/>
          <w:sz w:val="32"/>
        </w:rPr>
        <w:t>协会小组长补贴人次</w:t>
      </w:r>
      <w:r>
        <w:rPr>
          <w:rFonts w:hint="eastAsia" w:ascii="仿宋" w:hAnsi="仿宋" w:eastAsia="仿宋" w:cs="仿宋"/>
          <w:sz w:val="32"/>
          <w:lang w:val="en-US" w:eastAsia="zh-CN"/>
        </w:rPr>
        <w:t>发放</w:t>
      </w: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1)财政资金投入</w:t>
      </w:r>
      <w:r>
        <w:rPr>
          <w:rFonts w:ascii="仿宋" w:hAnsi="仿宋" w:eastAsia="仿宋" w:cs="仿宋"/>
          <w:sz w:val="32"/>
        </w:rPr>
        <w:t>(万元)，目标值110，完成值112.88，分值10，得分10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1)协会小组长补贴人次</w:t>
      </w:r>
      <w:r>
        <w:rPr>
          <w:rFonts w:ascii="仿宋" w:hAnsi="仿宋" w:eastAsia="仿宋" w:cs="仿宋"/>
          <w:sz w:val="32"/>
        </w:rPr>
        <w:t>(人次)，目标值3000，完成值3136，分值20，得分20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1)补贴资金覆盖率</w:t>
      </w:r>
      <w:r>
        <w:rPr>
          <w:rFonts w:ascii="仿宋" w:hAnsi="仿宋" w:eastAsia="仿宋" w:cs="仿宋"/>
          <w:sz w:val="32"/>
        </w:rPr>
        <w:t>(%)，目标值90，完成值90，分值10，得分10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1)补贴支出进度</w:t>
      </w:r>
      <w:r>
        <w:rPr>
          <w:rFonts w:ascii="仿宋" w:hAnsi="仿宋" w:eastAsia="仿宋" w:cs="仿宋"/>
          <w:sz w:val="32"/>
        </w:rPr>
        <w:t>(%)，目标值90，完成值95.66，分值10，得分10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1)覆盖乡镇街道数</w:t>
      </w:r>
      <w:r>
        <w:rPr>
          <w:rFonts w:ascii="仿宋" w:hAnsi="仿宋" w:eastAsia="仿宋" w:cs="仿宋"/>
          <w:sz w:val="32"/>
        </w:rPr>
        <w:t>(个)，目标值9，完成值9，分值30，得分30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1)中心户组长满意度</w:t>
      </w:r>
      <w:r>
        <w:rPr>
          <w:rFonts w:ascii="仿宋" w:hAnsi="仿宋" w:eastAsia="仿宋" w:cs="仿宋"/>
          <w:sz w:val="32"/>
        </w:rPr>
        <w:t>(%)，目标值90，完成值90，分值10，得分10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hint="default" w:ascii="黑体" w:hAnsi="黑体" w:eastAsia="仿宋" w:cs="仿宋"/>
          <w:kern w:val="0"/>
          <w:sz w:val="32"/>
          <w:szCs w:val="32"/>
          <w:lang w:val="en-US" w:eastAsia="zh-CN"/>
        </w:rPr>
      </w:pPr>
      <w:r>
        <w:rPr>
          <w:rFonts w:hint="eastAsia" w:ascii="仿宋" w:hAnsi="仿宋" w:eastAsia="仿宋"/>
          <w:b/>
          <w:sz w:val="32"/>
          <w:szCs w:val="32"/>
        </w:rPr>
        <w:t>（一）主要问题</w:t>
      </w:r>
      <w:r>
        <w:rPr>
          <w:rFonts w:hint="eastAsia" w:ascii="仿宋" w:hAnsi="仿宋" w:eastAsia="仿宋"/>
          <w:b/>
          <w:sz w:val="32"/>
          <w:szCs w:val="32"/>
          <w:lang w:eastAsia="zh-CN"/>
        </w:rPr>
        <w:t>：</w:t>
      </w:r>
      <w:r>
        <w:rPr>
          <w:rFonts w:hint="eastAsia" w:ascii="仿宋" w:hAnsi="仿宋" w:eastAsia="仿宋"/>
          <w:b/>
          <w:sz w:val="32"/>
          <w:szCs w:val="32"/>
          <w:lang w:val="en-US" w:eastAsia="zh-CN"/>
        </w:rPr>
        <w:t>无</w:t>
      </w:r>
    </w:p>
    <w:p>
      <w:pPr>
        <w:ind w:firstLine="630" w:firstLineChars="196"/>
        <w:rPr>
          <w:rFonts w:hint="default" w:ascii="黑体" w:hAnsi="黑体" w:eastAsia="仿宋" w:cs="仿宋"/>
          <w:kern w:val="0"/>
          <w:sz w:val="32"/>
          <w:szCs w:val="32"/>
          <w:lang w:val="en-US" w:eastAsia="zh-CN"/>
        </w:rPr>
      </w:pPr>
      <w:r>
        <w:rPr>
          <w:rFonts w:hint="eastAsia" w:ascii="仿宋" w:hAnsi="仿宋" w:eastAsia="仿宋"/>
          <w:b/>
          <w:sz w:val="32"/>
          <w:szCs w:val="32"/>
        </w:rPr>
        <w:t>（二）改进措施</w:t>
      </w:r>
      <w:r>
        <w:rPr>
          <w:rFonts w:hint="eastAsia" w:ascii="仿宋" w:hAnsi="仿宋" w:eastAsia="仿宋"/>
          <w:b/>
          <w:sz w:val="32"/>
          <w:szCs w:val="32"/>
          <w:lang w:eastAsia="zh-CN"/>
        </w:rPr>
        <w:t>：</w:t>
      </w:r>
      <w:r>
        <w:rPr>
          <w:rFonts w:hint="eastAsia" w:ascii="仿宋" w:hAnsi="仿宋" w:eastAsia="仿宋"/>
          <w:b/>
          <w:sz w:val="32"/>
          <w:szCs w:val="32"/>
          <w:lang w:val="en-US" w:eastAsia="zh-CN"/>
        </w:rPr>
        <w:t>无</w:t>
      </w: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协会会长补贴</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协会会长补贴</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ascii="仿宋" w:hAnsi="仿宋" w:eastAsia="仿宋"/>
          <w:sz w:val="32"/>
          <w:szCs w:val="32"/>
        </w:rPr>
      </w:pPr>
      <w:r>
        <w:rPr>
          <w:rFonts w:hint="eastAsia" w:ascii="仿宋_GB2312" w:hAnsi="仿宋_GB2312" w:eastAsia="仿宋_GB2312" w:cs="仿宋_GB2312"/>
          <w:sz w:val="32"/>
          <w:lang w:val="en-US" w:eastAsia="zh-CN"/>
        </w:rPr>
        <w:t>对村（社区）</w:t>
      </w:r>
      <w:r>
        <w:rPr>
          <w:rFonts w:ascii="仿宋_GB2312" w:hAnsi="仿宋_GB2312" w:eastAsia="仿宋_GB2312" w:cs="仿宋_GB2312"/>
          <w:sz w:val="32"/>
        </w:rPr>
        <w:t>协会</w:t>
      </w:r>
      <w:r>
        <w:rPr>
          <w:rFonts w:hint="eastAsia" w:ascii="仿宋_GB2312" w:hAnsi="仿宋_GB2312" w:eastAsia="仿宋_GB2312" w:cs="仿宋_GB2312"/>
          <w:sz w:val="32"/>
          <w:lang w:val="en-US" w:eastAsia="zh-CN"/>
        </w:rPr>
        <w:t>会长</w:t>
      </w:r>
      <w:r>
        <w:rPr>
          <w:rFonts w:ascii="仿宋_GB2312" w:hAnsi="仿宋_GB2312" w:eastAsia="仿宋_GB2312" w:cs="仿宋_GB2312"/>
          <w:sz w:val="32"/>
        </w:rPr>
        <w:t>补贴人次</w:t>
      </w:r>
      <w:r>
        <w:rPr>
          <w:rFonts w:hint="eastAsia" w:ascii="仿宋" w:hAnsi="仿宋" w:eastAsia="仿宋" w:cs="仿宋"/>
          <w:sz w:val="32"/>
          <w:lang w:val="en-US" w:eastAsia="zh-CN"/>
        </w:rPr>
        <w:t>发放</w:t>
      </w: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99.4分，等级为优，设置绩效目标6个，实际完成5个，具体情况如下：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1)财政资金投入</w:t>
      </w:r>
      <w:r>
        <w:rPr>
          <w:rFonts w:ascii="仿宋" w:hAnsi="仿宋" w:eastAsia="仿宋" w:cs="仿宋"/>
          <w:sz w:val="32"/>
        </w:rPr>
        <w:t>(万元)，目标值80，完成值75.24，分值10，得分9.4</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1)协会会长补贴人次</w:t>
      </w:r>
      <w:r>
        <w:rPr>
          <w:rFonts w:ascii="仿宋" w:hAnsi="仿宋" w:eastAsia="仿宋" w:cs="仿宋"/>
          <w:sz w:val="32"/>
        </w:rPr>
        <w:t>(人次)，目标值700，完成值836，分值20，得分20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1)会长补贴符合率</w:t>
      </w:r>
      <w:r>
        <w:rPr>
          <w:rFonts w:ascii="仿宋" w:hAnsi="仿宋" w:eastAsia="仿宋" w:cs="仿宋"/>
          <w:sz w:val="32"/>
        </w:rPr>
        <w:t>(%)，目标值100，完成值100，分值10，得分10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1)补贴支出进度</w:t>
      </w:r>
      <w:r>
        <w:rPr>
          <w:rFonts w:ascii="仿宋" w:hAnsi="仿宋" w:eastAsia="仿宋" w:cs="仿宋"/>
          <w:sz w:val="32"/>
        </w:rPr>
        <w:t>(%)，目标值90，完成值94，分值10，得分10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1)覆盖乡镇街道数</w:t>
      </w:r>
      <w:r>
        <w:rPr>
          <w:rFonts w:ascii="仿宋" w:hAnsi="仿宋" w:eastAsia="仿宋" w:cs="仿宋"/>
          <w:sz w:val="32"/>
        </w:rPr>
        <w:t>(个)，目标值9，完成值9，分值30，得分30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1)会长满意度</w:t>
      </w:r>
      <w:r>
        <w:rPr>
          <w:rFonts w:ascii="仿宋" w:hAnsi="仿宋" w:eastAsia="仿宋" w:cs="仿宋"/>
          <w:sz w:val="32"/>
        </w:rPr>
        <w:t>(%)，目标值90，完成值90，分值10，得分10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hint="default" w:ascii="黑体" w:hAnsi="黑体" w:eastAsia="仿宋" w:cs="仿宋"/>
          <w:kern w:val="0"/>
          <w:sz w:val="32"/>
          <w:szCs w:val="32"/>
          <w:lang w:val="en-US" w:eastAsia="zh-CN"/>
        </w:rPr>
      </w:pPr>
      <w:r>
        <w:rPr>
          <w:rFonts w:hint="eastAsia" w:ascii="仿宋" w:hAnsi="仿宋" w:eastAsia="仿宋"/>
          <w:b/>
          <w:sz w:val="32"/>
          <w:szCs w:val="32"/>
        </w:rPr>
        <w:t>（一）主要问题</w:t>
      </w:r>
      <w:r>
        <w:rPr>
          <w:rFonts w:hint="eastAsia" w:ascii="仿宋" w:hAnsi="仿宋" w:eastAsia="仿宋"/>
          <w:b/>
          <w:sz w:val="32"/>
          <w:szCs w:val="32"/>
          <w:lang w:eastAsia="zh-CN"/>
        </w:rPr>
        <w:t>：</w:t>
      </w:r>
      <w:r>
        <w:rPr>
          <w:rFonts w:hint="eastAsia" w:ascii="仿宋" w:hAnsi="仿宋" w:eastAsia="仿宋"/>
          <w:b/>
          <w:sz w:val="32"/>
          <w:szCs w:val="32"/>
          <w:lang w:val="en-US" w:eastAsia="zh-CN"/>
        </w:rPr>
        <w:t>无</w:t>
      </w:r>
    </w:p>
    <w:p>
      <w:pPr>
        <w:ind w:firstLine="630" w:firstLineChars="196"/>
        <w:rPr>
          <w:rFonts w:hint="eastAsia" w:ascii="仿宋" w:hAnsi="仿宋" w:eastAsia="仿宋"/>
          <w:b/>
          <w:sz w:val="32"/>
          <w:szCs w:val="32"/>
          <w:lang w:val="en-US" w:eastAsia="zh-CN"/>
        </w:rPr>
      </w:pPr>
      <w:r>
        <w:rPr>
          <w:rFonts w:hint="eastAsia" w:ascii="仿宋" w:hAnsi="仿宋" w:eastAsia="仿宋"/>
          <w:b/>
          <w:sz w:val="32"/>
          <w:szCs w:val="32"/>
        </w:rPr>
        <w:t>（二）改进措施</w:t>
      </w:r>
      <w:r>
        <w:rPr>
          <w:rFonts w:hint="eastAsia" w:ascii="仿宋" w:hAnsi="仿宋" w:eastAsia="仿宋"/>
          <w:b/>
          <w:sz w:val="32"/>
          <w:szCs w:val="32"/>
          <w:lang w:eastAsia="zh-CN"/>
        </w:rPr>
        <w:t>：</w:t>
      </w:r>
      <w:r>
        <w:rPr>
          <w:rFonts w:hint="eastAsia" w:ascii="仿宋" w:hAnsi="仿宋" w:eastAsia="仿宋"/>
          <w:b/>
          <w:sz w:val="32"/>
          <w:szCs w:val="32"/>
          <w:lang w:val="en-US" w:eastAsia="zh-CN"/>
        </w:rPr>
        <w:t>无</w:t>
      </w: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2024年度六项任务及生育关怀行动专项经费</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2024年度六项任务及生育关怀行动专项经费</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ascii="仿宋" w:hAnsi="仿宋" w:eastAsia="仿宋"/>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77.01分，等级为中，设置绩效目标6个，实际完成4个，具体情况如下：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1)财政资金投入金额</w:t>
      </w:r>
      <w:r>
        <w:rPr>
          <w:rFonts w:ascii="仿宋" w:hAnsi="仿宋" w:eastAsia="仿宋" w:cs="仿宋"/>
          <w:sz w:val="32"/>
        </w:rPr>
        <w:t>(万元)，目标值6，完成值1.99，分值10，得分3.32</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1)开展群众性宣传教育服务活动</w:t>
      </w:r>
      <w:r>
        <w:rPr>
          <w:rFonts w:ascii="仿宋" w:hAnsi="仿宋" w:eastAsia="仿宋" w:cs="仿宋"/>
          <w:sz w:val="32"/>
        </w:rPr>
        <w:t>(场)，目标值2，完成值3，分值20，得分20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1)文化阵地场所</w:t>
      </w:r>
      <w:r>
        <w:rPr>
          <w:rFonts w:ascii="仿宋" w:hAnsi="仿宋" w:eastAsia="仿宋" w:cs="仿宋"/>
          <w:sz w:val="32"/>
        </w:rPr>
        <w:t>(个)，目标值1，完成值1，分值10，得分10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1)资金使用进度</w:t>
      </w:r>
      <w:r>
        <w:rPr>
          <w:rFonts w:ascii="仿宋" w:hAnsi="仿宋" w:eastAsia="仿宋" w:cs="仿宋"/>
          <w:sz w:val="32"/>
        </w:rPr>
        <w:t>(%)，目标值90，完成值33.17，分值10，得分3.69</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1)乡镇街道覆盖数</w:t>
      </w:r>
      <w:r>
        <w:rPr>
          <w:rFonts w:ascii="仿宋" w:hAnsi="仿宋" w:eastAsia="仿宋" w:cs="仿宋"/>
          <w:sz w:val="32"/>
        </w:rPr>
        <w:t>(个)，目标值1，完成值1，分值30，得分30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1)参加家庭健康培训人员满意度</w:t>
      </w:r>
      <w:r>
        <w:rPr>
          <w:rFonts w:ascii="仿宋" w:hAnsi="仿宋" w:eastAsia="仿宋" w:cs="仿宋"/>
          <w:sz w:val="32"/>
        </w:rPr>
        <w:t>(%)，目标值90，完成值90，分值10，得分10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ascii="黑体" w:hAnsi="黑体" w:eastAsia="黑体" w:cs="仿宋"/>
          <w:kern w:val="0"/>
          <w:sz w:val="32"/>
          <w:szCs w:val="32"/>
        </w:rPr>
      </w:pPr>
      <w:r>
        <w:rPr>
          <w:rFonts w:hint="eastAsia" w:ascii="仿宋" w:hAnsi="仿宋" w:eastAsia="仿宋"/>
          <w:b/>
          <w:sz w:val="32"/>
          <w:szCs w:val="32"/>
        </w:rPr>
        <w:t>（一）主要问题</w:t>
      </w:r>
    </w:p>
    <w:p>
      <w:pPr>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按照文件要求宣传活动已全部完成，因区财政资金紧张，项目资金未支出</w:t>
      </w:r>
    </w:p>
    <w:p>
      <w:pPr>
        <w:ind w:firstLine="630" w:firstLineChars="196"/>
        <w:rPr>
          <w:rFonts w:ascii="黑体" w:hAnsi="黑体" w:eastAsia="黑体" w:cs="仿宋"/>
          <w:kern w:val="0"/>
          <w:sz w:val="32"/>
          <w:szCs w:val="32"/>
        </w:rPr>
      </w:pPr>
      <w:r>
        <w:rPr>
          <w:rFonts w:hint="eastAsia" w:ascii="仿宋" w:hAnsi="仿宋" w:eastAsia="仿宋"/>
          <w:b/>
          <w:sz w:val="32"/>
          <w:szCs w:val="32"/>
        </w:rPr>
        <w:t>（二）改进措施</w:t>
      </w:r>
    </w:p>
    <w:p>
      <w:pPr>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按照文件要求宣传活动已全部完成，因区财政资金紧张，项目资金未支出，持续与区财政局联系沟通</w:t>
      </w:r>
    </w:p>
    <w:p>
      <w:pPr>
        <w:ind w:firstLine="630" w:firstLineChars="196"/>
        <w:rPr>
          <w:rFonts w:hint="default" w:ascii="仿宋" w:hAnsi="仿宋" w:eastAsia="仿宋"/>
          <w:b/>
          <w:sz w:val="32"/>
          <w:szCs w:val="32"/>
          <w:lang w:val="en-US" w:eastAsia="zh-CN"/>
        </w:rPr>
      </w:pP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2024年度“六项任务及生育关怀行动”专项资金（榕财社指［2024］42号）</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2024年度“六项任务及生育关怀行动”专项资金 榕财社指{2024}42号</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ascii="仿宋" w:hAnsi="仿宋" w:eastAsia="仿宋"/>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100分，等级为优，设置绩效目标6个，实际完成6个，具体情况如下：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1)暖心家园项目服务金额</w:t>
      </w:r>
      <w:r>
        <w:rPr>
          <w:rFonts w:ascii="仿宋" w:hAnsi="仿宋" w:eastAsia="仿宋" w:cs="仿宋"/>
          <w:sz w:val="32"/>
        </w:rPr>
        <w:t>(万)，目标值3，完成值2.94，分值10，得分10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1)暖心家园服务企业</w:t>
      </w:r>
      <w:r>
        <w:rPr>
          <w:rFonts w:ascii="仿宋" w:hAnsi="仿宋" w:eastAsia="仿宋" w:cs="仿宋"/>
          <w:sz w:val="32"/>
        </w:rPr>
        <w:t>(个)，目标值1，完成值1，分值20，得分20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1)服务群众政策符合率</w:t>
      </w:r>
      <w:r>
        <w:rPr>
          <w:rFonts w:ascii="仿宋" w:hAnsi="仿宋" w:eastAsia="仿宋" w:cs="仿宋"/>
          <w:sz w:val="32"/>
        </w:rPr>
        <w:t>(%)，目标值90，完成值100，分值10，得分10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1)支付资金时间</w:t>
      </w:r>
      <w:r>
        <w:rPr>
          <w:rFonts w:ascii="仿宋" w:hAnsi="仿宋" w:eastAsia="仿宋" w:cs="仿宋"/>
          <w:sz w:val="32"/>
        </w:rPr>
        <w:t>(月)，目标值5，完成值5，分值10，得分10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1)特殊家庭覆盖率</w:t>
      </w:r>
      <w:r>
        <w:rPr>
          <w:rFonts w:ascii="仿宋" w:hAnsi="仿宋" w:eastAsia="仿宋" w:cs="仿宋"/>
          <w:sz w:val="32"/>
        </w:rPr>
        <w:t>(%)，目标值80，完成值80，分值30，得分30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1)受益对象满意度</w:t>
      </w:r>
      <w:r>
        <w:rPr>
          <w:rFonts w:ascii="仿宋" w:hAnsi="仿宋" w:eastAsia="仿宋" w:cs="仿宋"/>
          <w:sz w:val="32"/>
        </w:rPr>
        <w:t>(%)，目标值90，完成值90，分值10，得分10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ascii="黑体" w:hAnsi="黑体" w:eastAsia="黑体" w:cs="仿宋"/>
          <w:kern w:val="0"/>
          <w:sz w:val="32"/>
          <w:szCs w:val="32"/>
        </w:rPr>
      </w:pPr>
      <w:r>
        <w:rPr>
          <w:rFonts w:hint="eastAsia" w:ascii="仿宋" w:hAnsi="仿宋" w:eastAsia="仿宋"/>
          <w:b/>
          <w:sz w:val="32"/>
          <w:szCs w:val="32"/>
        </w:rPr>
        <w:t>（一）主要问题</w:t>
      </w:r>
    </w:p>
    <w:p>
      <w:pPr>
        <w:ind w:firstLine="630" w:firstLineChars="196"/>
        <w:rPr>
          <w:rFonts w:ascii="黑体" w:hAnsi="黑体" w:eastAsia="黑体" w:cs="仿宋"/>
          <w:kern w:val="0"/>
          <w:sz w:val="32"/>
          <w:szCs w:val="32"/>
        </w:rPr>
      </w:pPr>
      <w:r>
        <w:rPr>
          <w:rFonts w:hint="eastAsia" w:ascii="仿宋" w:hAnsi="仿宋" w:eastAsia="仿宋"/>
          <w:b/>
          <w:sz w:val="32"/>
          <w:szCs w:val="32"/>
        </w:rPr>
        <w:t>（二）改进措施</w:t>
      </w: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计生家庭慰问费</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计生家庭慰问费</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ascii="仿宋" w:hAnsi="仿宋" w:eastAsia="仿宋"/>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80.33分，等级为良，设置绩效目标6个，实际完成5个，具体情况如下：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1)财政资金投入</w:t>
      </w:r>
      <w:r>
        <w:rPr>
          <w:rFonts w:ascii="仿宋" w:hAnsi="仿宋" w:eastAsia="仿宋" w:cs="仿宋"/>
          <w:sz w:val="32"/>
        </w:rPr>
        <w:t>(万元)，目标值20，完成值31.7，分值10，得分10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1)慰问人数</w:t>
      </w:r>
      <w:r>
        <w:rPr>
          <w:rFonts w:ascii="仿宋" w:hAnsi="仿宋" w:eastAsia="仿宋" w:cs="仿宋"/>
          <w:sz w:val="32"/>
        </w:rPr>
        <w:t>(人)，目标值200，完成值317，分值10，得分10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1)慰问资金覆盖率</w:t>
      </w:r>
      <w:r>
        <w:rPr>
          <w:rFonts w:ascii="仿宋" w:hAnsi="仿宋" w:eastAsia="仿宋" w:cs="仿宋"/>
          <w:sz w:val="32"/>
        </w:rPr>
        <w:t>(%)，目标值90，完成值100，分值10，得分10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1)慰问支出进度</w:t>
      </w:r>
      <w:r>
        <w:rPr>
          <w:rFonts w:ascii="仿宋" w:hAnsi="仿宋" w:eastAsia="仿宋" w:cs="仿宋"/>
          <w:sz w:val="32"/>
        </w:rPr>
        <w:t>(%)，目标值90，完成值90.57，分值20，得分20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1)覆盖乡镇街道数</w:t>
      </w:r>
      <w:r>
        <w:rPr>
          <w:rFonts w:ascii="仿宋" w:hAnsi="仿宋" w:eastAsia="仿宋" w:cs="仿宋"/>
          <w:sz w:val="32"/>
        </w:rPr>
        <w:t>(个)，目标值9，完成值4，分值30，得分13.33</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1)计生家庭满意度</w:t>
      </w:r>
      <w:r>
        <w:rPr>
          <w:rFonts w:ascii="仿宋" w:hAnsi="仿宋" w:eastAsia="仿宋" w:cs="仿宋"/>
          <w:sz w:val="32"/>
        </w:rPr>
        <w:t>(%)，目标值90，完成值100，分值10，得分10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ascii="黑体" w:hAnsi="黑体" w:eastAsia="黑体" w:cs="仿宋"/>
          <w:kern w:val="0"/>
          <w:sz w:val="32"/>
          <w:szCs w:val="32"/>
        </w:rPr>
      </w:pPr>
      <w:r>
        <w:rPr>
          <w:rFonts w:hint="eastAsia" w:ascii="仿宋" w:hAnsi="仿宋" w:eastAsia="仿宋"/>
          <w:b/>
          <w:sz w:val="32"/>
          <w:szCs w:val="32"/>
        </w:rPr>
        <w:t>（一）主要问题</w:t>
      </w:r>
    </w:p>
    <w:p>
      <w:pPr>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分配2025年“元旦春节”慰问资金时，优先分配市级资金给乡镇，剩余的乡镇再使用区级资金。</w:t>
      </w:r>
    </w:p>
    <w:p>
      <w:pPr>
        <w:ind w:firstLine="630" w:firstLineChars="196"/>
        <w:rPr>
          <w:rFonts w:ascii="黑体" w:hAnsi="黑体" w:eastAsia="黑体" w:cs="仿宋"/>
          <w:kern w:val="0"/>
          <w:sz w:val="32"/>
          <w:szCs w:val="32"/>
        </w:rPr>
      </w:pPr>
      <w:r>
        <w:rPr>
          <w:rFonts w:hint="eastAsia" w:ascii="仿宋" w:hAnsi="仿宋" w:eastAsia="仿宋"/>
          <w:b/>
          <w:sz w:val="32"/>
          <w:szCs w:val="32"/>
        </w:rPr>
        <w:t>（二）改进措施</w:t>
      </w:r>
    </w:p>
    <w:p>
      <w:pPr>
        <w:spacing w:line="620" w:lineRule="exact"/>
        <w:ind w:left="840" w:leftChars="400" w:firstLine="420"/>
        <w:rPr>
          <w:rFonts w:ascii="仿宋" w:hAnsi="仿宋" w:eastAsia="仿宋"/>
          <w:sz w:val="32"/>
          <w:szCs w:val="32"/>
        </w:rPr>
      </w:pPr>
      <w:r>
        <w:rPr>
          <w:rFonts w:hint="eastAsia" w:ascii="仿宋" w:hAnsi="仿宋" w:eastAsia="仿宋"/>
          <w:sz w:val="32"/>
          <w:szCs w:val="32"/>
        </w:rPr>
        <w:t>1</w:t>
      </w:r>
      <w:r>
        <w:rPr>
          <w:rFonts w:ascii="仿宋" w:hAnsi="仿宋" w:eastAsia="仿宋" w:cs="仿宋"/>
          <w:sz w:val="32"/>
        </w:rPr>
        <w:t>. 按比例分配市、区两级的“元旦春节”慰问资金给9个乡镇，确保全区计生特殊家庭慰问工作的全覆盖。</w:t>
      </w: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生育关怀专项</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生育关怀专项</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ascii="仿宋" w:hAnsi="仿宋" w:eastAsia="仿宋"/>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90分，等级为优，设置绩效目标6个，实际完成6个，具体情况如下：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1)财政投入</w:t>
      </w:r>
      <w:r>
        <w:rPr>
          <w:rFonts w:ascii="仿宋" w:hAnsi="仿宋" w:eastAsia="仿宋" w:cs="仿宋"/>
          <w:sz w:val="32"/>
        </w:rPr>
        <w:t>(万元)，目标值60，完成值23.88，分值10，得分10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1)母亲节慰问和紧急救助等符合条件对象次数</w:t>
      </w:r>
      <w:r>
        <w:rPr>
          <w:rFonts w:ascii="仿宋" w:hAnsi="仿宋" w:eastAsia="仿宋" w:cs="仿宋"/>
          <w:sz w:val="32"/>
        </w:rPr>
        <w:t>(人次)，目标值120，完成值548，分值20，得分20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1)补助资金覆盖率</w:t>
      </w:r>
      <w:r>
        <w:rPr>
          <w:rFonts w:ascii="仿宋" w:hAnsi="仿宋" w:eastAsia="仿宋" w:cs="仿宋"/>
          <w:sz w:val="32"/>
        </w:rPr>
        <w:t>(%)，目标值90，完成值90，分值10，得分10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1)支付进度</w:t>
      </w:r>
      <w:r>
        <w:rPr>
          <w:rFonts w:ascii="仿宋" w:hAnsi="仿宋" w:eastAsia="仿宋" w:cs="仿宋"/>
          <w:sz w:val="32"/>
        </w:rPr>
        <w:t>(%)，目标值90，完成值100，分值10，得分10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1)受益人数</w:t>
      </w:r>
      <w:r>
        <w:rPr>
          <w:rFonts w:ascii="仿宋" w:hAnsi="仿宋" w:eastAsia="仿宋" w:cs="仿宋"/>
          <w:sz w:val="32"/>
        </w:rPr>
        <w:t>(人)，目标值100，完成值548，分值30，得分30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1)计生家庭满意度</w:t>
      </w:r>
      <w:r>
        <w:rPr>
          <w:rFonts w:ascii="仿宋" w:hAnsi="仿宋" w:eastAsia="仿宋" w:cs="仿宋"/>
          <w:sz w:val="32"/>
        </w:rPr>
        <w:t>(%)，目标值90，完成值90，分值10，得分10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ascii="黑体" w:hAnsi="黑体" w:eastAsia="黑体" w:cs="仿宋"/>
          <w:kern w:val="0"/>
          <w:sz w:val="32"/>
          <w:szCs w:val="32"/>
        </w:rPr>
      </w:pPr>
      <w:r>
        <w:rPr>
          <w:rFonts w:hint="eastAsia" w:ascii="仿宋" w:hAnsi="仿宋" w:eastAsia="仿宋"/>
          <w:b/>
          <w:sz w:val="32"/>
          <w:szCs w:val="32"/>
        </w:rPr>
        <w:t>（一）主要问题</w:t>
      </w:r>
    </w:p>
    <w:p>
      <w:pPr>
        <w:ind w:firstLine="630" w:firstLineChars="196"/>
        <w:rPr>
          <w:rFonts w:ascii="黑体" w:hAnsi="黑体" w:eastAsia="黑体" w:cs="仿宋"/>
          <w:kern w:val="0"/>
          <w:sz w:val="32"/>
          <w:szCs w:val="32"/>
        </w:rPr>
      </w:pPr>
      <w:r>
        <w:rPr>
          <w:rFonts w:hint="eastAsia" w:ascii="仿宋" w:hAnsi="仿宋" w:eastAsia="仿宋"/>
          <w:b/>
          <w:sz w:val="32"/>
          <w:szCs w:val="32"/>
        </w:rPr>
        <w:t>（二）改进措施</w:t>
      </w:r>
    </w:p>
    <w:p>
      <w:pPr>
        <w:ind w:firstLine="420"/>
        <w:jc w:val="center"/>
        <w:rPr>
          <w:rFonts w:ascii="宋体" w:hAnsi="宋体" w:cs="仿宋"/>
          <w:b/>
          <w:sz w:val="44"/>
          <w:szCs w:val="44"/>
        </w:rPr>
      </w:pPr>
      <w:r>
        <w:rPr>
          <w:rFonts w:hint="eastAsia" w:ascii="宋体" w:hAnsi="宋体" w:cs="仿宋"/>
          <w:b/>
          <w:sz w:val="44"/>
          <w:szCs w:val="44"/>
        </w:rPr>
        <w:t>2025年度</w:t>
      </w:r>
      <w:r>
        <w:rPr>
          <w:rFonts w:ascii="宋体" w:hAnsi="宋体" w:eastAsia="宋体" w:cs="宋体"/>
          <w:b/>
          <w:sz w:val="44"/>
        </w:rPr>
        <w:t>区级预算项目绩效自评报告</w:t>
      </w:r>
    </w:p>
    <w:p>
      <w:pPr>
        <w:ind w:firstLine="640" w:firstLineChars="200"/>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仿宋"/>
          <w:sz w:val="32"/>
          <w:szCs w:val="32"/>
        </w:rPr>
        <w:t>计生家庭保险</w:t>
      </w:r>
      <w:r>
        <w:rPr>
          <w:rFonts w:hint="eastAsia" w:ascii="仿宋" w:hAnsi="仿宋" w:eastAsia="仿宋"/>
          <w:sz w:val="32"/>
          <w:szCs w:val="32"/>
        </w:rPr>
        <w:t>）</w:t>
      </w:r>
    </w:p>
    <w:p>
      <w:pPr>
        <w:ind w:firstLine="627" w:firstLineChars="196"/>
        <w:rPr>
          <w:rFonts w:ascii="黑体" w:hAnsi="黑体" w:eastAsia="黑体"/>
          <w:sz w:val="32"/>
          <w:szCs w:val="32"/>
        </w:rPr>
      </w:pPr>
      <w:r>
        <w:rPr>
          <w:rFonts w:hint="eastAsia" w:ascii="黑体" w:hAnsi="黑体" w:eastAsia="黑体" w:cs="仿宋"/>
          <w:kern w:val="0"/>
          <w:sz w:val="32"/>
          <w:szCs w:val="32"/>
        </w:rPr>
        <w:t>一、</w:t>
      </w:r>
      <w:r>
        <w:rPr>
          <w:rFonts w:hint="eastAsia" w:ascii="黑体" w:hAnsi="黑体" w:eastAsia="黑体"/>
          <w:sz w:val="32"/>
          <w:szCs w:val="32"/>
        </w:rPr>
        <w:t>项目基本情况</w:t>
      </w:r>
    </w:p>
    <w:p>
      <w:pPr>
        <w:ind w:firstLine="643" w:firstLineChars="200"/>
        <w:rPr>
          <w:rFonts w:ascii="仿宋" w:hAnsi="仿宋" w:eastAsia="仿宋"/>
          <w:sz w:val="32"/>
          <w:szCs w:val="32"/>
        </w:rPr>
      </w:pPr>
      <w:r>
        <w:rPr>
          <w:rFonts w:hint="eastAsia" w:ascii="仿宋" w:hAnsi="仿宋" w:eastAsia="仿宋"/>
          <w:b/>
          <w:sz w:val="32"/>
          <w:szCs w:val="32"/>
        </w:rPr>
        <w:t>（一）项目概况</w:t>
      </w:r>
    </w:p>
    <w:p>
      <w:pPr>
        <w:ind w:firstLine="1472" w:firstLineChars="460"/>
        <w:rPr>
          <w:rFonts w:ascii="仿宋" w:hAnsi="仿宋" w:eastAsia="仿宋"/>
          <w:sz w:val="32"/>
          <w:szCs w:val="32"/>
        </w:rPr>
      </w:pPr>
      <w:r>
        <w:rPr>
          <w:rFonts w:hint="eastAsia" w:ascii="仿宋" w:hAnsi="仿宋" w:eastAsia="仿宋"/>
          <w:sz w:val="32"/>
          <w:szCs w:val="32"/>
        </w:rPr>
        <w:t>计生家庭保险</w:t>
      </w:r>
      <w:r>
        <w:rPr>
          <w:rFonts w:ascii="仿宋" w:hAnsi="仿宋" w:eastAsia="仿宋" w:cs="仿宋"/>
          <w:sz w:val="32"/>
        </w:rPr>
        <w:t xml:space="preserve"> </w:t>
      </w:r>
    </w:p>
    <w:p>
      <w:pPr>
        <w:ind w:firstLine="643" w:firstLineChars="200"/>
        <w:rPr>
          <w:rFonts w:ascii="仿宋" w:hAnsi="仿宋" w:eastAsia="仿宋"/>
          <w:sz w:val="32"/>
          <w:szCs w:val="32"/>
        </w:rPr>
      </w:pPr>
      <w:r>
        <w:rPr>
          <w:rFonts w:hint="eastAsia" w:ascii="仿宋" w:hAnsi="仿宋" w:eastAsia="仿宋"/>
          <w:b/>
          <w:sz w:val="32"/>
          <w:szCs w:val="32"/>
        </w:rPr>
        <w:t>（二）主要成效</w:t>
      </w:r>
    </w:p>
    <w:p>
      <w:pPr>
        <w:ind w:firstLine="1472" w:firstLineChars="460"/>
        <w:rPr>
          <w:rFonts w:ascii="仿宋" w:hAnsi="仿宋" w:eastAsia="仿宋"/>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二、绩效分析</w:t>
      </w:r>
    </w:p>
    <w:p>
      <w:pPr>
        <w:spacing w:line="620" w:lineRule="exact"/>
        <w:ind w:firstLine="640"/>
        <w:rPr>
          <w:rFonts w:ascii="仿宋_GB2312" w:hAnsi="仿宋_GB2312" w:eastAsia="仿宋_GB2312"/>
          <w:sz w:val="32"/>
          <w:szCs w:val="32"/>
        </w:rPr>
      </w:pPr>
      <w:r>
        <w:rPr>
          <w:rFonts w:hint="eastAsia" w:ascii="仿宋_GB2312" w:hAnsi="仿宋_GB2312" w:eastAsia="仿宋_GB2312"/>
          <w:sz w:val="32"/>
          <w:szCs w:val="32"/>
        </w:rPr>
        <w:t>本项目绩效自评得分</w:t>
      </w:r>
      <w:r>
        <w:rPr>
          <w:rFonts w:ascii="仿宋_GB2312" w:hAnsi="仿宋_GB2312" w:eastAsia="仿宋_GB2312" w:cs="仿宋_GB2312"/>
          <w:sz w:val="32"/>
        </w:rPr>
        <w:t>98.66分，等级为优，设置绩效目标7个，实际完成6个，具体情况如下：</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(二) 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1、经济成本指标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1)区级资金投入情况</w:t>
      </w:r>
      <w:r>
        <w:rPr>
          <w:rFonts w:ascii="仿宋" w:hAnsi="仿宋" w:eastAsia="仿宋" w:cs="仿宋"/>
          <w:sz w:val="32"/>
        </w:rPr>
        <w:t>(万元)，目标值25，完成值20.77，分值10，得分10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3、生态环境成本指标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(一) 产出指标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1、数量指标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1)计生保险人数</w:t>
      </w:r>
      <w:r>
        <w:rPr>
          <w:rFonts w:ascii="仿宋" w:hAnsi="仿宋" w:eastAsia="仿宋" w:cs="仿宋"/>
          <w:sz w:val="32"/>
        </w:rPr>
        <w:t>(人)，目标值650，完成值903，分值10，得分10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2)开展各类宣传服务活动</w:t>
      </w:r>
      <w:r>
        <w:rPr>
          <w:rFonts w:ascii="仿宋" w:hAnsi="仿宋" w:eastAsia="仿宋" w:cs="仿宋"/>
          <w:sz w:val="32"/>
        </w:rPr>
        <w:t>(场次)，目标值2，完成值2，分值10，得分10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2、质量指标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1)政府采购率</w:t>
      </w:r>
      <w:r>
        <w:rPr>
          <w:rFonts w:ascii="仿宋" w:hAnsi="仿宋" w:eastAsia="仿宋" w:cs="仿宋"/>
          <w:sz w:val="32"/>
        </w:rPr>
        <w:t>(%)，目标值100，完成值100，分值10，得分10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3、时效指标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1)资金支出进度</w:t>
      </w:r>
      <w:r>
        <w:rPr>
          <w:rFonts w:ascii="仿宋" w:hAnsi="仿宋" w:eastAsia="仿宋" w:cs="仿宋"/>
          <w:sz w:val="32"/>
        </w:rPr>
        <w:t>(%)，目标值60，完成值51.93，分值10，得分8.66</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(三) 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1、经济效益指标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2、社会效益指标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1)乡镇街道覆盖数</w:t>
      </w:r>
      <w:r>
        <w:rPr>
          <w:rFonts w:ascii="仿宋" w:hAnsi="仿宋" w:eastAsia="仿宋" w:cs="仿宋"/>
          <w:sz w:val="32"/>
        </w:rPr>
        <w:t>(个)，目标值9，完成值9，分值30，得分30</w:t>
      </w:r>
      <w:r>
        <w:rPr>
          <w:rFonts w:hint="eastAsia" w:ascii="仿宋" w:hAnsi="仿宋" w:eastAsia="仿宋"/>
          <w:sz w:val="32"/>
          <w:szCs w:val="32"/>
        </w:rPr>
        <w:t>。</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3、生态效益指标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(四) 满意度指标</w:t>
      </w:r>
    </w:p>
    <w:p>
      <w:pPr>
        <w:spacing w:line="620" w:lineRule="exact"/>
        <w:ind w:left="420" w:leftChars="200"/>
        <w:rPr>
          <w:rFonts w:ascii="仿宋" w:hAnsi="仿宋" w:eastAsia="仿宋"/>
          <w:sz w:val="32"/>
          <w:szCs w:val="32"/>
        </w:rPr>
      </w:pPr>
      <w:r>
        <w:rPr>
          <w:rFonts w:ascii="仿宋_GB2312" w:hAnsi="仿宋_GB2312" w:eastAsia="仿宋_GB2312" w:cs="仿宋_GB2312"/>
          <w:b/>
          <w:sz w:val="32"/>
        </w:rPr>
        <w:t>1、服务对象满意度指标</w:t>
      </w:r>
    </w:p>
    <w:p>
      <w:pPr>
        <w:spacing w:line="620" w:lineRule="exact"/>
        <w:ind w:left="420" w:leftChars="200"/>
        <w:rPr>
          <w:rFonts w:ascii="仿宋" w:hAnsi="仿宋" w:eastAsia="仿宋"/>
          <w:sz w:val="32"/>
          <w:szCs w:val="32"/>
        </w:rPr>
      </w:pPr>
      <w:r>
        <w:rPr>
          <w:rFonts w:ascii="仿宋_GB2312" w:hAnsi="仿宋_GB2312" w:eastAsia="仿宋_GB2312" w:cs="仿宋_GB2312"/>
          <w:sz w:val="32"/>
        </w:rPr>
        <w:t>1)计生家庭满意度</w:t>
      </w:r>
      <w:r>
        <w:rPr>
          <w:rFonts w:ascii="仿宋" w:hAnsi="仿宋" w:eastAsia="仿宋" w:cs="仿宋"/>
          <w:sz w:val="32"/>
        </w:rPr>
        <w:t>(%)，目标值90，完成值90，分值10，得分10</w:t>
      </w:r>
      <w:r>
        <w:rPr>
          <w:rFonts w:hint="eastAsia" w:ascii="仿宋" w:hAnsi="仿宋" w:eastAsia="仿宋"/>
          <w:sz w:val="32"/>
          <w:szCs w:val="32"/>
        </w:rPr>
        <w:t>。</w:t>
      </w:r>
    </w:p>
    <w:p>
      <w:pPr>
        <w:tabs>
          <w:tab w:val="left" w:pos="2244"/>
        </w:tabs>
        <w:spacing w:line="620" w:lineRule="exact"/>
        <w:ind w:left="1890" w:leftChars="900"/>
        <w:rPr>
          <w:rFonts w:ascii="仿宋" w:hAnsi="仿宋" w:eastAsia="仿宋"/>
          <w:b/>
          <w:color w:val="FF0000"/>
          <w:sz w:val="32"/>
          <w:szCs w:val="32"/>
        </w:rPr>
      </w:pPr>
    </w:p>
    <w:p>
      <w:pPr>
        <w:ind w:firstLine="627" w:firstLineChars="196"/>
        <w:rPr>
          <w:rFonts w:ascii="黑体" w:hAnsi="黑体" w:eastAsia="黑体" w:cs="仿宋"/>
          <w:kern w:val="0"/>
          <w:sz w:val="32"/>
          <w:szCs w:val="32"/>
        </w:rPr>
      </w:pPr>
      <w:r>
        <w:rPr>
          <w:rFonts w:hint="eastAsia" w:ascii="黑体" w:hAnsi="黑体" w:eastAsia="黑体" w:cs="仿宋"/>
          <w:kern w:val="0"/>
          <w:sz w:val="32"/>
          <w:szCs w:val="32"/>
        </w:rPr>
        <w:t>三、存在的主要问题及改进措施</w:t>
      </w:r>
    </w:p>
    <w:p>
      <w:pPr>
        <w:ind w:firstLine="630" w:firstLineChars="196"/>
        <w:rPr>
          <w:rFonts w:ascii="黑体" w:hAnsi="黑体" w:eastAsia="黑体" w:cs="仿宋"/>
          <w:kern w:val="0"/>
          <w:sz w:val="32"/>
          <w:szCs w:val="32"/>
        </w:rPr>
      </w:pPr>
      <w:r>
        <w:rPr>
          <w:rFonts w:hint="eastAsia" w:ascii="仿宋" w:hAnsi="仿宋" w:eastAsia="仿宋"/>
          <w:b/>
          <w:sz w:val="32"/>
          <w:szCs w:val="32"/>
        </w:rPr>
        <w:t>（一）主要问题</w:t>
      </w:r>
    </w:p>
    <w:p>
      <w:pPr>
        <w:ind w:firstLine="630" w:firstLineChars="196"/>
        <w:rPr>
          <w:rFonts w:hint="eastAsia" w:ascii="仿宋" w:hAnsi="仿宋" w:eastAsia="仿宋"/>
          <w:b/>
          <w:sz w:val="32"/>
          <w:szCs w:val="32"/>
        </w:rPr>
      </w:pPr>
      <w:r>
        <w:rPr>
          <w:rFonts w:hint="eastAsia" w:ascii="仿宋" w:hAnsi="仿宋" w:eastAsia="仿宋"/>
          <w:b/>
          <w:sz w:val="32"/>
          <w:szCs w:val="32"/>
        </w:rPr>
        <w:t>（二）改进措施</w:t>
      </w:r>
    </w:p>
    <w:p>
      <w:pPr>
        <w:ind w:firstLine="630" w:firstLineChars="196"/>
        <w:rPr>
          <w:rFonts w:hint="eastAsia" w:ascii="仿宋" w:hAnsi="仿宋" w:eastAsia="仿宋"/>
          <w:b/>
          <w:sz w:val="32"/>
          <w:szCs w:val="32"/>
        </w:rPr>
        <w:sectPr>
          <w:pgSz w:w="11906" w:h="16838"/>
          <w:pgMar w:top="1984" w:right="1083" w:bottom="1871" w:left="856" w:header="0" w:footer="720" w:gutter="0"/>
          <w:cols w:space="0" w:num="1"/>
          <w:rtlGutter w:val="0"/>
          <w:docGrid w:type="lines" w:linePitch="317" w:charSpace="0"/>
        </w:sectPr>
      </w:pPr>
    </w:p>
    <w:p>
      <w:pPr>
        <w:rPr>
          <w:rFonts w:hint="eastAsia" w:ascii="仿宋" w:hAnsi="仿宋" w:eastAsia="仿宋"/>
          <w:b/>
          <w:sz w:val="32"/>
          <w:szCs w:val="32"/>
        </w:rPr>
      </w:pPr>
    </w:p>
    <w:p>
      <w:pPr>
        <w:ind w:firstLine="627" w:firstLineChars="196"/>
        <w:rPr>
          <w:rFonts w:hint="eastAsia" w:ascii="黑体" w:hAnsi="黑体" w:eastAsia="黑体" w:cs="仿宋"/>
          <w:kern w:val="0"/>
          <w:sz w:val="32"/>
          <w:szCs w:val="32"/>
        </w:rPr>
      </w:pPr>
      <w:r>
        <w:rPr>
          <w:rFonts w:hint="eastAsia" w:ascii="黑体" w:hAnsi="黑体" w:eastAsia="黑体" w:cs="仿宋"/>
          <w:kern w:val="0"/>
          <w:sz w:val="32"/>
          <w:szCs w:val="32"/>
        </w:rPr>
        <w:t>三、部门整体支出绩效自评表</w:t>
      </w:r>
    </w:p>
    <w:tbl>
      <w:tblPr>
        <w:tblStyle w:val="19"/>
        <w:tblpPr w:leftFromText="180" w:rightFromText="180" w:vertAnchor="text" w:horzAnchor="page" w:tblpX="1997" w:tblpY="391"/>
        <w:tblOverlap w:val="never"/>
        <w:tblW w:w="5000" w:type="pct"/>
        <w:tblInd w:w="0" w:type="dxa"/>
        <w:shd w:val="clear" w:color="auto" w:fill="auto"/>
        <w:tblLayout w:type="autofit"/>
        <w:tblCellMar>
          <w:top w:w="0" w:type="dxa"/>
          <w:left w:w="108" w:type="dxa"/>
          <w:bottom w:w="0" w:type="dxa"/>
          <w:right w:w="108" w:type="dxa"/>
        </w:tblCellMar>
      </w:tblPr>
      <w:tblGrid>
        <w:gridCol w:w="435"/>
        <w:gridCol w:w="1624"/>
        <w:gridCol w:w="2026"/>
        <w:gridCol w:w="1879"/>
        <w:gridCol w:w="1171"/>
        <w:gridCol w:w="874"/>
        <w:gridCol w:w="874"/>
        <w:gridCol w:w="1093"/>
        <w:gridCol w:w="447"/>
        <w:gridCol w:w="445"/>
        <w:gridCol w:w="1093"/>
        <w:gridCol w:w="619"/>
        <w:gridCol w:w="619"/>
      </w:tblGrid>
      <w:tr>
        <w:tblPrEx>
          <w:tblCellMar>
            <w:top w:w="0" w:type="dxa"/>
            <w:left w:w="108" w:type="dxa"/>
            <w:bottom w:w="0" w:type="dxa"/>
            <w:right w:w="108" w:type="dxa"/>
          </w:tblCellMar>
        </w:tblPrEx>
        <w:trPr>
          <w:trHeight w:val="450" w:hRule="atLeast"/>
        </w:trPr>
        <w:tc>
          <w:tcPr>
            <w:tcW w:w="4531" w:type="pct"/>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部门整体绩效自评表</w:t>
            </w:r>
          </w:p>
        </w:tc>
        <w:tc>
          <w:tcPr>
            <w:tcW w:w="23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480" w:hRule="atLeast"/>
        </w:trPr>
        <w:tc>
          <w:tcPr>
            <w:tcW w:w="4531" w:type="pct"/>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c>
          <w:tcPr>
            <w:tcW w:w="23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480" w:hRule="atLeast"/>
        </w:trPr>
        <w:tc>
          <w:tcPr>
            <w:tcW w:w="15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专项名称</w:t>
            </w:r>
          </w:p>
        </w:tc>
        <w:tc>
          <w:tcPr>
            <w:tcW w:w="298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415部门整体</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5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部门（单位）名称</w:t>
            </w:r>
          </w:p>
        </w:tc>
        <w:tc>
          <w:tcPr>
            <w:tcW w:w="148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福州市晋安区计划生育协会</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部门预算编码</w:t>
            </w:r>
          </w:p>
        </w:tc>
        <w:tc>
          <w:tcPr>
            <w:tcW w:w="75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财政资金安排和使用情况</w:t>
            </w:r>
          </w:p>
        </w:tc>
        <w:tc>
          <w:tcPr>
            <w:tcW w:w="13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48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预算安排</w:t>
            </w:r>
          </w:p>
        </w:tc>
        <w:tc>
          <w:tcPr>
            <w:tcW w:w="74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拨付情况</w:t>
            </w:r>
          </w:p>
        </w:tc>
        <w:tc>
          <w:tcPr>
            <w:tcW w:w="75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结余情况</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c>
          <w:tcPr>
            <w:tcW w:w="23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得分</w:t>
            </w:r>
          </w:p>
        </w:tc>
      </w:tr>
      <w:tr>
        <w:tblPrEx>
          <w:tblCellMar>
            <w:top w:w="0" w:type="dxa"/>
            <w:left w:w="108" w:type="dxa"/>
            <w:bottom w:w="0" w:type="dxa"/>
            <w:right w:w="108" w:type="dxa"/>
          </w:tblCellMar>
        </w:tblPrEx>
        <w:trPr>
          <w:trHeight w:val="861"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年初部门预算安排金额（含历年结余结转）①</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年中调整金额②</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小计 ③ = ①+②</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年度拨付金额 ④</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支出实现率(%) ⑤=④/③</w:t>
            </w:r>
          </w:p>
        </w:tc>
        <w:tc>
          <w:tcPr>
            <w:tcW w:w="3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本年度结余金额⑥=③-④</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资金结余率(%) ⑦=⑥/③</w:t>
            </w:r>
          </w:p>
        </w:tc>
        <w:tc>
          <w:tcPr>
            <w:tcW w:w="2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3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491.87</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-136.67</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355.20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253.45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71.35</w:t>
            </w:r>
          </w:p>
        </w:tc>
        <w:tc>
          <w:tcPr>
            <w:tcW w:w="3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101.75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28.6500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财政资金小计</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491.87</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-136.67</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355.20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253.45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71.35</w:t>
            </w:r>
          </w:p>
        </w:tc>
        <w:tc>
          <w:tcPr>
            <w:tcW w:w="3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101.75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28.6500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①中央财政资金</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②省级财政资金</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③地方财政资金</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491.87</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-136.67</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355.20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253.45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71.35</w:t>
            </w:r>
          </w:p>
        </w:tc>
        <w:tc>
          <w:tcPr>
            <w:tcW w:w="3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101.75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28.6500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其他资金小计</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3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480" w:hRule="atLeast"/>
        </w:trPr>
        <w:tc>
          <w:tcPr>
            <w:tcW w:w="1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32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预期目标</w:t>
            </w:r>
          </w:p>
        </w:tc>
        <w:tc>
          <w:tcPr>
            <w:tcW w:w="163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目标实际完成情况</w:t>
            </w:r>
          </w:p>
        </w:tc>
      </w:tr>
      <w:tr>
        <w:tblPrEx>
          <w:shd w:val="clear" w:color="auto" w:fill="auto"/>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2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过组织开展生殖健康咨询、优生优育指导、计划生育保险、计划生育家庭帮扶和流动人口服务等，提高群众健康素养和家庭发展能力。做好计划生育困难家庭和特殊家庭的生活、生产、生育扶助和精神慰藉等服务，做强生育关怀行动品牌，关爱贫困家庭，提升发展能力，建设幸福家庭，更好地服务于广大育龄群众和计划生育家庭。</w:t>
            </w:r>
          </w:p>
        </w:tc>
        <w:tc>
          <w:tcPr>
            <w:tcW w:w="163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做好计生家庭慰问工作、开展关爱活动、资金准确补助到对象</w:t>
            </w:r>
          </w:p>
        </w:tc>
      </w:tr>
      <w:tr>
        <w:tblPrEx>
          <w:shd w:val="clear" w:color="auto" w:fill="auto"/>
          <w:tblCellMar>
            <w:top w:w="0" w:type="dxa"/>
            <w:left w:w="108" w:type="dxa"/>
            <w:bottom w:w="0" w:type="dxa"/>
            <w:right w:w="108" w:type="dxa"/>
          </w:tblCellMar>
        </w:tblPrEx>
        <w:trPr>
          <w:trHeight w:val="480" w:hRule="atLeast"/>
        </w:trPr>
        <w:tc>
          <w:tcPr>
            <w:tcW w:w="1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指标</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年度指标值</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实际完成值</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指标分值</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自评得分</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偏差原因分析及改进措施</w:t>
            </w: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一般性支出情况</w:t>
            </w:r>
          </w:p>
        </w:tc>
        <w:tc>
          <w:tcPr>
            <w:tcW w:w="76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一般性支出情况</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“三公”经费控制率</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“三公”经费违规使用次数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≤0次</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会议费、差旅费超标准使用次数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≤0次</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76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计划生育保险发放人数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≥400人</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903</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元旦春节慰问人数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≥260人</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开展计生关爱活动场次</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≥2场</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计生协会小组长补贴人数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≥2000人</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shd w:val="clear" w:color="auto" w:fill="auto"/>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计生协会会长补贴人数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≥700人</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836</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报纸采购种数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≥2种</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母亲节慰问</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≥130人</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政府采购率</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补助资金及时发放率</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经济成本指标</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资金到位率</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76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覆盖乡镇街道数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≥9个</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受益人数</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≥250人</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548</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失独人员服务覆盖率</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6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按规定缴纳医疗保险率</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80" w:hRule="atLeast"/>
        </w:trPr>
        <w:tc>
          <w:tcPr>
            <w:tcW w:w="1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计生家庭服务满意度</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rPr>
          <w:trHeight w:val="480" w:hRule="atLeast"/>
        </w:trPr>
        <w:tc>
          <w:tcPr>
            <w:tcW w:w="377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总分值、评价总分 (S)</w:t>
            </w:r>
          </w:p>
        </w:tc>
        <w:tc>
          <w:tcPr>
            <w:tcW w:w="12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CellMar>
            <w:top w:w="0" w:type="dxa"/>
            <w:left w:w="108" w:type="dxa"/>
            <w:bottom w:w="0" w:type="dxa"/>
            <w:right w:w="108" w:type="dxa"/>
          </w:tblCellMar>
        </w:tblPrEx>
        <w:trPr>
          <w:trHeight w:val="480" w:hRule="atLeast"/>
        </w:trPr>
        <w:tc>
          <w:tcPr>
            <w:tcW w:w="7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评价等级 </w:t>
            </w:r>
          </w:p>
        </w:tc>
        <w:tc>
          <w:tcPr>
            <w:tcW w:w="422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优（S≧90）</w:t>
            </w:r>
          </w:p>
        </w:tc>
      </w:tr>
    </w:tbl>
    <w:p>
      <w:pPr>
        <w:pStyle w:val="30"/>
        <w:widowControl/>
        <w:numPr>
          <w:ilvl w:val="0"/>
          <w:numId w:val="0"/>
        </w:numPr>
        <w:spacing w:before="240" w:after="240" w:line="560" w:lineRule="atLeast"/>
        <w:jc w:val="left"/>
        <w:rPr>
          <w:rFonts w:ascii="黑体" w:hAnsi="黑体" w:eastAsia="黑体" w:cs="黑体"/>
          <w:kern w:val="0"/>
          <w:sz w:val="32"/>
          <w:szCs w:val="32"/>
        </w:rPr>
      </w:pPr>
    </w:p>
    <w:bookmarkEnd w:id="0"/>
    <w:p>
      <w:pPr>
        <w:keepNext w:val="0"/>
        <w:keepLines w:val="0"/>
        <w:pageBreakBefore w:val="0"/>
        <w:widowControl w:val="0"/>
        <w:tabs>
          <w:tab w:val="left" w:pos="8415"/>
        </w:tabs>
        <w:kinsoku/>
        <w:wordWrap/>
        <w:overflowPunct/>
        <w:topLinePunct w:val="0"/>
        <w:autoSpaceDE/>
        <w:autoSpaceDN/>
        <w:bidi w:val="0"/>
        <w:adjustRightInd/>
        <w:snapToGrid/>
        <w:textAlignment w:val="auto"/>
      </w:pPr>
    </w:p>
    <w:sectPr>
      <w:pgSz w:w="16838" w:h="11906" w:orient="landscape"/>
      <w:pgMar w:top="856" w:right="1984" w:bottom="1083" w:left="1871" w:header="0" w:footer="720"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6</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7</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10</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11</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14</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15</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16</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17</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18</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22</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23</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25</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26</w:t>
    </w:r>
    <w:r>
      <w:rPr>
        <w:rFonts w:ascii="宋体" w:hAnsi="宋体" w:eastAsia="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27</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07694B"/>
    <w:multiLevelType w:val="singleLevel"/>
    <w:tmpl w:val="B007694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33887"/>
    <w:rsid w:val="05A31635"/>
    <w:rsid w:val="05C8152F"/>
    <w:rsid w:val="05F76D67"/>
    <w:rsid w:val="06EE1FCE"/>
    <w:rsid w:val="0AB32473"/>
    <w:rsid w:val="0DD047F4"/>
    <w:rsid w:val="0F6C1988"/>
    <w:rsid w:val="106D6957"/>
    <w:rsid w:val="148A7F8A"/>
    <w:rsid w:val="18080079"/>
    <w:rsid w:val="21C1479E"/>
    <w:rsid w:val="266A4085"/>
    <w:rsid w:val="297D67B0"/>
    <w:rsid w:val="29B16FBF"/>
    <w:rsid w:val="2D260E35"/>
    <w:rsid w:val="32C31AFE"/>
    <w:rsid w:val="3A463E67"/>
    <w:rsid w:val="3D253A26"/>
    <w:rsid w:val="402121C3"/>
    <w:rsid w:val="42AE2C5E"/>
    <w:rsid w:val="4DD343A5"/>
    <w:rsid w:val="4F7B61CB"/>
    <w:rsid w:val="52B55E4F"/>
    <w:rsid w:val="57A25101"/>
    <w:rsid w:val="605A719C"/>
    <w:rsid w:val="60F95D55"/>
    <w:rsid w:val="64C73B52"/>
    <w:rsid w:val="660B7C20"/>
    <w:rsid w:val="725F33E1"/>
    <w:rsid w:val="74F5543B"/>
    <w:rsid w:val="75865DDD"/>
    <w:rsid w:val="760E6641"/>
    <w:rsid w:val="7DA02D5B"/>
    <w:rsid w:val="7DB205BC"/>
    <w:rsid w:val="7E9F5D8F"/>
    <w:rsid w:val="7F2870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3"/>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4"/>
    <w:qFormat/>
    <w:uiPriority w:val="0"/>
    <w:pPr>
      <w:keepNext/>
      <w:keepLines/>
      <w:spacing w:before="280" w:after="290" w:line="376" w:lineRule="auto"/>
      <w:outlineLvl w:val="3"/>
    </w:pPr>
    <w:rPr>
      <w:rFonts w:ascii="Cambria" w:hAnsi="Cambria" w:eastAsia="仿宋"/>
      <w:bCs/>
      <w:sz w:val="32"/>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1">
    <w:name w:val="page number"/>
    <w:basedOn w:val="20"/>
    <w:qFormat/>
    <w:uiPriority w:val="0"/>
  </w:style>
  <w:style w:type="character" w:styleId="22">
    <w:name w:val="Hyperlink"/>
    <w:qFormat/>
    <w:uiPriority w:val="0"/>
    <w:rPr>
      <w:rFonts w:ascii="宋体" w:hAnsi="宋体" w:eastAsia="仿宋" w:cs="Times New Roman"/>
      <w:kern w:val="2"/>
      <w:sz w:val="32"/>
      <w:szCs w:val="32"/>
      <w:lang w:val="en-US" w:eastAsia="zh-CN" w:bidi="ar-SA"/>
    </w:rPr>
  </w:style>
  <w:style w:type="character" w:customStyle="1" w:styleId="23">
    <w:name w:val="标题 3 字符"/>
    <w:basedOn w:val="20"/>
    <w:link w:val="5"/>
    <w:qFormat/>
    <w:uiPriority w:val="0"/>
    <w:rPr>
      <w:rFonts w:eastAsia="仿宋"/>
      <w:bCs/>
      <w:kern w:val="2"/>
      <w:sz w:val="32"/>
      <w:szCs w:val="32"/>
    </w:rPr>
  </w:style>
  <w:style w:type="character" w:customStyle="1" w:styleId="24">
    <w:name w:val="标题 4 字符"/>
    <w:basedOn w:val="20"/>
    <w:link w:val="6"/>
    <w:qFormat/>
    <w:uiPriority w:val="0"/>
    <w:rPr>
      <w:rFonts w:ascii="Cambria" w:hAnsi="Cambria" w:eastAsia="仿宋"/>
      <w:bCs/>
      <w:kern w:val="2"/>
      <w:sz w:val="32"/>
      <w:szCs w:val="28"/>
    </w:rPr>
  </w:style>
  <w:style w:type="character" w:customStyle="1" w:styleId="25">
    <w:name w:val="无间隔 字符"/>
    <w:link w:val="4"/>
    <w:qFormat/>
    <w:locked/>
    <w:uiPriority w:val="0"/>
    <w:rPr>
      <w:rFonts w:eastAsia="仿宋_GB2312"/>
      <w:sz w:val="30"/>
      <w:szCs w:val="22"/>
      <w:lang w:bidi="ar-SA"/>
    </w:rPr>
  </w:style>
  <w:style w:type="character" w:customStyle="1" w:styleId="26">
    <w:name w:val="页脚 字符"/>
    <w:basedOn w:val="20"/>
    <w:link w:val="12"/>
    <w:qFormat/>
    <w:uiPriority w:val="0"/>
    <w:rPr>
      <w:kern w:val="2"/>
      <w:sz w:val="18"/>
      <w:szCs w:val="18"/>
    </w:rPr>
  </w:style>
  <w:style w:type="paragraph" w:styleId="27">
    <w:name w:val="List Paragraph"/>
    <w:basedOn w:val="1"/>
    <w:qFormat/>
    <w:uiPriority w:val="0"/>
    <w:pPr>
      <w:ind w:firstLine="420" w:firstLineChars="200"/>
    </w:pPr>
  </w:style>
  <w:style w:type="paragraph" w:customStyle="1" w:styleId="28">
    <w:name w:val="MsoNormal"/>
    <w:basedOn w:val="1"/>
    <w:qFormat/>
    <w:uiPriority w:val="0"/>
  </w:style>
  <w:style w:type="paragraph" w:customStyle="1" w:styleId="29">
    <w:name w:val="p"/>
    <w:basedOn w:val="1"/>
    <w:qFormat/>
    <w:uiPriority w:val="0"/>
  </w:style>
  <w:style w:type="paragraph" w:customStyle="1" w:styleId="30">
    <w:name w:val="15"/>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48</Pages>
  <Words>20</Words>
  <Characters>35</Characters>
  <Lines>1</Lines>
  <Paragraphs>1</Paragraphs>
  <TotalTime>1</TotalTime>
  <ScaleCrop>false</ScaleCrop>
  <LinksUpToDate>false</LinksUpToDate>
  <CharactersWithSpaces>36</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Lenovo</cp:lastModifiedBy>
  <cp:lastPrinted>2021-04-16T00:45:00Z</cp:lastPrinted>
  <dcterms:modified xsi:type="dcterms:W3CDTF">2026-08-31T07:27:56Z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CCAD6EBFCEAA48EBB1A35811E4F3EFF0</vt:lpwstr>
  </property>
  <property fmtid="{D5CDD505-2E9C-101B-9397-08002B2CF9AE}" pid="3" name="KSOProductBuildVer">
    <vt:lpwstr>2052-11.1.0.10495</vt:lpwstr>
  </property>
  <property fmtid="{D5CDD505-2E9C-101B-9397-08002B2CF9AE}" pid="4" name="KSOTemplateDocerSaveRecord">
    <vt:lpwstr>eyJoZGlkIjoiMjBmNzFhNTE2ODA4NWNjMzY3MDUyM2Q1MGJjODVmODYiLCJ1c2VySWQiOiIzNzI5MDg1NDQifQ==</vt:lpwstr>
  </property>
</Properties>
</file>