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8E3ABC5">
      <w:pPr>
        <w:spacing w:line="500" w:lineRule="exact"/>
        <w:jc w:val="center"/>
        <w:textAlignment w:val="baseline"/>
        <w:rPr>
          <w:rFonts w:hint="eastAsia"/>
          <w:b/>
          <w:color w:val="auto"/>
          <w:sz w:val="36"/>
        </w:rPr>
      </w:pPr>
    </w:p>
    <w:p w14:paraId="4809FACD">
      <w:pPr>
        <w:spacing w:line="500" w:lineRule="exact"/>
        <w:jc w:val="center"/>
        <w:textAlignment w:val="baseline"/>
        <w:rPr>
          <w:rFonts w:hint="eastAsia"/>
          <w:color w:val="auto"/>
          <w:sz w:val="52"/>
        </w:rPr>
      </w:pPr>
    </w:p>
    <w:p w14:paraId="5F86BDCA">
      <w:pPr>
        <w:spacing w:line="500" w:lineRule="exact"/>
        <w:jc w:val="center"/>
        <w:textAlignment w:val="baseline"/>
        <w:rPr>
          <w:rFonts w:hint="eastAsia"/>
          <w:color w:val="auto"/>
          <w:sz w:val="52"/>
        </w:rPr>
      </w:pPr>
    </w:p>
    <w:p w14:paraId="6140911C"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0"/>
        <w:jc w:val="center"/>
        <w:textAlignment w:val="auto"/>
        <w:rPr>
          <w:rFonts w:hint="eastAsia" w:ascii="宋体" w:hAnsi="宋体" w:eastAsia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  <w:t>晋安区就业补助资金转移支付</w:t>
      </w:r>
    </w:p>
    <w:p w14:paraId="385F5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  <w:t>20</w:t>
      </w:r>
      <w:r>
        <w:rPr>
          <w:rFonts w:hint="eastAsia" w:ascii="宋体" w:hAnsi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  <w:t>25</w:t>
      </w:r>
      <w:r>
        <w:rPr>
          <w:rFonts w:hint="eastAsia" w:ascii="宋体" w:hAnsi="宋体" w:eastAsia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  <w:t>年度绩效自评报告</w:t>
      </w:r>
    </w:p>
    <w:p w14:paraId="7FCC3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宋体" w:hAnsi="宋体" w:eastAsia="宋体" w:cs="Times New Roman"/>
          <w:b/>
          <w:color w:val="auto"/>
          <w:spacing w:val="0"/>
          <w:w w:val="100"/>
          <w:kern w:val="2"/>
          <w:position w:val="0"/>
          <w:sz w:val="44"/>
          <w:szCs w:val="22"/>
          <w:u w:val="none"/>
          <w:shd w:val="clear" w:color="auto" w:fill="FFFFFF"/>
          <w:lang w:val="en-US" w:eastAsia="zh-CN" w:bidi="ar-SA"/>
        </w:rPr>
      </w:pPr>
    </w:p>
    <w:p w14:paraId="28B53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  <w:lang w:val="en-US" w:eastAsia="zh-CN"/>
        </w:rPr>
        <w:t>晋安区财政</w:t>
      </w:r>
      <w:r>
        <w:rPr>
          <w:rFonts w:hint="eastAsia" w:ascii="仿宋_GB2312" w:eastAsia="仿宋_GB2312"/>
          <w:color w:val="auto"/>
          <w:sz w:val="32"/>
        </w:rPr>
        <w:t>局：</w:t>
      </w:r>
    </w:p>
    <w:p w14:paraId="23C3B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rPr>
          <w:rFonts w:hint="eastAsia"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>根据</w:t>
      </w:r>
      <w:r>
        <w:rPr>
          <w:rFonts w:hint="eastAsia" w:ascii="仿宋_GB2312" w:eastAsia="仿宋_GB2312"/>
          <w:color w:val="auto"/>
          <w:sz w:val="32"/>
          <w:highlight w:val="none"/>
        </w:rPr>
        <w:t>《关于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转发&lt;福建省财政厅转发财政部关于</w:t>
      </w:r>
      <w:r>
        <w:rPr>
          <w:rFonts w:hint="eastAsia" w:ascii="仿宋_GB2312" w:eastAsia="仿宋_GB2312"/>
          <w:color w:val="auto"/>
          <w:sz w:val="32"/>
          <w:highlight w:val="none"/>
        </w:rPr>
        <w:t>开展20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25</w:t>
      </w:r>
      <w:r>
        <w:rPr>
          <w:rFonts w:hint="eastAsia" w:ascii="仿宋_GB2312" w:eastAsia="仿宋_GB2312"/>
          <w:color w:val="auto"/>
          <w:sz w:val="32"/>
          <w:highlight w:val="none"/>
        </w:rPr>
        <w:t>年度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中央对地方专项转移支付预算执行情况绩效自评工作</w:t>
      </w:r>
      <w:r>
        <w:rPr>
          <w:rFonts w:hint="eastAsia" w:ascii="仿宋_GB2312" w:eastAsia="仿宋_GB2312"/>
          <w:color w:val="auto"/>
          <w:sz w:val="32"/>
          <w:highlight w:val="none"/>
        </w:rPr>
        <w:t>的通知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&gt;</w:t>
      </w:r>
      <w:r>
        <w:rPr>
          <w:rFonts w:hint="eastAsia" w:ascii="仿宋_GB2312" w:eastAsia="仿宋_GB2312"/>
          <w:color w:val="auto"/>
          <w:sz w:val="32"/>
          <w:highlight w:val="none"/>
        </w:rPr>
        <w:t>》要求，我局高度重视，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部署相关科室</w:t>
      </w:r>
      <w:r>
        <w:rPr>
          <w:rFonts w:hint="eastAsia" w:ascii="仿宋_GB2312" w:eastAsia="仿宋_GB2312"/>
          <w:color w:val="auto"/>
          <w:sz w:val="32"/>
        </w:rPr>
        <w:t>就20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25</w:t>
      </w:r>
      <w:r>
        <w:rPr>
          <w:rFonts w:hint="eastAsia" w:ascii="仿宋_GB2312" w:eastAsia="仿宋_GB2312"/>
          <w:color w:val="auto"/>
          <w:sz w:val="32"/>
        </w:rPr>
        <w:t>年度就业</w:t>
      </w:r>
      <w:r>
        <w:rPr>
          <w:rFonts w:hint="eastAsia" w:ascii="仿宋_GB2312" w:eastAsia="仿宋_GB2312"/>
          <w:color w:val="auto"/>
          <w:sz w:val="32"/>
          <w:lang w:eastAsia="zh-CN"/>
        </w:rPr>
        <w:t>补助</w:t>
      </w:r>
      <w:r>
        <w:rPr>
          <w:rFonts w:hint="eastAsia" w:ascii="仿宋_GB2312" w:eastAsia="仿宋_GB2312"/>
          <w:color w:val="auto"/>
          <w:sz w:val="32"/>
        </w:rPr>
        <w:t>资金</w:t>
      </w:r>
      <w:r>
        <w:rPr>
          <w:rFonts w:hint="eastAsia" w:ascii="仿宋_GB2312" w:eastAsia="仿宋_GB2312"/>
          <w:color w:val="auto"/>
          <w:sz w:val="32"/>
          <w:lang w:eastAsia="zh-CN"/>
        </w:rPr>
        <w:t>转移支付</w:t>
      </w:r>
      <w:r>
        <w:rPr>
          <w:rFonts w:hint="eastAsia" w:ascii="仿宋_GB2312" w:eastAsia="仿宋_GB2312"/>
          <w:color w:val="auto"/>
          <w:sz w:val="32"/>
        </w:rPr>
        <w:t>进行绩效评价，现将评价情况汇报如下：</w:t>
      </w:r>
    </w:p>
    <w:p w14:paraId="5723AD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rPr>
          <w:rFonts w:hint="eastAsia" w:ascii="仿宋_GB2312" w:hAnsi="仿宋_GB2312" w:eastAsia="仿宋_GB2312"/>
          <w:b w:val="0"/>
          <w:bCs/>
          <w:color w:val="auto"/>
          <w:sz w:val="32"/>
        </w:rPr>
      </w:pPr>
      <w:r>
        <w:rPr>
          <w:rFonts w:hint="eastAsia" w:ascii="黑体" w:hAnsi="黑体" w:eastAsia="黑体"/>
          <w:b w:val="0"/>
          <w:bCs/>
          <w:color w:val="auto"/>
          <w:sz w:val="32"/>
          <w:lang w:val="en-US" w:eastAsia="zh-CN"/>
        </w:rPr>
        <w:t>一、</w:t>
      </w:r>
      <w:r>
        <w:rPr>
          <w:rFonts w:hint="eastAsia" w:ascii="黑体" w:hAnsi="黑体" w:eastAsia="黑体"/>
          <w:b w:val="0"/>
          <w:bCs/>
          <w:color w:val="auto"/>
          <w:sz w:val="32"/>
        </w:rPr>
        <w:t>绩效目标分解下达情况</w:t>
      </w:r>
    </w:p>
    <w:p w14:paraId="04614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0" w:firstLineChars="100"/>
        <w:textAlignment w:val="top"/>
        <w:rPr>
          <w:rFonts w:hint="eastAsia" w:ascii="仿宋_GB2312" w:eastAsia="仿宋_GB2312"/>
          <w:color w:val="auto"/>
          <w:sz w:val="32"/>
          <w:szCs w:val="2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</w:rPr>
        <w:t xml:space="preserve">  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20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年度就业补助资金年初结余</w:t>
      </w:r>
      <w:r>
        <w:rPr>
          <w:rFonts w:hint="eastAsia" w:ascii="仿宋_GB2312" w:eastAsia="仿宋_GB2312"/>
          <w:color w:val="auto"/>
          <w:sz w:val="32"/>
          <w:szCs w:val="22"/>
          <w:lang w:val="en-US" w:eastAsia="zh-CN"/>
        </w:rPr>
        <w:t>189.53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本年共筹集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2303.23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（其中中央补助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784万元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省级财政补助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225万元，市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级财政补助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888万元，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区级财政补助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406.23万元），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支出共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2412.49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（其中中央补助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支出732.33万元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省级财政补助支出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225万元，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市级财政补助支出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868万元，区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eastAsia="zh-CN"/>
        </w:rPr>
        <w:t>级财政补助支出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406.23万元，结转结余支出180.93万元），年末</w:t>
      </w:r>
      <w:r>
        <w:rPr>
          <w:rFonts w:hint="eastAsia" w:ascii="仿宋_GB2312" w:eastAsia="仿宋_GB2312"/>
          <w:color w:val="auto"/>
          <w:sz w:val="32"/>
          <w:szCs w:val="22"/>
        </w:rPr>
        <w:t>滚存结余</w:t>
      </w:r>
      <w:r>
        <w:rPr>
          <w:rFonts w:hint="eastAsia" w:ascii="仿宋_GB2312" w:eastAsia="仿宋_GB2312"/>
          <w:color w:val="auto"/>
          <w:sz w:val="32"/>
          <w:szCs w:val="22"/>
          <w:lang w:val="en-US" w:eastAsia="zh-CN"/>
        </w:rPr>
        <w:t>80.26万元。</w:t>
      </w:r>
    </w:p>
    <w:p w14:paraId="1E713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jc w:val="left"/>
        <w:rPr>
          <w:rFonts w:hint="eastAsia" w:ascii="仿宋_GB2312" w:eastAsia="仿宋_GB2312"/>
          <w:color w:val="auto"/>
          <w:sz w:val="32"/>
          <w:highlight w:val="yellow"/>
          <w:lang w:eastAsia="zh-CN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年初设定目标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：根据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《福州市就业补助资金管理实施办法》，保证就业各项指标顺利实施。</w:t>
      </w:r>
    </w:p>
    <w:p w14:paraId="4A4EB9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rPr>
          <w:rFonts w:hint="eastAsia" w:ascii="黑体" w:hAnsi="黑体" w:eastAsia="黑体"/>
          <w:b w:val="0"/>
          <w:bCs/>
          <w:color w:val="auto"/>
          <w:sz w:val="32"/>
          <w:szCs w:val="22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lang w:val="en-US" w:eastAsia="zh-CN" w:bidi="ar-SA"/>
        </w:rPr>
        <w:t>二、</w:t>
      </w:r>
      <w:r>
        <w:rPr>
          <w:rFonts w:hint="eastAsia" w:ascii="黑体" w:hAnsi="黑体" w:eastAsia="黑体"/>
          <w:b w:val="0"/>
          <w:bCs/>
          <w:color w:val="auto"/>
          <w:sz w:val="32"/>
          <w:szCs w:val="22"/>
        </w:rPr>
        <w:t>绩效情况分析</w:t>
      </w:r>
    </w:p>
    <w:p w14:paraId="79DE7E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rPr>
          <w:rFonts w:hint="eastAsia" w:ascii="黑体" w:hAnsi="黑体" w:eastAsia="黑体"/>
          <w:b/>
          <w:color w:val="auto"/>
          <w:sz w:val="32"/>
          <w:szCs w:val="22"/>
        </w:rPr>
      </w:pPr>
      <w:r>
        <w:rPr>
          <w:rFonts w:hint="eastAsia" w:ascii="仿宋_GB2312" w:eastAsia="仿宋_GB2312"/>
          <w:b/>
          <w:color w:val="auto"/>
          <w:sz w:val="32"/>
        </w:rPr>
        <w:t>（</w:t>
      </w:r>
      <w:r>
        <w:rPr>
          <w:rFonts w:hint="eastAsia" w:ascii="仿宋_GB2312" w:eastAsia="仿宋_GB2312"/>
          <w:b/>
          <w:color w:val="auto"/>
          <w:sz w:val="32"/>
          <w:lang w:eastAsia="zh-CN"/>
        </w:rPr>
        <w:t>一</w:t>
      </w:r>
      <w:r>
        <w:rPr>
          <w:rFonts w:hint="eastAsia" w:ascii="仿宋_GB2312" w:eastAsia="仿宋_GB2312"/>
          <w:b/>
          <w:color w:val="auto"/>
          <w:sz w:val="32"/>
        </w:rPr>
        <w:t>）</w:t>
      </w:r>
      <w:r>
        <w:rPr>
          <w:rFonts w:hint="eastAsia" w:ascii="仿宋_GB2312" w:eastAsia="仿宋_GB2312"/>
          <w:b/>
          <w:color w:val="auto"/>
          <w:sz w:val="32"/>
        </w:rPr>
        <w:tab/>
      </w:r>
      <w:r>
        <w:rPr>
          <w:rFonts w:hint="eastAsia" w:ascii="仿宋_GB2312" w:eastAsia="仿宋_GB2312"/>
          <w:b/>
          <w:color w:val="auto"/>
          <w:sz w:val="32"/>
        </w:rPr>
        <w:t>资金投入情况分析</w:t>
      </w:r>
    </w:p>
    <w:p w14:paraId="0F6AFC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rPr>
          <w:rFonts w:hint="eastAsia" w:ascii="仿宋_GB2312" w:eastAsia="仿宋_GB2312"/>
          <w:b/>
          <w:color w:val="auto"/>
          <w:sz w:val="32"/>
        </w:rPr>
      </w:pPr>
      <w:r>
        <w:rPr>
          <w:rFonts w:hint="eastAsia" w:ascii="仿宋_GB2312" w:eastAsia="仿宋_GB2312"/>
          <w:b/>
          <w:color w:val="auto"/>
          <w:sz w:val="32"/>
          <w:lang w:val="en-US" w:eastAsia="zh-CN"/>
        </w:rPr>
        <w:t>1、</w:t>
      </w:r>
      <w:r>
        <w:rPr>
          <w:rFonts w:hint="eastAsia" w:ascii="仿宋_GB2312" w:eastAsia="仿宋_GB2312"/>
          <w:b/>
          <w:color w:val="auto"/>
          <w:sz w:val="32"/>
        </w:rPr>
        <w:t>项目资金到位情况分析</w:t>
      </w:r>
    </w:p>
    <w:p w14:paraId="0DB3D3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福州市人力资源和社会保障局关于下达2025年在榕就业创业一次性生活补贴经费的通知》（榕财社指〔2025〕28号)的文件精神，下达我区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市级就业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868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万元。</w:t>
      </w:r>
    </w:p>
    <w:p w14:paraId="337421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年就业补助资金的通知》（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财社指〔2025〕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号)的文件精神，下达我区就业补助资金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273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中央193万元、省级80万元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。</w:t>
      </w:r>
    </w:p>
    <w:p w14:paraId="716090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福州市人力资源和社会保障局关于下达2025年就业补助资金（公共就业服务能力提升示范项目）》（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财社指〔2025〕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号)的文件精神，下达我区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省级公就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两岸自由港建设经费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。</w:t>
      </w:r>
    </w:p>
    <w:p w14:paraId="1C6F78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福州市人力资源和社会保障局关于下达2025年就业补助资金（公共就业服务能力提升示范项目）》（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财社指〔2025〕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66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号)的文件精神，下达我区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中央公就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一县一品劳务品牌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。</w:t>
      </w:r>
    </w:p>
    <w:p w14:paraId="32851B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福州市人力资源和社会保障局关于下达2025年聚榕服务集散点项目资金（公共就业服务能力提升示范项目）通知》（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财社指〔2025〕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74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号)的文件精神，下达我区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市级公就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聚榕服务集散点建设经费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。</w:t>
      </w:r>
    </w:p>
    <w:p w14:paraId="55AF8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年中央财政就业补助资金预算的通知》（榕财社指〔2025〕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76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号)的文件精神，下达我区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中央就业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补助资金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168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万元。</w:t>
      </w:r>
    </w:p>
    <w:p w14:paraId="4B939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根据《福州市财政局 福州市人力资源和社会保障局关于下达202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年就业补助资金的通知》（榕财社指〔2025〕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88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号)的文件精神，下达我区就业补助资金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440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中央303万元、省级137万元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</w:rPr>
        <w:t>。</w:t>
      </w:r>
    </w:p>
    <w:p w14:paraId="16ED8C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rPr>
          <w:rFonts w:hint="eastAsia" w:ascii="仿宋_GB2312" w:eastAsia="仿宋_GB2312"/>
          <w:b/>
          <w:color w:val="auto"/>
          <w:sz w:val="32"/>
        </w:rPr>
      </w:pPr>
      <w:r>
        <w:rPr>
          <w:rFonts w:hint="eastAsia" w:ascii="仿宋_GB2312" w:eastAsia="仿宋_GB2312"/>
          <w:b/>
          <w:color w:val="auto"/>
          <w:sz w:val="32"/>
        </w:rPr>
        <w:t>项目资金</w:t>
      </w:r>
      <w:r>
        <w:rPr>
          <w:rFonts w:hint="eastAsia" w:ascii="仿宋_GB2312" w:eastAsia="仿宋_GB2312"/>
          <w:b/>
          <w:color w:val="auto"/>
          <w:sz w:val="32"/>
          <w:lang w:eastAsia="zh-CN"/>
        </w:rPr>
        <w:t>执行</w:t>
      </w:r>
      <w:r>
        <w:rPr>
          <w:rFonts w:hint="eastAsia" w:ascii="仿宋_GB2312" w:eastAsia="仿宋_GB2312"/>
          <w:b/>
          <w:color w:val="auto"/>
          <w:sz w:val="32"/>
        </w:rPr>
        <w:t>情况分析</w:t>
      </w:r>
    </w:p>
    <w:p w14:paraId="7B59BA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b/>
          <w:color w:val="auto"/>
          <w:sz w:val="32"/>
          <w:lang w:val="en-US" w:eastAsia="zh-CN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  <w:lang w:val="en-US" w:eastAsia="zh-CN"/>
        </w:rPr>
        <w:t>2025年就业创业服务补助支出23.62万元，社会保险补贴支出1194.21万元，公益性岗位补贴支出139.34万元，一次性就业创业补贴3.5万元，其他各项有关支出1051.82万元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。</w:t>
      </w:r>
    </w:p>
    <w:p w14:paraId="7C292853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tabs>
          <w:tab w:val="left" w:pos="13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0" w:firstLine="640"/>
        <w:jc w:val="left"/>
        <w:rPr>
          <w:rFonts w:hint="eastAsia" w:ascii="仿宋_GB2312" w:eastAsia="仿宋_GB2312"/>
          <w:b/>
          <w:color w:val="auto"/>
          <w:sz w:val="32"/>
        </w:rPr>
      </w:pPr>
      <w:r>
        <w:rPr>
          <w:rFonts w:hint="eastAsia" w:ascii="仿宋_GB2312" w:eastAsia="仿宋_GB2312"/>
          <w:b/>
          <w:color w:val="auto"/>
          <w:sz w:val="32"/>
        </w:rPr>
        <w:t>资金</w:t>
      </w:r>
      <w:r>
        <w:rPr>
          <w:rFonts w:hint="eastAsia" w:ascii="仿宋_GB2312" w:eastAsia="仿宋_GB2312"/>
          <w:b/>
          <w:color w:val="auto"/>
          <w:sz w:val="32"/>
          <w:lang w:eastAsia="zh-CN"/>
        </w:rPr>
        <w:t>管理</w:t>
      </w:r>
      <w:r>
        <w:rPr>
          <w:rFonts w:hint="eastAsia" w:ascii="仿宋_GB2312" w:eastAsia="仿宋_GB2312"/>
          <w:b/>
          <w:color w:val="auto"/>
          <w:sz w:val="32"/>
        </w:rPr>
        <w:t>情况分析</w:t>
      </w:r>
    </w:p>
    <w:p w14:paraId="6B2DC6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在认真贯彻执行国家、省、市关于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u w:val="none"/>
        </w:rPr>
        <w:t>就业</w:t>
      </w: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专项资金管理的政策和纪律规定的基础上，结合我区实际情况，完善一系列政策和措施，加强了资金运行的监督管理。主要体现在：</w:t>
      </w:r>
    </w:p>
    <w:p w14:paraId="3599F1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一是强化项目资金分配、下达、拨付、使用、执行管理，完善制度建设。我局严格遵守相关财务制度及我区资金审批及使用管理办法，严格按照省市就业专项资金管理办法，以人社部的就业专项资金管理纪律规定为基准，建立局务会议、区财政与区政府各级审批的联合监督体系，按实进行就业专项基金使用;</w:t>
      </w:r>
    </w:p>
    <w:p w14:paraId="143A3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二是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完善就业支持政策体系。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为做好高校毕业生就业工作，鼓励更多高校毕业生来榕留榕就业创业，为高校毕业生就业创业提供有力保障；</w:t>
      </w:r>
    </w:p>
    <w:p w14:paraId="29E117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三是将就业补助资金纳入预算管理，编制年度资金使用计划，同时进行项目绩效考核，适用区财政制定的预算管理相关文件；</w:t>
      </w:r>
    </w:p>
    <w:p w14:paraId="2086C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</w:rPr>
      </w:pPr>
      <w:r>
        <w:rPr>
          <w:rFonts w:hint="eastAsia" w:ascii="仿宋_GB2312" w:eastAsia="仿宋_GB2312"/>
          <w:color w:val="auto"/>
          <w:spacing w:val="-6"/>
          <w:sz w:val="32"/>
          <w:szCs w:val="32"/>
        </w:rPr>
        <w:t>四是我区对就业专项资金严格监管：在业务层面，针对个人的补贴及补助经过系统比对后发放；在资金申请上按实际需要进行分配；在资金审核拨付上，我区明文规定由区政府审批后，与财政联合行文后拨付；在监管方面，在自查的基础上每年接受审计及市局的相关检查。</w:t>
      </w:r>
    </w:p>
    <w:p w14:paraId="44069A9E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tabs>
          <w:tab w:val="left" w:pos="13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0" w:firstLine="640"/>
        <w:jc w:val="left"/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zh-CN" w:eastAsia="zh-CN" w:bidi="ar-SA"/>
        </w:rPr>
      </w:pP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总体绩效目标完成情况</w: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zh-CN" w:eastAsia="zh-CN" w:bidi="ar-SA"/>
        </w:rPr>
        <w:t>分析</w:t>
      </w:r>
    </w:p>
    <w:p w14:paraId="4D22A6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rPr>
          <w:rFonts w:hint="eastAsia" w:ascii="仿宋_GB2312" w:eastAsia="仿宋_GB2312"/>
          <w:color w:val="auto"/>
          <w:spacing w:val="-6"/>
          <w:sz w:val="32"/>
          <w:szCs w:val="32"/>
          <w:highlight w:val="green"/>
          <w:lang w:eastAsia="zh-CN"/>
        </w:rPr>
      </w:pPr>
      <w:bookmarkStart w:id="0" w:name="bookmark9"/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年，我区城镇新增就业达1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1170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人，完成全年任务1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00人的10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0.63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%；失业人员再就业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3515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人，完成全年任务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2900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人的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21.21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%；就业困难人员就业人数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857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人,完成全年任务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720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人的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19.03</w:t>
      </w:r>
      <w:r>
        <w:rPr>
          <w:rFonts w:hint="eastAsia" w:ascii="仿宋_GB2312" w:eastAsia="仿宋_GB2312"/>
          <w:color w:val="auto"/>
          <w:spacing w:val="-6"/>
          <w:sz w:val="32"/>
          <w:szCs w:val="32"/>
          <w:highlight w:val="none"/>
          <w:lang w:eastAsia="zh-CN"/>
        </w:rPr>
        <w:t>%。</w:t>
      </w:r>
    </w:p>
    <w:p w14:paraId="4706A895">
      <w:pPr>
        <w:pStyle w:val="12"/>
        <w:keepNext w:val="0"/>
        <w:keepLines w:val="0"/>
        <w:pageBreakBefore w:val="0"/>
        <w:widowControl w:val="0"/>
        <w:shd w:val="clear" w:color="auto" w:fill="auto"/>
        <w:tabs>
          <w:tab w:val="left" w:pos="14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60"/>
        <w:jc w:val="both"/>
        <w:textAlignment w:val="auto"/>
        <w:rPr>
          <w:color w:val="auto"/>
        </w:rPr>
      </w:pP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（</w:t>
      </w:r>
      <w:bookmarkEnd w:id="0"/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四）</w: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ab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绩效指标完成情况分析</w:t>
      </w:r>
    </w:p>
    <w:p w14:paraId="1D61D02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3" w:firstLineChars="200"/>
        <w:jc w:val="both"/>
        <w:textAlignment w:val="auto"/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bookmarkStart w:id="1" w:name="bookmark10"/>
      <w:bookmarkEnd w:id="1"/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1、产出指标完成情况</w:t>
      </w:r>
      <w:bookmarkStart w:id="3" w:name="_GoBack"/>
      <w:bookmarkEnd w:id="3"/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分析</w:t>
      </w:r>
    </w:p>
    <w:p w14:paraId="4F4BD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pacing w:val="-6"/>
          <w:kern w:val="2"/>
          <w:sz w:val="32"/>
          <w:szCs w:val="32"/>
          <w:highlight w:val="none"/>
          <w:u w:val="none"/>
          <w:shd w:val="clear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1）数量指标</w:t>
      </w:r>
    </w:p>
    <w:p w14:paraId="7CE75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Calibri" w:hAnsi="Calibri" w:eastAsia="仿宋_GB2312" w:cs="Calibri"/>
          <w:color w:val="auto"/>
          <w:sz w:val="32"/>
          <w:szCs w:val="32"/>
          <w:highlight w:val="none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享受社会保险补贴人员数量(万人)</w:t>
      </w:r>
    </w:p>
    <w:p w14:paraId="20451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年度指标值：0.12</w:t>
      </w:r>
    </w:p>
    <w:p w14:paraId="32FEFCAB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0.21</w:t>
      </w:r>
    </w:p>
    <w:p w14:paraId="1661EE0F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22"/>
          <w:highlight w:val="none"/>
          <w:lang w:val="en-US" w:eastAsia="zh-CN"/>
        </w:rPr>
        <w:t>2024年和2025年共计2060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名就业困难人员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val="en-US" w:eastAsia="zh-CN"/>
        </w:rPr>
        <w:t>及公益性岗位人员享受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灵活就业社保补贴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eastAsia="zh-CN"/>
        </w:rPr>
        <w:t>。</w:t>
      </w:r>
    </w:p>
    <w:p w14:paraId="7FFD608D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Calibri" w:hAnsi="Calibri" w:eastAsia="仿宋_GB2312" w:cs="Calibri"/>
          <w:color w:val="auto"/>
          <w:sz w:val="32"/>
          <w:szCs w:val="32"/>
          <w:highlight w:val="none"/>
          <w:lang w:val="en-US" w:eastAsia="zh-CN"/>
        </w:rPr>
        <w:t>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享受就业见习补贴人员数量（人）</w:t>
      </w:r>
    </w:p>
    <w:p w14:paraId="76C11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年度指标值：55</w:t>
      </w:r>
    </w:p>
    <w:p w14:paraId="75B2CC7E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</w:p>
    <w:p w14:paraId="189A6345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eastAsia="仿宋_GB2312"/>
          <w:color w:val="auto"/>
          <w:sz w:val="32"/>
          <w:szCs w:val="2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20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val="en-US" w:eastAsia="zh-CN"/>
        </w:rPr>
        <w:t>25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年，暂无人申请就业见习补贴，无相关支出</w:t>
      </w:r>
    </w:p>
    <w:p w14:paraId="155B045E"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质量指标</w:t>
      </w:r>
    </w:p>
    <w:p w14:paraId="504B1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Calibri" w:hAnsi="Calibri" w:eastAsia="仿宋_GB2312" w:cs="Calibri"/>
          <w:color w:val="auto"/>
          <w:sz w:val="32"/>
          <w:szCs w:val="32"/>
          <w:lang w:val="en-US" w:eastAsia="zh-CN"/>
        </w:rPr>
        <w:t>就业困难人员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享受公益性岗位补贴人员数量（人）</w:t>
      </w:r>
    </w:p>
    <w:p w14:paraId="4F5EE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年度指标值：70</w:t>
      </w:r>
    </w:p>
    <w:p w14:paraId="055D608A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146</w:t>
      </w:r>
    </w:p>
    <w:p w14:paraId="1686E7EC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eastAsia="仿宋_GB2312"/>
          <w:color w:val="auto"/>
          <w:sz w:val="32"/>
          <w:szCs w:val="2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为进一步推动就业创业政策有效落实，帮扶我区就业困难人员实现就业，继续实施公益性岗位托底安置，今年我区继续对空缺的劳动保障协理员岗位进行了招聘。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val="en-US" w:eastAsia="zh-CN"/>
        </w:rPr>
        <w:t>2025年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市属专职劳动保障协理员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eastAsia="zh-CN"/>
        </w:rPr>
        <w:t>及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区属专职劳动保障协理员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val="en-US" w:eastAsia="zh-CN"/>
        </w:rPr>
        <w:t>陆续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共计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val="en-US" w:eastAsia="zh-CN"/>
        </w:rPr>
        <w:t>146</w:t>
      </w:r>
      <w:r>
        <w:rPr>
          <w:rFonts w:hint="eastAsia" w:ascii="仿宋_GB2312" w:eastAsia="仿宋_GB2312"/>
          <w:color w:val="auto"/>
          <w:sz w:val="32"/>
          <w:szCs w:val="22"/>
          <w:highlight w:val="none"/>
        </w:rPr>
        <w:t>名在我区就业</w:t>
      </w:r>
      <w:r>
        <w:rPr>
          <w:rFonts w:hint="eastAsia" w:ascii="仿宋_GB2312" w:eastAsia="仿宋_GB2312"/>
          <w:color w:val="auto"/>
          <w:sz w:val="32"/>
          <w:szCs w:val="22"/>
          <w:highlight w:val="none"/>
          <w:lang w:eastAsia="zh-CN"/>
        </w:rPr>
        <w:t>。</w:t>
      </w:r>
    </w:p>
    <w:p w14:paraId="5556503A"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 w:firstLineChars="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时效指标</w:t>
      </w:r>
    </w:p>
    <w:p w14:paraId="109A7BF2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补贴资</w:t>
      </w:r>
      <w:r>
        <w:rPr>
          <w:rFonts w:hint="eastAsia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金在规定时间内下达率</w:t>
      </w:r>
      <w:r>
        <w:rPr>
          <w:rFonts w:hint="eastAsia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42C536C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年度指标值：99</w:t>
      </w: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%</w:t>
      </w:r>
    </w:p>
    <w:p w14:paraId="02A18681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全年完成值：100</w:t>
      </w: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%</w:t>
      </w:r>
    </w:p>
    <w:p w14:paraId="4FDBB235"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 w:firstLineChars="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成本指标</w:t>
      </w:r>
      <w:bookmarkStart w:id="2" w:name="bookmark11"/>
      <w:bookmarkEnd w:id="2"/>
    </w:p>
    <w:p w14:paraId="706C749D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社会保险补贴人均标准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1EA76F77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原则上不超过社会保险费实际缴费额的2/3</w:t>
      </w:r>
    </w:p>
    <w:p w14:paraId="13D4365E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491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元/人</w:t>
      </w:r>
    </w:p>
    <w:p w14:paraId="428D738B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②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公益性岗位补贴人均标准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7C2855A5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原则上不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于当地最低工资标准行</w:t>
      </w:r>
    </w:p>
    <w:p w14:paraId="78A1BCC2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44472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元/人、年</w:t>
      </w:r>
    </w:p>
    <w:p w14:paraId="69AF61F1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享受A类公益性岗位补贴，平均月标准3706元/月，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当地最低工资标准行。</w:t>
      </w:r>
    </w:p>
    <w:p w14:paraId="74EB18D6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3" w:firstLineChars="200"/>
        <w:jc w:val="both"/>
        <w:textAlignment w:val="auto"/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2、效益指标完成情况分析</w:t>
      </w:r>
    </w:p>
    <w:p w14:paraId="5C437889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（1）社会效益</w:t>
      </w:r>
    </w:p>
    <w:p w14:paraId="79CA0AB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零就业家庭帮扶率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554BE24C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年度指标值：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≧9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%</w:t>
      </w:r>
    </w:p>
    <w:p w14:paraId="1642D830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100%</w:t>
      </w:r>
    </w:p>
    <w:p w14:paraId="31A55142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②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因就业问题发生重大群体性事件数量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3252ED51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起</w:t>
      </w:r>
    </w:p>
    <w:p w14:paraId="3B56442D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</w:p>
    <w:p w14:paraId="6BAC8768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（2）可持续影响效益</w:t>
      </w:r>
    </w:p>
    <w:p w14:paraId="1199196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城镇新增就业人数（万人）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2D2D2F08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年度指标值：1.11</w:t>
      </w:r>
    </w:p>
    <w:p w14:paraId="42A98195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1.12</w:t>
      </w:r>
    </w:p>
    <w:p w14:paraId="7F12074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②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失业人员再就业人数（万人）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339545C1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年度指标值：0.29</w:t>
      </w:r>
    </w:p>
    <w:p w14:paraId="59F9E0A0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0.35</w:t>
      </w:r>
    </w:p>
    <w:p w14:paraId="6887FEA7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③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就业困难人员再就业人数（人）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03CB3183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年度指标值：720人</w:t>
      </w:r>
    </w:p>
    <w:p w14:paraId="691B96CE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857人</w:t>
      </w:r>
    </w:p>
    <w:p w14:paraId="166523C6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3" w:firstLineChars="200"/>
        <w:jc w:val="both"/>
        <w:textAlignment w:val="auto"/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满意度指标完成情况分析</w:t>
      </w:r>
    </w:p>
    <w:p w14:paraId="6AB9F9E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320" w:firstLineChars="1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（1）服务对象满意度指标</w:t>
      </w:r>
    </w:p>
    <w:p w14:paraId="2AE11F8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default" w:ascii="Calibri" w:hAnsi="Calibri" w:eastAsia="仿宋_GB2312" w:cs="Calibri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>就业政策满意度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  <w:tab/>
      </w:r>
    </w:p>
    <w:p w14:paraId="0ADDD4BE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年度指标值：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</w:p>
    <w:p w14:paraId="64F61F37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全年完成值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</w:p>
    <w:p w14:paraId="31A2FB26"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shd w:val="clear" w:color="auto" w:fill="auto"/>
        <w:tabs>
          <w:tab w:val="left" w:pos="10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540"/>
        <w:jc w:val="left"/>
        <w:textAlignment w:val="auto"/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偏离绩效目标的原因和下一步改进措施</w:t>
      </w:r>
    </w:p>
    <w:p w14:paraId="2EC9938F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highlight w:val="none"/>
          <w:lang w:val="en-US" w:eastAsia="zh-CN"/>
        </w:rPr>
        <w:t>经过分析，有1个目标未完成，主要是：上级下达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享受就业见习补贴人员数量任务为55人，实际完成0人，主要是暂无人申请就业见习补贴，无相关支出。</w:t>
      </w:r>
    </w:p>
    <w:p w14:paraId="3B5701A1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64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今后将统筹就业补助资金，结合客观实际变化，及早调整计划。</w:t>
      </w:r>
    </w:p>
    <w:p w14:paraId="740BC041"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shd w:val="clear" w:color="auto" w:fill="auto"/>
        <w:tabs>
          <w:tab w:val="left" w:pos="10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540" w:firstLineChars="0"/>
        <w:jc w:val="left"/>
        <w:textAlignment w:val="auto"/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绩效自评结果拟应用和公开情况</w:t>
      </w:r>
    </w:p>
    <w:p w14:paraId="540DF29C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/>
        <w:jc w:val="left"/>
        <w:textAlignment w:val="auto"/>
        <w:rPr>
          <w:rFonts w:hint="default" w:ascii="黑体" w:hAnsi="黑体" w:eastAsia="黑体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Times New Roman"/>
          <w:b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绩效自评结果将应用于2026年工作计划和实施的参考。按规定进行公开。</w:t>
      </w:r>
    </w:p>
    <w:p w14:paraId="5699E1AD"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shd w:val="clear" w:color="auto" w:fill="auto"/>
        <w:tabs>
          <w:tab w:val="left" w:pos="10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540" w:firstLineChars="0"/>
        <w:jc w:val="left"/>
        <w:textAlignment w:val="auto"/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color w:val="auto"/>
          <w:kern w:val="2"/>
          <w:sz w:val="32"/>
          <w:szCs w:val="22"/>
          <w:u w:val="none"/>
          <w:shd w:val="clear" w:color="auto" w:fill="auto"/>
          <w:lang w:val="en-US" w:eastAsia="zh-CN" w:bidi="ar-SA"/>
        </w:rPr>
        <w:t>其他需要说明的问题</w:t>
      </w:r>
    </w:p>
    <w:p w14:paraId="0D51B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/>
        <w:jc w:val="left"/>
        <w:textAlignment w:val="auto"/>
        <w:rPr>
          <w:rFonts w:hint="eastAsia" w:ascii="仿宋_GB2312" w:hAnsi="仿宋_GB2312" w:eastAsia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eastAsia="zh-CN"/>
        </w:rPr>
        <w:t>无</w:t>
      </w:r>
    </w:p>
    <w:p w14:paraId="3CA76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六、附件</w:t>
      </w:r>
    </w:p>
    <w:p w14:paraId="07437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转移支付区域（项目）绩效目标自评表</w:t>
      </w:r>
    </w:p>
    <w:p w14:paraId="01B02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BAA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861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9FF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200"/>
        <w:jc w:val="right"/>
        <w:rPr>
          <w:rFonts w:hint="eastAsia" w:ascii="仿宋_GB2312" w:hAnsi="仿宋_GB2312" w:eastAsia="仿宋_GB2312"/>
          <w:color w:val="auto"/>
          <w:sz w:val="32"/>
        </w:rPr>
      </w:pPr>
      <w:r>
        <w:rPr>
          <w:rFonts w:hint="eastAsia" w:ascii="仿宋_GB2312" w:hAnsi="仿宋_GB2312" w:eastAsia="仿宋_GB2312"/>
          <w:color w:val="auto"/>
          <w:sz w:val="32"/>
        </w:rPr>
        <w:t xml:space="preserve">              福州市晋安区人力资源和社会保障局</w:t>
      </w:r>
    </w:p>
    <w:p w14:paraId="07349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200"/>
        <w:jc w:val="center"/>
        <w:rPr>
          <w:rFonts w:hint="default" w:ascii="仿宋_GB2312" w:hAnsi="仿宋_GB2312" w:eastAsia="仿宋_GB2312"/>
          <w:color w:val="auto"/>
          <w:sz w:val="32"/>
          <w:lang w:val="en-US"/>
        </w:rPr>
      </w:pPr>
      <w:r>
        <w:rPr>
          <w:rFonts w:hint="eastAsia" w:ascii="仿宋_GB2312" w:hAnsi="仿宋_GB2312" w:eastAsia="仿宋_GB2312"/>
          <w:color w:val="auto"/>
          <w:sz w:val="32"/>
        </w:rPr>
        <w:t xml:space="preserve">                    20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26</w:t>
      </w:r>
      <w:r>
        <w:rPr>
          <w:rFonts w:hint="eastAsia" w:ascii="仿宋_GB2312" w:hAnsi="仿宋_GB2312" w:eastAsia="仿宋_GB2312"/>
          <w:color w:val="auto"/>
          <w:sz w:val="32"/>
        </w:rPr>
        <w:t>年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3</w:t>
      </w:r>
      <w:r>
        <w:rPr>
          <w:rFonts w:hint="eastAsia" w:ascii="仿宋_GB2312" w:hAnsi="仿宋_GB2312" w:eastAsia="仿宋_GB2312"/>
          <w:color w:val="auto"/>
          <w:sz w:val="32"/>
        </w:rPr>
        <w:t>月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16日</w:t>
      </w:r>
    </w:p>
    <w:sectPr>
      <w:headerReference r:id="rId3" w:type="default"/>
      <w:footerReference r:id="rId4" w:type="default"/>
      <w:pgSz w:w="11906" w:h="16838"/>
      <w:pgMar w:top="1701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8D19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6D3877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2.05pt;width:5.3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GerNUXQAAAAAwEAAA8AAAAAAAAAAQAgAAAAIgAAAGRycy9kb3ducmV2&#10;LnhtbFBLAQIUABQAAAAIAIdO4kCHC7m0ywEAAJUDAAAOAAAAAAAAAAEAIAAAAB8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6D3877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638A2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B3035"/>
    <w:multiLevelType w:val="singleLevel"/>
    <w:tmpl w:val="A66B3035"/>
    <w:lvl w:ilvl="0" w:tentative="0">
      <w:start w:val="3"/>
      <w:numFmt w:val="chineseCounting"/>
      <w:lvlText w:val="%1、"/>
      <w:lvlJc w:val="left"/>
      <w:rPr>
        <w:rFonts w:hint="eastAsia"/>
      </w:rPr>
    </w:lvl>
  </w:abstractNum>
  <w:abstractNum w:abstractNumId="1">
    <w:nsid w:val="B2A2F09B"/>
    <w:multiLevelType w:val="singleLevel"/>
    <w:tmpl w:val="B2A2F09B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08A02981"/>
    <w:multiLevelType w:val="singleLevel"/>
    <w:tmpl w:val="08A02981"/>
    <w:lvl w:ilvl="0" w:tentative="0">
      <w:start w:val="2"/>
      <w:numFmt w:val="chineseCounting"/>
      <w:lvlText w:val="（%1）"/>
      <w:lvlJc w:val="left"/>
      <w:rPr>
        <w:rFonts w:hint="eastAsia"/>
      </w:rPr>
    </w:lvl>
  </w:abstractNum>
  <w:abstractNum w:abstractNumId="3">
    <w:nsid w:val="3CDE3B87"/>
    <w:multiLevelType w:val="singleLevel"/>
    <w:tmpl w:val="3CDE3B87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2MGU2N2IxMjhkODc1Mzg5ZmFhNzI1MjhmMjEzZDMifQ=="/>
  </w:docVars>
  <w:rsids>
    <w:rsidRoot w:val="00172A27"/>
    <w:rsid w:val="004478DE"/>
    <w:rsid w:val="008D4061"/>
    <w:rsid w:val="00AB3DD9"/>
    <w:rsid w:val="00AC4B5D"/>
    <w:rsid w:val="00BF66FA"/>
    <w:rsid w:val="00C65A62"/>
    <w:rsid w:val="00E37282"/>
    <w:rsid w:val="010B4457"/>
    <w:rsid w:val="013E6D1A"/>
    <w:rsid w:val="01C31FA1"/>
    <w:rsid w:val="01FA0870"/>
    <w:rsid w:val="021908CB"/>
    <w:rsid w:val="022E22FF"/>
    <w:rsid w:val="02600AB8"/>
    <w:rsid w:val="02BE7646"/>
    <w:rsid w:val="032B2AD4"/>
    <w:rsid w:val="0459578C"/>
    <w:rsid w:val="04612AD6"/>
    <w:rsid w:val="06007467"/>
    <w:rsid w:val="064832D9"/>
    <w:rsid w:val="06924F7E"/>
    <w:rsid w:val="071A4288"/>
    <w:rsid w:val="07515BBD"/>
    <w:rsid w:val="07E8263D"/>
    <w:rsid w:val="081C7059"/>
    <w:rsid w:val="08294E93"/>
    <w:rsid w:val="089F1676"/>
    <w:rsid w:val="09137691"/>
    <w:rsid w:val="0A325CDF"/>
    <w:rsid w:val="0AD92A44"/>
    <w:rsid w:val="0B674B17"/>
    <w:rsid w:val="0BF06AE1"/>
    <w:rsid w:val="0C265C47"/>
    <w:rsid w:val="0CED137F"/>
    <w:rsid w:val="0CFC1341"/>
    <w:rsid w:val="0D2A6D1A"/>
    <w:rsid w:val="0D9345C0"/>
    <w:rsid w:val="0DA24CC3"/>
    <w:rsid w:val="0E752DE1"/>
    <w:rsid w:val="0F206E78"/>
    <w:rsid w:val="101A24D0"/>
    <w:rsid w:val="10756333"/>
    <w:rsid w:val="12157297"/>
    <w:rsid w:val="1224674A"/>
    <w:rsid w:val="12BF7633"/>
    <w:rsid w:val="13094E02"/>
    <w:rsid w:val="13433535"/>
    <w:rsid w:val="135E3E05"/>
    <w:rsid w:val="13790B3A"/>
    <w:rsid w:val="14067DB9"/>
    <w:rsid w:val="142071DF"/>
    <w:rsid w:val="14745FA8"/>
    <w:rsid w:val="147E66DF"/>
    <w:rsid w:val="15E27F7B"/>
    <w:rsid w:val="178957B6"/>
    <w:rsid w:val="17E17A12"/>
    <w:rsid w:val="18342EB2"/>
    <w:rsid w:val="19073C0C"/>
    <w:rsid w:val="198D6F3C"/>
    <w:rsid w:val="1A885566"/>
    <w:rsid w:val="1AFE58E9"/>
    <w:rsid w:val="1B62438C"/>
    <w:rsid w:val="1CA1608E"/>
    <w:rsid w:val="1CD85648"/>
    <w:rsid w:val="1D0F2496"/>
    <w:rsid w:val="1D1722B1"/>
    <w:rsid w:val="1D2C334E"/>
    <w:rsid w:val="1D2D076E"/>
    <w:rsid w:val="1E0E135C"/>
    <w:rsid w:val="1E6D28C3"/>
    <w:rsid w:val="203F04AE"/>
    <w:rsid w:val="21C53062"/>
    <w:rsid w:val="22C2677A"/>
    <w:rsid w:val="23E57B71"/>
    <w:rsid w:val="245D217F"/>
    <w:rsid w:val="245E3B77"/>
    <w:rsid w:val="2463541E"/>
    <w:rsid w:val="25190F6A"/>
    <w:rsid w:val="25A72F13"/>
    <w:rsid w:val="26191717"/>
    <w:rsid w:val="264136DD"/>
    <w:rsid w:val="265748E1"/>
    <w:rsid w:val="2686273B"/>
    <w:rsid w:val="2707424B"/>
    <w:rsid w:val="27BF5617"/>
    <w:rsid w:val="28681A6C"/>
    <w:rsid w:val="286D7E62"/>
    <w:rsid w:val="28B24649"/>
    <w:rsid w:val="28C956D7"/>
    <w:rsid w:val="28E56F57"/>
    <w:rsid w:val="28EB3E1D"/>
    <w:rsid w:val="29035C08"/>
    <w:rsid w:val="29103EF4"/>
    <w:rsid w:val="2940046F"/>
    <w:rsid w:val="299F42F8"/>
    <w:rsid w:val="29E87BA9"/>
    <w:rsid w:val="2A7867EF"/>
    <w:rsid w:val="2B575D64"/>
    <w:rsid w:val="2BC81C92"/>
    <w:rsid w:val="2CC45E8E"/>
    <w:rsid w:val="2D705DD0"/>
    <w:rsid w:val="2E0F4742"/>
    <w:rsid w:val="2F2A3E52"/>
    <w:rsid w:val="302B56AC"/>
    <w:rsid w:val="30894670"/>
    <w:rsid w:val="30CF10C2"/>
    <w:rsid w:val="30D27E8F"/>
    <w:rsid w:val="3172794A"/>
    <w:rsid w:val="31985A48"/>
    <w:rsid w:val="32AA1592"/>
    <w:rsid w:val="32AB6CFF"/>
    <w:rsid w:val="32FE466F"/>
    <w:rsid w:val="335C7341"/>
    <w:rsid w:val="339026A3"/>
    <w:rsid w:val="3460706F"/>
    <w:rsid w:val="34B31CA6"/>
    <w:rsid w:val="35175E69"/>
    <w:rsid w:val="35D91B29"/>
    <w:rsid w:val="35DE4D03"/>
    <w:rsid w:val="35EF7451"/>
    <w:rsid w:val="365C7D7D"/>
    <w:rsid w:val="3672183C"/>
    <w:rsid w:val="37250C2A"/>
    <w:rsid w:val="37620063"/>
    <w:rsid w:val="37BF1FE0"/>
    <w:rsid w:val="38A96AC0"/>
    <w:rsid w:val="3AFA7BBD"/>
    <w:rsid w:val="3B5B5309"/>
    <w:rsid w:val="3B6666B1"/>
    <w:rsid w:val="3B7271C5"/>
    <w:rsid w:val="3CB05967"/>
    <w:rsid w:val="3CCB6A88"/>
    <w:rsid w:val="3D162143"/>
    <w:rsid w:val="3E30309D"/>
    <w:rsid w:val="3F241ACD"/>
    <w:rsid w:val="3F90654F"/>
    <w:rsid w:val="3F9346AC"/>
    <w:rsid w:val="3FAA4F44"/>
    <w:rsid w:val="3FB022B5"/>
    <w:rsid w:val="40D67D8F"/>
    <w:rsid w:val="40EB2913"/>
    <w:rsid w:val="432A2BD3"/>
    <w:rsid w:val="43412730"/>
    <w:rsid w:val="435A5938"/>
    <w:rsid w:val="4390624E"/>
    <w:rsid w:val="439F34CC"/>
    <w:rsid w:val="451915A9"/>
    <w:rsid w:val="4586387E"/>
    <w:rsid w:val="45E24D5A"/>
    <w:rsid w:val="464A4147"/>
    <w:rsid w:val="46696DC1"/>
    <w:rsid w:val="47316D72"/>
    <w:rsid w:val="47C168CF"/>
    <w:rsid w:val="48451D88"/>
    <w:rsid w:val="486A0F81"/>
    <w:rsid w:val="495859A2"/>
    <w:rsid w:val="4A277F05"/>
    <w:rsid w:val="4A97778C"/>
    <w:rsid w:val="4C407E0A"/>
    <w:rsid w:val="4D243E8B"/>
    <w:rsid w:val="4D2E2B7B"/>
    <w:rsid w:val="4D541195"/>
    <w:rsid w:val="4DD569B9"/>
    <w:rsid w:val="4ED94EEB"/>
    <w:rsid w:val="4FE31379"/>
    <w:rsid w:val="506D540C"/>
    <w:rsid w:val="50C05EC6"/>
    <w:rsid w:val="50D47093"/>
    <w:rsid w:val="50F85392"/>
    <w:rsid w:val="51536B16"/>
    <w:rsid w:val="51572ED7"/>
    <w:rsid w:val="51702CC5"/>
    <w:rsid w:val="51A94C4F"/>
    <w:rsid w:val="51FB132F"/>
    <w:rsid w:val="523F59BA"/>
    <w:rsid w:val="528D40C9"/>
    <w:rsid w:val="528D7D42"/>
    <w:rsid w:val="537C5EA1"/>
    <w:rsid w:val="54364FF2"/>
    <w:rsid w:val="543C7299"/>
    <w:rsid w:val="548319E7"/>
    <w:rsid w:val="54AA70AF"/>
    <w:rsid w:val="550B5629"/>
    <w:rsid w:val="553A4D65"/>
    <w:rsid w:val="555F39F6"/>
    <w:rsid w:val="56F571A6"/>
    <w:rsid w:val="57E82137"/>
    <w:rsid w:val="58303418"/>
    <w:rsid w:val="58477389"/>
    <w:rsid w:val="58564D5C"/>
    <w:rsid w:val="586B45AE"/>
    <w:rsid w:val="58895A07"/>
    <w:rsid w:val="58AD4D70"/>
    <w:rsid w:val="58E46163"/>
    <w:rsid w:val="599D53D9"/>
    <w:rsid w:val="59DE4878"/>
    <w:rsid w:val="5B410D83"/>
    <w:rsid w:val="5BE87BC8"/>
    <w:rsid w:val="5C761DA1"/>
    <w:rsid w:val="5CCE3E45"/>
    <w:rsid w:val="5E9311B9"/>
    <w:rsid w:val="5EAA2EB6"/>
    <w:rsid w:val="5EDE49D3"/>
    <w:rsid w:val="5F06415B"/>
    <w:rsid w:val="5FCD0108"/>
    <w:rsid w:val="5FD17B58"/>
    <w:rsid w:val="607C6644"/>
    <w:rsid w:val="613B4364"/>
    <w:rsid w:val="61DD31C4"/>
    <w:rsid w:val="61E47200"/>
    <w:rsid w:val="627723E0"/>
    <w:rsid w:val="639E44A7"/>
    <w:rsid w:val="649815ED"/>
    <w:rsid w:val="64D015BE"/>
    <w:rsid w:val="653E0FFE"/>
    <w:rsid w:val="65490B07"/>
    <w:rsid w:val="65497345"/>
    <w:rsid w:val="655935F2"/>
    <w:rsid w:val="65C2261E"/>
    <w:rsid w:val="67D841C8"/>
    <w:rsid w:val="68252A66"/>
    <w:rsid w:val="68725429"/>
    <w:rsid w:val="692A5FA0"/>
    <w:rsid w:val="696C120D"/>
    <w:rsid w:val="6BA836D3"/>
    <w:rsid w:val="6C597F79"/>
    <w:rsid w:val="6C657628"/>
    <w:rsid w:val="6DA23CAF"/>
    <w:rsid w:val="6DD5552B"/>
    <w:rsid w:val="70CA7A44"/>
    <w:rsid w:val="71225F65"/>
    <w:rsid w:val="718C6E9E"/>
    <w:rsid w:val="71B15549"/>
    <w:rsid w:val="73783D50"/>
    <w:rsid w:val="74262915"/>
    <w:rsid w:val="74C8571B"/>
    <w:rsid w:val="74C93B1C"/>
    <w:rsid w:val="753E703F"/>
    <w:rsid w:val="767D24C8"/>
    <w:rsid w:val="76802BBF"/>
    <w:rsid w:val="76F438BD"/>
    <w:rsid w:val="771D5D9F"/>
    <w:rsid w:val="77924ABD"/>
    <w:rsid w:val="780154CF"/>
    <w:rsid w:val="78746A20"/>
    <w:rsid w:val="79224DD7"/>
    <w:rsid w:val="79FE1534"/>
    <w:rsid w:val="7A85166F"/>
    <w:rsid w:val="7AF24A12"/>
    <w:rsid w:val="7B4F1B00"/>
    <w:rsid w:val="7BBB01C8"/>
    <w:rsid w:val="7C2A2F43"/>
    <w:rsid w:val="7C4D6A6C"/>
    <w:rsid w:val="7CCA183D"/>
    <w:rsid w:val="7CF230D6"/>
    <w:rsid w:val="7DAF1DD6"/>
    <w:rsid w:val="7F7D54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Body Text"/>
    <w:basedOn w:val="1"/>
    <w:autoRedefine/>
    <w:qFormat/>
    <w:uiPriority w:val="99"/>
    <w:pPr>
      <w:adjustRightInd w:val="0"/>
      <w:spacing w:line="312" w:lineRule="atLeast"/>
    </w:pPr>
    <w:rPr>
      <w:kern w:val="0"/>
    </w:rPr>
  </w:style>
  <w:style w:type="paragraph" w:styleId="4">
    <w:name w:val="Balloon Text"/>
    <w:basedOn w:val="1"/>
    <w:autoRedefine/>
    <w:qFormat/>
    <w:uiPriority w:val="0"/>
    <w:rPr>
      <w:sz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9">
    <w:name w:val="page number"/>
    <w:basedOn w:val="8"/>
    <w:autoRedefine/>
    <w:qFormat/>
    <w:uiPriority w:val="0"/>
  </w:style>
  <w:style w:type="paragraph" w:customStyle="1" w:styleId="10">
    <w:name w:val=" Char3 Char Char Char Char Char Char"/>
    <w:basedOn w:val="1"/>
    <w:autoRedefine/>
    <w:qFormat/>
    <w:uiPriority w:val="0"/>
    <w:pPr>
      <w:widowControl/>
      <w:spacing w:after="160" w:afterLines="0" w:afterAutospacing="0" w:line="240" w:lineRule="exact"/>
      <w:jc w:val="left"/>
    </w:pPr>
  </w:style>
  <w:style w:type="paragraph" w:customStyle="1" w:styleId="11">
    <w:name w:val="Body text|2"/>
    <w:basedOn w:val="1"/>
    <w:autoRedefine/>
    <w:qFormat/>
    <w:uiPriority w:val="0"/>
    <w:pPr>
      <w:widowControl w:val="0"/>
      <w:shd w:val="clear" w:color="auto" w:fill="auto"/>
      <w:spacing w:after="240"/>
      <w:jc w:val="center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2">
    <w:name w:val="Body text|1"/>
    <w:basedOn w:val="1"/>
    <w:autoRedefine/>
    <w:qFormat/>
    <w:uiPriority w:val="0"/>
    <w:pPr>
      <w:widowControl w:val="0"/>
      <w:shd w:val="clear" w:color="auto" w:fill="auto"/>
      <w:spacing w:after="240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Tencent%20Files\499643435\FileRecv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6</Pages>
  <Words>2460</Words>
  <Characters>2732</Characters>
  <Lines>29</Lines>
  <Paragraphs>8</Paragraphs>
  <TotalTime>103</TotalTime>
  <ScaleCrop>false</ScaleCrop>
  <LinksUpToDate>false</LinksUpToDate>
  <CharactersWithSpaces>2790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2008-12-26T00:45:00Z</dcterms:created>
  <dc:creator>Administrator</dc:creator>
  <cp:lastModifiedBy>张浩冉</cp:lastModifiedBy>
  <cp:lastPrinted>2026-03-18T09:08:00Z</cp:lastPrinted>
  <dcterms:modified xsi:type="dcterms:W3CDTF">2026-08-11T02:58:29Z</dcterms:modified>
  <dc:title>榕晋人社〔2014〕号                     签发人：傅丽平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C67D36657ED0401ABFCD6E3F901E3B89_13</vt:lpwstr>
  </property>
  <property fmtid="{D5CDD505-2E9C-101B-9397-08002B2CF9AE}" pid="4" name="KSOTemplateDocerSaveRecord">
    <vt:lpwstr>eyJoZGlkIjoiOGI0ZWI5OTEzZTYwOTliYWRkZmI5N2UzMmVhOWYwMjEiLCJ1c2VySWQiOiIxNjg2MDI3MDA2In0=</vt:lpwstr>
  </property>
</Properties>
</file>