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76B8A">
      <w:pPr>
        <w:keepNext w:val="0"/>
        <w:keepLines w:val="0"/>
        <w:pageBreakBefore w:val="0"/>
        <w:widowControl/>
        <w:kinsoku/>
        <w:wordWrap/>
        <w:overflowPunct/>
        <w:topLinePunct w:val="0"/>
        <w:autoSpaceDE/>
        <w:autoSpaceDN/>
        <w:bidi w:val="0"/>
        <w:adjustRightInd/>
        <w:spacing w:line="360" w:lineRule="auto"/>
        <w:ind w:firstLine="501" w:firstLineChars="208"/>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投标邀请书</w:t>
      </w:r>
    </w:p>
    <w:p w14:paraId="37157D97">
      <w:pPr>
        <w:keepNext w:val="0"/>
        <w:keepLines w:val="0"/>
        <w:pageBreakBefore w:val="0"/>
        <w:kinsoku/>
        <w:wordWrap/>
        <w:overflowPunct/>
        <w:topLinePunct w:val="0"/>
        <w:autoSpaceDE/>
        <w:autoSpaceDN/>
        <w:bidi w:val="0"/>
        <w:spacing w:before="312" w:beforeLines="10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致：</w:t>
      </w:r>
      <w:r>
        <w:rPr>
          <w:rFonts w:hint="eastAsia" w:ascii="宋体" w:hAnsi="宋体" w:eastAsia="宋体" w:cs="宋体"/>
          <w:color w:val="auto"/>
          <w:sz w:val="24"/>
          <w:szCs w:val="24"/>
          <w:highlight w:val="none"/>
          <w:u w:val="single"/>
          <w:lang w:val="en-US" w:eastAsia="zh-CN"/>
        </w:rPr>
        <w:t>福建鑫瑞电力工程有限公司</w:t>
      </w:r>
      <w:r>
        <w:rPr>
          <w:rFonts w:hint="eastAsia" w:ascii="宋体" w:hAnsi="宋体" w:eastAsia="宋体" w:cs="宋体"/>
          <w:sz w:val="24"/>
          <w:szCs w:val="24"/>
          <w:u w:val="single"/>
          <w:lang w:eastAsia="zh-CN"/>
        </w:rPr>
        <w:t>、福建创宇聚丰建设工程有限公司、福建宝业电力建设工程有限公司</w:t>
      </w:r>
      <w:bookmarkStart w:id="0" w:name="_GoBack"/>
      <w:bookmarkEnd w:id="0"/>
    </w:p>
    <w:p w14:paraId="0885A5B5">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招标条件</w:t>
      </w:r>
    </w:p>
    <w:p w14:paraId="73CA577B">
      <w:pPr>
        <w:keepNext w:val="0"/>
        <w:keepLines w:val="0"/>
        <w:pageBreakBefore w:val="0"/>
        <w:widowControl/>
        <w:kinsoku/>
        <w:wordWrap/>
        <w:overflowPunct/>
        <w:topLinePunct w:val="0"/>
        <w:autoSpaceDE/>
        <w:autoSpaceDN/>
        <w:bidi w:val="0"/>
        <w:adjustRightInd/>
        <w:spacing w:line="360" w:lineRule="auto"/>
        <w:ind w:firstLine="499" w:firstLineChars="208"/>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w:t>
      </w:r>
      <w:r>
        <w:rPr>
          <w:rFonts w:hint="eastAsia" w:asciiTheme="minorEastAsia" w:hAnsiTheme="minorEastAsia" w:eastAsiaTheme="minorEastAsia" w:cstheme="minorEastAsia"/>
          <w:color w:val="auto"/>
          <w:sz w:val="24"/>
          <w:szCs w:val="24"/>
          <w:highlight w:val="none"/>
          <w:u w:val="single"/>
          <w:lang w:eastAsia="zh-CN"/>
        </w:rPr>
        <w:t>后山村综合楼附属设施用房高低压配电房配套工程</w:t>
      </w:r>
      <w:r>
        <w:rPr>
          <w:rFonts w:hint="eastAsia" w:asciiTheme="minorEastAsia" w:hAnsiTheme="minorEastAsia" w:eastAsiaTheme="minorEastAsia" w:cstheme="minorEastAsia"/>
          <w:color w:val="auto"/>
          <w:sz w:val="24"/>
          <w:szCs w:val="24"/>
          <w:highlight w:val="none"/>
        </w:rPr>
        <w:t>已由</w:t>
      </w:r>
      <w:r>
        <w:rPr>
          <w:rFonts w:hint="eastAsia" w:asciiTheme="minorEastAsia" w:hAnsiTheme="minorEastAsia" w:eastAsiaTheme="minorEastAsia" w:cstheme="minorEastAsia"/>
          <w:color w:val="auto"/>
          <w:sz w:val="24"/>
          <w:szCs w:val="24"/>
          <w:highlight w:val="none"/>
          <w:u w:val="single"/>
          <w:lang w:eastAsia="zh-CN"/>
        </w:rPr>
        <w:t>相关文件</w:t>
      </w:r>
      <w:r>
        <w:rPr>
          <w:rFonts w:hint="eastAsia" w:asciiTheme="minorEastAsia" w:hAnsiTheme="minorEastAsia" w:eastAsiaTheme="minorEastAsia" w:cstheme="minorEastAsia"/>
          <w:color w:val="auto"/>
          <w:sz w:val="24"/>
          <w:szCs w:val="24"/>
          <w:highlight w:val="none"/>
        </w:rPr>
        <w:t>批准建设，建设单位为</w:t>
      </w:r>
      <w:r>
        <w:rPr>
          <w:rFonts w:hint="eastAsia" w:asciiTheme="minorEastAsia" w:hAnsiTheme="minorEastAsia" w:eastAsiaTheme="minorEastAsia" w:cstheme="minorEastAsia"/>
          <w:color w:val="auto"/>
          <w:sz w:val="24"/>
          <w:szCs w:val="24"/>
          <w:highlight w:val="none"/>
          <w:u w:val="single"/>
          <w:lang w:eastAsia="zh-CN"/>
        </w:rPr>
        <w:t>福建省福州市晋安区新店镇后山村民委员会</w:t>
      </w:r>
      <w:r>
        <w:rPr>
          <w:rFonts w:hint="eastAsia" w:asciiTheme="minorEastAsia" w:hAnsiTheme="minorEastAsia" w:eastAsiaTheme="minorEastAsia" w:cstheme="minorEastAsia"/>
          <w:color w:val="auto"/>
          <w:sz w:val="24"/>
          <w:szCs w:val="24"/>
          <w:highlight w:val="none"/>
        </w:rPr>
        <w:t>，建设资金来源</w:t>
      </w:r>
      <w:r>
        <w:rPr>
          <w:rFonts w:hint="eastAsia" w:asciiTheme="minorEastAsia" w:hAnsiTheme="minorEastAsia" w:eastAsiaTheme="minorEastAsia" w:cstheme="minorEastAsia"/>
          <w:color w:val="auto"/>
          <w:sz w:val="24"/>
          <w:szCs w:val="24"/>
          <w:highlight w:val="none"/>
          <w:u w:val="single"/>
          <w:lang w:val="en-US" w:eastAsia="zh-CN"/>
        </w:rPr>
        <w:t>村财政资金</w:t>
      </w:r>
      <w:r>
        <w:rPr>
          <w:rFonts w:hint="eastAsia" w:asciiTheme="minorEastAsia" w:hAnsiTheme="minorEastAsia" w:eastAsiaTheme="minorEastAsia" w:cstheme="minorEastAsia"/>
          <w:color w:val="auto"/>
          <w:sz w:val="24"/>
          <w:szCs w:val="24"/>
          <w:highlight w:val="none"/>
        </w:rPr>
        <w:t>，招标人为</w:t>
      </w:r>
      <w:r>
        <w:rPr>
          <w:rFonts w:hint="eastAsia" w:asciiTheme="minorEastAsia" w:hAnsiTheme="minorEastAsia" w:eastAsiaTheme="minorEastAsia" w:cstheme="minorEastAsia"/>
          <w:color w:val="auto"/>
          <w:sz w:val="24"/>
          <w:szCs w:val="24"/>
          <w:highlight w:val="none"/>
          <w:u w:val="single"/>
          <w:lang w:eastAsia="zh-CN"/>
        </w:rPr>
        <w:t>福建省福州市晋安区新店镇后山村民委员会</w:t>
      </w:r>
      <w:r>
        <w:rPr>
          <w:rFonts w:hint="eastAsia" w:asciiTheme="minorEastAsia" w:hAnsiTheme="minorEastAsia" w:eastAsiaTheme="minorEastAsia" w:cstheme="minorEastAsia"/>
          <w:color w:val="auto"/>
          <w:sz w:val="24"/>
          <w:szCs w:val="24"/>
          <w:highlight w:val="none"/>
        </w:rPr>
        <w:t>，委托的招标代理单位为</w:t>
      </w:r>
      <w:r>
        <w:rPr>
          <w:rFonts w:hint="eastAsia" w:asciiTheme="minorEastAsia" w:hAnsiTheme="minorEastAsia" w:eastAsiaTheme="minorEastAsia" w:cstheme="minorEastAsia"/>
          <w:color w:val="auto"/>
          <w:sz w:val="24"/>
          <w:szCs w:val="24"/>
          <w:highlight w:val="none"/>
          <w:u w:val="single"/>
          <w:lang w:eastAsia="zh-CN"/>
        </w:rPr>
        <w:t>福建榕鹏招标代理有限公司</w:t>
      </w:r>
      <w:r>
        <w:rPr>
          <w:rFonts w:hint="eastAsia" w:asciiTheme="minorEastAsia" w:hAnsiTheme="minorEastAsia" w:eastAsiaTheme="minorEastAsia" w:cstheme="minorEastAsia"/>
          <w:color w:val="auto"/>
          <w:sz w:val="24"/>
          <w:szCs w:val="24"/>
          <w:highlight w:val="none"/>
        </w:rPr>
        <w:t>。本项目已具备招标条件，现邀请你单位参加本招标项目施工投标。</w:t>
      </w:r>
    </w:p>
    <w:p w14:paraId="05D8E8F2">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项目概况和招标范围</w:t>
      </w:r>
    </w:p>
    <w:p w14:paraId="66236392">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工程建设地点：</w:t>
      </w:r>
      <w:r>
        <w:rPr>
          <w:rFonts w:hint="eastAsia" w:asciiTheme="minorEastAsia" w:hAnsiTheme="minorEastAsia" w:eastAsiaTheme="minorEastAsia" w:cstheme="minorEastAsia"/>
          <w:color w:val="auto"/>
          <w:sz w:val="24"/>
          <w:szCs w:val="24"/>
          <w:highlight w:val="none"/>
          <w:u w:val="single"/>
          <w:lang w:eastAsia="zh-CN"/>
        </w:rPr>
        <w:t>福建省福州市晋安区新店镇后山村</w:t>
      </w:r>
      <w:r>
        <w:rPr>
          <w:rFonts w:hint="eastAsia" w:asciiTheme="minorEastAsia" w:hAnsiTheme="minorEastAsia" w:eastAsiaTheme="minorEastAsia" w:cstheme="minorEastAsia"/>
          <w:color w:val="auto"/>
          <w:sz w:val="24"/>
          <w:szCs w:val="24"/>
          <w:highlight w:val="none"/>
        </w:rPr>
        <w:t>；</w:t>
      </w:r>
    </w:p>
    <w:p w14:paraId="2EB7C3A7">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工程建设规模：</w:t>
      </w:r>
      <w:r>
        <w:rPr>
          <w:rFonts w:hint="eastAsia" w:asciiTheme="minorEastAsia" w:hAnsiTheme="minorEastAsia" w:eastAsiaTheme="minorEastAsia" w:cstheme="minorEastAsia"/>
          <w:color w:val="auto"/>
          <w:sz w:val="24"/>
          <w:szCs w:val="24"/>
          <w:highlight w:val="none"/>
          <w:u w:val="single"/>
          <w:lang w:eastAsia="zh-CN"/>
        </w:rPr>
        <w:t>后山村综合楼附属设施用房高低压配电房配套工程</w:t>
      </w:r>
      <w:r>
        <w:rPr>
          <w:rFonts w:hint="eastAsia" w:asciiTheme="minorEastAsia" w:hAnsiTheme="minorEastAsia" w:eastAsiaTheme="minorEastAsia" w:cstheme="minorEastAsia"/>
          <w:color w:val="auto"/>
          <w:sz w:val="24"/>
          <w:szCs w:val="24"/>
          <w:highlight w:val="none"/>
          <w:u w:val="single"/>
          <w:lang w:val="en-US" w:eastAsia="zh-CN"/>
        </w:rPr>
        <w:t>招标；控制价为</w:t>
      </w:r>
      <w:r>
        <w:rPr>
          <w:rFonts w:hint="eastAsia" w:asciiTheme="minorEastAsia" w:hAnsiTheme="minorEastAsia" w:eastAsiaTheme="minorEastAsia" w:cstheme="minorEastAsia"/>
          <w:color w:val="auto"/>
          <w:sz w:val="24"/>
          <w:szCs w:val="24"/>
          <w:highlight w:val="none"/>
          <w:u w:val="single"/>
          <w:lang w:eastAsia="zh-CN"/>
        </w:rPr>
        <w:t>187356</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lang w:val="en-US" w:eastAsia="zh-CN"/>
        </w:rPr>
        <w:t>K值=7%，工程建设发包价为174241元（招标控制价</w:t>
      </w:r>
      <w:r>
        <w:rPr>
          <w:rFonts w:hint="eastAsia" w:asciiTheme="minorEastAsia" w:hAnsiTheme="minorEastAsia" w:eastAsiaTheme="minorEastAsia" w:cstheme="minorEastAsia"/>
          <w:color w:val="auto"/>
          <w:sz w:val="24"/>
          <w:szCs w:val="24"/>
          <w:highlight w:val="none"/>
          <w:u w:val="single"/>
          <w:lang w:eastAsia="zh-CN"/>
        </w:rPr>
        <w:t>187356</w:t>
      </w:r>
      <w:r>
        <w:rPr>
          <w:rFonts w:hint="eastAsia" w:asciiTheme="minorEastAsia" w:hAnsiTheme="minorEastAsia" w:eastAsiaTheme="minorEastAsia" w:cstheme="minorEastAsia"/>
          <w:color w:val="auto"/>
          <w:sz w:val="24"/>
          <w:szCs w:val="24"/>
          <w:highlight w:val="none"/>
          <w:u w:val="single"/>
          <w:lang w:val="en-US" w:eastAsia="zh-CN"/>
        </w:rPr>
        <w:t>元*93%）；</w:t>
      </w:r>
    </w:p>
    <w:p w14:paraId="56AA0455">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招标范围和内容：</w:t>
      </w:r>
    </w:p>
    <w:p w14:paraId="096B800E">
      <w:pPr>
        <w:keepNext w:val="0"/>
        <w:keepLines w:val="0"/>
        <w:pageBreakBefore w:val="0"/>
        <w:widowControl/>
        <w:kinsoku/>
        <w:wordWrap/>
        <w:overflowPunct/>
        <w:topLinePunct w:val="0"/>
        <w:autoSpaceDE/>
        <w:autoSpaceDN/>
        <w:bidi w:val="0"/>
        <w:adjustRightInd/>
        <w:spacing w:line="360" w:lineRule="auto"/>
        <w:ind w:left="51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（1）工程类别：</w:t>
      </w:r>
      <w:r>
        <w:rPr>
          <w:rFonts w:hint="eastAsia" w:asciiTheme="minorEastAsia" w:hAnsiTheme="minorEastAsia" w:eastAsiaTheme="minorEastAsia" w:cstheme="minorEastAsia"/>
          <w:color w:val="auto"/>
          <w:sz w:val="24"/>
          <w:szCs w:val="24"/>
          <w:highlight w:val="none"/>
          <w:u w:val="single"/>
          <w:lang w:eastAsia="zh-CN"/>
        </w:rPr>
        <w:t>建筑工程</w:t>
      </w:r>
      <w:r>
        <w:rPr>
          <w:rFonts w:hint="eastAsia" w:asciiTheme="minorEastAsia" w:hAnsiTheme="minorEastAsia" w:eastAsiaTheme="minorEastAsia" w:cstheme="minorEastAsia"/>
          <w:color w:val="auto"/>
          <w:sz w:val="24"/>
          <w:szCs w:val="24"/>
          <w:highlight w:val="none"/>
        </w:rPr>
        <w:t>；</w:t>
      </w:r>
    </w:p>
    <w:p w14:paraId="286880A1">
      <w:pPr>
        <w:keepNext w:val="0"/>
        <w:keepLines w:val="0"/>
        <w:pageBreakBefore w:val="0"/>
        <w:widowControl/>
        <w:kinsoku/>
        <w:wordWrap/>
        <w:overflowPunct/>
        <w:topLinePunct w:val="0"/>
        <w:autoSpaceDE/>
        <w:autoSpaceDN/>
        <w:bidi w:val="0"/>
        <w:adjustRightInd/>
        <w:spacing w:line="360" w:lineRule="auto"/>
        <w:ind w:left="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（2）招标类型：</w:t>
      </w:r>
      <w:r>
        <w:rPr>
          <w:rFonts w:hint="eastAsia" w:asciiTheme="minorEastAsia" w:hAnsiTheme="minorEastAsia" w:eastAsiaTheme="minorEastAsia" w:cstheme="minorEastAsia"/>
          <w:color w:val="auto"/>
          <w:sz w:val="24"/>
          <w:szCs w:val="24"/>
          <w:highlight w:val="none"/>
          <w:u w:val="single"/>
        </w:rPr>
        <w:t>施工总承包</w:t>
      </w:r>
      <w:r>
        <w:rPr>
          <w:rFonts w:hint="eastAsia" w:asciiTheme="minorEastAsia" w:hAnsiTheme="minorEastAsia" w:eastAsiaTheme="minorEastAsia" w:cstheme="minorEastAsia"/>
          <w:color w:val="auto"/>
          <w:sz w:val="24"/>
          <w:szCs w:val="24"/>
          <w:highlight w:val="none"/>
        </w:rPr>
        <w:t>；</w:t>
      </w:r>
    </w:p>
    <w:p w14:paraId="5B943611">
      <w:pPr>
        <w:keepNext w:val="0"/>
        <w:keepLines w:val="0"/>
        <w:pageBreakBefore w:val="0"/>
        <w:widowControl/>
        <w:kinsoku/>
        <w:wordWrap/>
        <w:overflowPunct/>
        <w:topLinePunct w:val="0"/>
        <w:autoSpaceDE/>
        <w:autoSpaceDN/>
        <w:bidi w:val="0"/>
        <w:adjustRightIn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（3）招标范围和内容：</w:t>
      </w:r>
      <w:r>
        <w:rPr>
          <w:rFonts w:hint="eastAsia" w:asciiTheme="minorEastAsia" w:hAnsiTheme="minorEastAsia" w:eastAsiaTheme="minorEastAsia" w:cstheme="minorEastAsia"/>
          <w:color w:val="auto"/>
          <w:sz w:val="24"/>
          <w:szCs w:val="24"/>
          <w:highlight w:val="none"/>
          <w:u w:val="single"/>
          <w:lang w:eastAsia="zh-CN"/>
        </w:rPr>
        <w:t>后山村综合楼附属设施用房高低压配电房配套工程</w:t>
      </w:r>
      <w:r>
        <w:rPr>
          <w:rFonts w:hint="eastAsia" w:asciiTheme="minorEastAsia" w:hAnsiTheme="minorEastAsia" w:eastAsiaTheme="minorEastAsia" w:cstheme="minorEastAsia"/>
          <w:color w:val="auto"/>
          <w:sz w:val="24"/>
          <w:szCs w:val="24"/>
          <w:highlight w:val="none"/>
          <w:u w:val="single"/>
        </w:rPr>
        <w:t>等招标范围内的全部施工内容。具体以招标图纸为依据，以招标人提供的工程量清单为准</w:t>
      </w:r>
      <w:r>
        <w:rPr>
          <w:rFonts w:hint="eastAsia" w:asciiTheme="minorEastAsia" w:hAnsiTheme="minorEastAsia" w:eastAsiaTheme="minorEastAsia" w:cstheme="minorEastAsia"/>
          <w:color w:val="auto"/>
          <w:sz w:val="24"/>
          <w:szCs w:val="24"/>
          <w:highlight w:val="none"/>
        </w:rPr>
        <w:t>；</w:t>
      </w:r>
    </w:p>
    <w:p w14:paraId="6DCE56C1">
      <w:pPr>
        <w:keepNext w:val="0"/>
        <w:keepLines w:val="0"/>
        <w:pageBreakBefore w:val="0"/>
        <w:widowControl/>
        <w:kinsoku/>
        <w:wordWrap/>
        <w:overflowPunct/>
        <w:topLinePunct w:val="0"/>
        <w:autoSpaceDE/>
        <w:autoSpaceDN/>
        <w:bidi w:val="0"/>
        <w:adjustRightInd/>
        <w:spacing w:line="360" w:lineRule="auto"/>
        <w:ind w:firstLine="499" w:firstLineChars="20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其中，用于确定企业资质及等级的相关数据：</w:t>
      </w:r>
      <w:r>
        <w:rPr>
          <w:rFonts w:hint="eastAsia" w:asciiTheme="minorEastAsia" w:hAnsiTheme="minorEastAsia" w:eastAsiaTheme="minorEastAsia" w:cstheme="minorEastAsia"/>
          <w:color w:val="auto"/>
          <w:sz w:val="24"/>
          <w:szCs w:val="24"/>
          <w:highlight w:val="none"/>
          <w:u w:val="single"/>
          <w:lang w:val="en-US" w:eastAsia="zh-CN"/>
        </w:rPr>
        <w:t>招标控制价为187356</w:t>
      </w:r>
      <w:r>
        <w:rPr>
          <w:rFonts w:hint="eastAsia" w:asciiTheme="minorEastAsia" w:hAnsiTheme="minorEastAsia" w:eastAsiaTheme="minorEastAsia" w:cstheme="minorEastAsia"/>
          <w:color w:val="auto"/>
          <w:sz w:val="24"/>
          <w:szCs w:val="24"/>
          <w:highlight w:val="none"/>
          <w:u w:val="single"/>
        </w:rPr>
        <w:t>元</w:t>
      </w:r>
      <w:r>
        <w:rPr>
          <w:rFonts w:hint="eastAsia" w:asciiTheme="minorEastAsia" w:hAnsiTheme="minorEastAsia" w:eastAsiaTheme="minorEastAsia" w:cstheme="minorEastAsia"/>
          <w:color w:val="auto"/>
          <w:sz w:val="24"/>
          <w:szCs w:val="24"/>
          <w:highlight w:val="none"/>
        </w:rPr>
        <w:t>；</w:t>
      </w:r>
    </w:p>
    <w:p w14:paraId="4546374D">
      <w:pPr>
        <w:keepNext w:val="0"/>
        <w:keepLines w:val="0"/>
        <w:pageBreakBefore w:val="0"/>
        <w:widowControl/>
        <w:kinsoku/>
        <w:wordWrap/>
        <w:overflowPunct/>
        <w:topLinePunct w:val="0"/>
        <w:autoSpaceDE/>
        <w:autoSpaceDN/>
        <w:bidi w:val="0"/>
        <w:adjustRightInd/>
        <w:spacing w:line="360" w:lineRule="auto"/>
        <w:ind w:firstLine="499" w:firstLineChars="208"/>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用于确定注册建造师等级的相关数据：</w:t>
      </w:r>
      <w:r>
        <w:rPr>
          <w:rFonts w:hint="eastAsia" w:asciiTheme="minorEastAsia" w:hAnsiTheme="minorEastAsia" w:eastAsiaTheme="minorEastAsia" w:cstheme="minorEastAsia"/>
          <w:color w:val="auto"/>
          <w:sz w:val="24"/>
          <w:szCs w:val="24"/>
          <w:highlight w:val="none"/>
          <w:lang w:val="en-US" w:eastAsia="zh-CN"/>
        </w:rPr>
        <w:t>/</w:t>
      </w:r>
    </w:p>
    <w:p w14:paraId="49940B2B">
      <w:pPr>
        <w:keepNext w:val="0"/>
        <w:keepLines w:val="0"/>
        <w:pageBreakBefore w:val="0"/>
        <w:widowControl/>
        <w:kinsoku/>
        <w:wordWrap/>
        <w:overflowPunct/>
        <w:topLinePunct w:val="0"/>
        <w:autoSpaceDE/>
        <w:autoSpaceDN/>
        <w:bidi w:val="0"/>
        <w:adjustRightInd/>
        <w:spacing w:line="360" w:lineRule="auto"/>
        <w:ind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用于确定类似工程业绩的相关数据：</w:t>
      </w:r>
      <w:r>
        <w:rPr>
          <w:rFonts w:hint="eastAsia" w:asciiTheme="minorEastAsia" w:hAnsiTheme="minorEastAsia" w:eastAsiaTheme="minorEastAsia" w:cstheme="minorEastAsia"/>
          <w:color w:val="auto"/>
          <w:sz w:val="24"/>
          <w:szCs w:val="24"/>
          <w:highlight w:val="none"/>
          <w:u w:val="single"/>
          <w:lang w:val="en-US" w:eastAsia="zh-CN"/>
        </w:rPr>
        <w:t>/</w:t>
      </w:r>
    </w:p>
    <w:p w14:paraId="1EECA3B3">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招标控制价（即最高投标限价，下同）：</w:t>
      </w:r>
      <w:r>
        <w:rPr>
          <w:rFonts w:hint="eastAsia" w:asciiTheme="minorEastAsia" w:hAnsiTheme="minorEastAsia" w:eastAsiaTheme="minorEastAsia" w:cstheme="minorEastAsia"/>
          <w:color w:val="auto"/>
          <w:sz w:val="24"/>
          <w:szCs w:val="24"/>
          <w:highlight w:val="none"/>
          <w:u w:val="single"/>
          <w:lang w:eastAsia="zh-CN"/>
        </w:rPr>
        <w:t>187356</w:t>
      </w:r>
      <w:r>
        <w:rPr>
          <w:rFonts w:hint="eastAsia" w:asciiTheme="minorEastAsia" w:hAnsiTheme="minorEastAsia" w:eastAsiaTheme="minorEastAsia" w:cstheme="minorEastAsia"/>
          <w:color w:val="auto"/>
          <w:sz w:val="24"/>
          <w:szCs w:val="24"/>
          <w:highlight w:val="none"/>
        </w:rPr>
        <w:t>元；</w:t>
      </w:r>
    </w:p>
    <w:p w14:paraId="378E9CCA">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工期要求：总工期为</w:t>
      </w:r>
      <w:r>
        <w:rPr>
          <w:rFonts w:hint="eastAsia" w:asciiTheme="minorEastAsia" w:hAnsiTheme="minorEastAsia" w:eastAsiaTheme="minorEastAsia" w:cstheme="minorEastAsia"/>
          <w:color w:val="auto"/>
          <w:sz w:val="24"/>
          <w:szCs w:val="24"/>
          <w:highlight w:val="none"/>
          <w:u w:val="single"/>
          <w:lang w:val="en-US" w:eastAsia="zh-CN"/>
        </w:rPr>
        <w:t>25</w:t>
      </w:r>
      <w:r>
        <w:rPr>
          <w:rFonts w:hint="eastAsia" w:asciiTheme="minorEastAsia" w:hAnsiTheme="minorEastAsia" w:eastAsiaTheme="minorEastAsia" w:cstheme="minorEastAsia"/>
          <w:color w:val="auto"/>
          <w:sz w:val="24"/>
          <w:szCs w:val="24"/>
          <w:highlight w:val="none"/>
        </w:rPr>
        <w:t>个日历天，定额工期</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个日历天（适用于国家或我省对工期有规定的项目）；其中各关键节点的工期要求为（如果有）</w:t>
      </w:r>
      <w:r>
        <w:rPr>
          <w:rFonts w:hint="eastAsia" w:asciiTheme="minorEastAsia" w:hAnsiTheme="minorEastAsia" w:eastAsiaTheme="minorEastAsia" w:cstheme="minorEastAsia"/>
          <w:color w:val="auto"/>
          <w:sz w:val="24"/>
          <w:szCs w:val="24"/>
          <w:highlight w:val="none"/>
          <w:u w:val="single"/>
          <w:lang w:val="en-US" w:eastAsia="zh-CN"/>
        </w:rPr>
        <w:t>/</w:t>
      </w:r>
    </w:p>
    <w:p w14:paraId="51E81CB6">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标段划分（如果有）：</w:t>
      </w:r>
      <w:r>
        <w:rPr>
          <w:rFonts w:hint="eastAsia" w:asciiTheme="minorEastAsia" w:hAnsiTheme="minorEastAsia" w:eastAsiaTheme="minorEastAsia" w:cstheme="minorEastAsia"/>
          <w:color w:val="auto"/>
          <w:sz w:val="24"/>
          <w:szCs w:val="24"/>
          <w:highlight w:val="none"/>
          <w:u w:val="single"/>
          <w:lang w:val="en-US" w:eastAsia="zh-CN"/>
        </w:rPr>
        <w:t>/</w:t>
      </w:r>
    </w:p>
    <w:p w14:paraId="747908D3">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工程质量要求：</w:t>
      </w:r>
      <w:r>
        <w:rPr>
          <w:rFonts w:hint="eastAsia" w:asciiTheme="minorEastAsia" w:hAnsiTheme="minorEastAsia" w:eastAsiaTheme="minorEastAsia" w:cstheme="minorEastAsia"/>
          <w:color w:val="auto"/>
          <w:sz w:val="24"/>
          <w:szCs w:val="24"/>
          <w:highlight w:val="none"/>
          <w:u w:val="single"/>
        </w:rPr>
        <w:t>符合国家《工程施工质量验收规范》、设计及现行相关规范的合格标准</w:t>
      </w:r>
      <w:r>
        <w:rPr>
          <w:rFonts w:hint="eastAsia" w:asciiTheme="minorEastAsia" w:hAnsiTheme="minorEastAsia" w:eastAsiaTheme="minorEastAsia" w:cstheme="minorEastAsia"/>
          <w:color w:val="auto"/>
          <w:sz w:val="24"/>
          <w:szCs w:val="24"/>
          <w:highlight w:val="none"/>
        </w:rPr>
        <w:t>。</w:t>
      </w:r>
    </w:p>
    <w:p w14:paraId="1F074BB5">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投标人资格要求及审查办法</w:t>
      </w:r>
    </w:p>
    <w:p w14:paraId="3B2891CF">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本招标项目要求投标人须具备有效的电力工程施工总承包三级及以上资质，或输变电工程专业承包三级及以上资质</w:t>
      </w:r>
      <w:r>
        <w:rPr>
          <w:rFonts w:hint="eastAsia" w:asciiTheme="minorEastAsia" w:hAnsiTheme="minorEastAsia" w:eastAsiaTheme="minorEastAsia" w:cstheme="minorEastAsia"/>
          <w:color w:val="auto"/>
          <w:sz w:val="24"/>
          <w:szCs w:val="24"/>
          <w:highlight w:val="none"/>
        </w:rPr>
        <w:t>。</w:t>
      </w:r>
    </w:p>
    <w:p w14:paraId="4E254F91">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投标人拟担任本招标项目的项目经理须持有‌机电工程专业二级及以上注册建造师‌资格证书，并具备有效的安全生产考核合格证书（B类）</w:t>
      </w:r>
      <w:r>
        <w:rPr>
          <w:rFonts w:hint="eastAsia" w:asciiTheme="minorEastAsia" w:hAnsiTheme="minorEastAsia" w:eastAsiaTheme="minorEastAsia" w:cstheme="minorEastAsia"/>
          <w:color w:val="auto"/>
          <w:sz w:val="24"/>
          <w:szCs w:val="24"/>
          <w:highlight w:val="none"/>
        </w:rPr>
        <w:t>。</w:t>
      </w:r>
    </w:p>
    <w:p w14:paraId="24B2E94D">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w:t>
      </w:r>
      <w:r>
        <w:rPr>
          <w:rFonts w:hint="eastAsia" w:asciiTheme="minorEastAsia" w:hAnsiTheme="minorEastAsia" w:eastAsiaTheme="minorEastAsia" w:cstheme="minorEastAsia"/>
          <w:color w:val="auto"/>
          <w:sz w:val="24"/>
          <w:szCs w:val="24"/>
          <w:highlight w:val="none"/>
          <w:u w:val="single"/>
        </w:rPr>
        <w:t>不接受</w:t>
      </w:r>
      <w:r>
        <w:rPr>
          <w:rFonts w:hint="eastAsia" w:asciiTheme="minorEastAsia" w:hAnsiTheme="minorEastAsia" w:eastAsiaTheme="minorEastAsia" w:cstheme="minorEastAsia"/>
          <w:color w:val="auto"/>
          <w:sz w:val="24"/>
          <w:szCs w:val="24"/>
          <w:highlight w:val="none"/>
        </w:rPr>
        <w:t>联合体投标。招标人接受联合体投标的，投标人自愿组成联合体的应由</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为牵头人，且各方应具备其所承担招标项目承包内容的相应资质条件；承担相同承包内容的专业单位组成联合体的，按照资质等级较低的单位确定资质等级。</w:t>
      </w:r>
    </w:p>
    <w:p w14:paraId="32D71522">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w:t>
      </w:r>
      <w:r>
        <w:rPr>
          <w:rFonts w:hint="eastAsia" w:asciiTheme="minorEastAsia" w:hAnsiTheme="minorEastAsia" w:eastAsiaTheme="minorEastAsia" w:cstheme="minorEastAsia"/>
          <w:color w:val="auto"/>
          <w:sz w:val="24"/>
          <w:szCs w:val="24"/>
          <w:highlight w:val="none"/>
          <w:u w:val="single"/>
        </w:rPr>
        <w:t>不应用</w:t>
      </w:r>
      <w:r>
        <w:rPr>
          <w:rFonts w:hint="eastAsia" w:asciiTheme="minorEastAsia" w:hAnsiTheme="minorEastAsia" w:eastAsiaTheme="minorEastAsia" w:cstheme="minorEastAsia"/>
          <w:color w:val="auto"/>
          <w:sz w:val="24"/>
          <w:szCs w:val="24"/>
          <w:highlight w:val="none"/>
        </w:rPr>
        <w:t>福建省建筑施工企业信用综合评价分值。应用福建省建筑施工企业信用综合评价分值的项目，投标人的企业季度信用得分为</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类。应用福建省建筑施工企业信用综合评价分值的，投标人的企业季度信用得分不得低于60分；以联合体参与投标的，投标人的企业季度信用得分按具有</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施工总承包资质的联合体成员中的</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确定。投标人的企业季度信用得分可通过福建省建筑施工企业信用综合评价系统（从福建住房和城乡建设网的“福建省住房和城乡建设综合监管服务平台”登录）查询。</w:t>
      </w:r>
    </w:p>
    <w:p w14:paraId="57F6701C">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投标人“类似工程业绩”要求：</w:t>
      </w:r>
      <w:r>
        <w:rPr>
          <w:rFonts w:hint="eastAsia" w:asciiTheme="minorEastAsia" w:hAnsiTheme="minorEastAsia" w:eastAsiaTheme="minorEastAsia" w:cstheme="minorEastAsia"/>
          <w:i/>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个；“类似工程业绩”是指：自本招标项目在法定媒介发布招标公告之日的前五年内（含本招标项目在法定媒介发布招标公告之日）完成的并经竣工验收合格的</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w:t>
      </w:r>
    </w:p>
    <w:p w14:paraId="42722CE0">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各投标人均可就本招标项目上述标段中的</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个标段投标，但最多允许中标</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个标段（适用于分标段的招标项目）。</w:t>
      </w:r>
    </w:p>
    <w:p w14:paraId="30AAE29F">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其他资格要求：</w:t>
      </w:r>
      <w:r>
        <w:rPr>
          <w:rFonts w:hint="eastAsia" w:asciiTheme="minorEastAsia" w:hAnsiTheme="minorEastAsia" w:eastAsiaTheme="minorEastAsia" w:cstheme="minorEastAsia"/>
          <w:color w:val="auto"/>
          <w:sz w:val="24"/>
          <w:szCs w:val="24"/>
          <w:highlight w:val="none"/>
          <w:u w:val="single"/>
        </w:rPr>
        <w:t>（1）根据关于进一步做好招投标领域强制要求中标企业在本地设立分（子）公司行为整治工作的通知要求（闽建办筑函（2021）10号），本招标项目不要求中标人在项目所在地设立分（子）公司，中标人应该依法履行纳税义务；（2）投标时，投标人和拟派本工程项目管理班子成员没有因违法违规被有关行政监督部门取消或限制本招标项目的投标,否则按否决投标处理。（3）投标人因被闽建筑【2018】38号文列入建筑市场主体“黑名单”的，按否决投标处理</w:t>
      </w:r>
      <w:r>
        <w:rPr>
          <w:rFonts w:hint="eastAsia" w:asciiTheme="minorEastAsia" w:hAnsiTheme="minorEastAsia" w:eastAsiaTheme="minorEastAsia" w:cstheme="minorEastAsia"/>
          <w:color w:val="auto"/>
          <w:sz w:val="24"/>
          <w:szCs w:val="24"/>
          <w:highlight w:val="none"/>
        </w:rPr>
        <w:t>。</w:t>
      </w:r>
    </w:p>
    <w:p w14:paraId="6F436C50">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本招标项目采用</w:t>
      </w:r>
      <w:r>
        <w:rPr>
          <w:rFonts w:hint="eastAsia" w:asciiTheme="minorEastAsia" w:hAnsiTheme="minorEastAsia" w:eastAsiaTheme="minorEastAsia" w:cstheme="minorEastAsia"/>
          <w:color w:val="auto"/>
          <w:sz w:val="24"/>
          <w:szCs w:val="24"/>
          <w:highlight w:val="none"/>
          <w:u w:val="single"/>
        </w:rPr>
        <w:t>资格后审</w:t>
      </w:r>
      <w:r>
        <w:rPr>
          <w:rFonts w:hint="eastAsia" w:asciiTheme="minorEastAsia" w:hAnsiTheme="minorEastAsia" w:eastAsiaTheme="minorEastAsia" w:cstheme="minorEastAsia"/>
          <w:color w:val="auto"/>
          <w:sz w:val="24"/>
          <w:szCs w:val="24"/>
          <w:highlight w:val="none"/>
        </w:rPr>
        <w:t>方式对投标人的资格进行审查。</w:t>
      </w:r>
    </w:p>
    <w:p w14:paraId="6880CBC4">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招标文件的获取</w:t>
      </w:r>
    </w:p>
    <w:p w14:paraId="402E3C85">
      <w:pPr>
        <w:keepNext w:val="0"/>
        <w:keepLines w:val="0"/>
        <w:pageBreakBefore w:val="0"/>
        <w:widowControl/>
        <w:tabs>
          <w:tab w:val="left" w:pos="900"/>
          <w:tab w:val="left" w:pos="1100"/>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r>
        <w:rPr>
          <w:rFonts w:hint="eastAsia" w:asciiTheme="minorEastAsia" w:hAnsiTheme="minorEastAsia" w:eastAsiaTheme="minorEastAsia" w:cstheme="minorEastAsia"/>
          <w:b w:val="0"/>
          <w:bCs w:val="0"/>
          <w:color w:val="auto"/>
          <w:sz w:val="24"/>
          <w:szCs w:val="24"/>
          <w:highlight w:val="none"/>
        </w:rPr>
        <w:t>凡有意参加投标者，请于</w:t>
      </w:r>
      <w:r>
        <w:rPr>
          <w:rFonts w:hint="eastAsia" w:asciiTheme="minorEastAsia" w:hAnsiTheme="minorEastAsia" w:eastAsiaTheme="minorEastAsia" w:cstheme="minorEastAsia"/>
          <w:b w:val="0"/>
          <w:bCs w:val="0"/>
          <w:color w:val="auto"/>
          <w:sz w:val="24"/>
          <w:szCs w:val="24"/>
          <w:highlight w:val="none"/>
          <w:u w:val="single"/>
        </w:rPr>
        <w:t>20</w:t>
      </w:r>
      <w:r>
        <w:rPr>
          <w:rFonts w:hint="eastAsia" w:asciiTheme="minorEastAsia" w:hAnsiTheme="minorEastAsia" w:eastAsiaTheme="minorEastAsia" w:cstheme="minorEastAsia"/>
          <w:b w:val="0"/>
          <w:bCs w:val="0"/>
          <w:color w:val="auto"/>
          <w:sz w:val="24"/>
          <w:szCs w:val="24"/>
          <w:highlight w:val="none"/>
          <w:u w:val="single"/>
          <w:lang w:val="en-US" w:eastAsia="zh-CN"/>
        </w:rPr>
        <w:t>26</w:t>
      </w:r>
      <w:r>
        <w:rPr>
          <w:rFonts w:hint="eastAsia" w:asciiTheme="minorEastAsia" w:hAnsiTheme="minorEastAsia" w:eastAsiaTheme="minorEastAsia" w:cstheme="minorEastAsia"/>
          <w:b w:val="0"/>
          <w:bCs w:val="0"/>
          <w:color w:val="auto"/>
          <w:sz w:val="24"/>
          <w:szCs w:val="24"/>
          <w:highlight w:val="none"/>
        </w:rPr>
        <w:t>年</w:t>
      </w:r>
      <w:r>
        <w:rPr>
          <w:rFonts w:hint="eastAsia" w:asciiTheme="minorEastAsia" w:hAnsiTheme="minorEastAsia" w:eastAsiaTheme="minorEastAsia" w:cstheme="minorEastAsia"/>
          <w:b w:val="0"/>
          <w:bCs w:val="0"/>
          <w:color w:val="auto"/>
          <w:sz w:val="24"/>
          <w:szCs w:val="24"/>
          <w:highlight w:val="none"/>
          <w:u w:val="single"/>
          <w:lang w:val="en-US" w:eastAsia="zh-CN"/>
        </w:rPr>
        <w:t>06</w:t>
      </w:r>
      <w:r>
        <w:rPr>
          <w:rFonts w:hint="eastAsia" w:asciiTheme="minorEastAsia" w:hAnsiTheme="minorEastAsia" w:eastAsiaTheme="minorEastAsia" w:cstheme="minorEastAsia"/>
          <w:b w:val="0"/>
          <w:bCs w:val="0"/>
          <w:color w:val="auto"/>
          <w:sz w:val="24"/>
          <w:szCs w:val="24"/>
          <w:highlight w:val="none"/>
        </w:rPr>
        <w:t>月</w:t>
      </w:r>
      <w:r>
        <w:rPr>
          <w:rFonts w:hint="eastAsia" w:asciiTheme="minorEastAsia" w:hAnsiTheme="minorEastAsia" w:eastAsiaTheme="minorEastAsia" w:cstheme="minorEastAsia"/>
          <w:b w:val="0"/>
          <w:bCs w:val="0"/>
          <w:color w:val="auto"/>
          <w:sz w:val="24"/>
          <w:szCs w:val="24"/>
          <w:highlight w:val="none"/>
          <w:u w:val="single"/>
          <w:lang w:val="en-US" w:eastAsia="zh-CN"/>
        </w:rPr>
        <w:t>15</w:t>
      </w:r>
      <w:r>
        <w:rPr>
          <w:rFonts w:hint="eastAsia" w:asciiTheme="minorEastAsia" w:hAnsiTheme="minorEastAsia" w:eastAsiaTheme="minorEastAsia" w:cstheme="minorEastAsia"/>
          <w:b w:val="0"/>
          <w:bCs w:val="0"/>
          <w:color w:val="auto"/>
          <w:sz w:val="24"/>
          <w:szCs w:val="24"/>
          <w:highlight w:val="none"/>
        </w:rPr>
        <w:t>日至</w:t>
      </w:r>
      <w:r>
        <w:rPr>
          <w:rFonts w:hint="eastAsia" w:asciiTheme="minorEastAsia" w:hAnsiTheme="minorEastAsia" w:eastAsiaTheme="minorEastAsia" w:cstheme="minorEastAsia"/>
          <w:b w:val="0"/>
          <w:bCs w:val="0"/>
          <w:color w:val="auto"/>
          <w:sz w:val="24"/>
          <w:szCs w:val="24"/>
          <w:highlight w:val="none"/>
          <w:u w:val="single"/>
        </w:rPr>
        <w:t>20</w:t>
      </w:r>
      <w:r>
        <w:rPr>
          <w:rFonts w:hint="eastAsia" w:asciiTheme="minorEastAsia" w:hAnsiTheme="minorEastAsia" w:eastAsiaTheme="minorEastAsia" w:cstheme="minorEastAsia"/>
          <w:b w:val="0"/>
          <w:bCs w:val="0"/>
          <w:color w:val="auto"/>
          <w:sz w:val="24"/>
          <w:szCs w:val="24"/>
          <w:highlight w:val="none"/>
          <w:u w:val="single"/>
          <w:lang w:val="en-US" w:eastAsia="zh-CN"/>
        </w:rPr>
        <w:t>25</w:t>
      </w:r>
      <w:r>
        <w:rPr>
          <w:rFonts w:hint="eastAsia" w:asciiTheme="minorEastAsia" w:hAnsiTheme="minorEastAsia" w:eastAsiaTheme="minorEastAsia" w:cstheme="minorEastAsia"/>
          <w:b w:val="0"/>
          <w:bCs w:val="0"/>
          <w:color w:val="auto"/>
          <w:sz w:val="24"/>
          <w:szCs w:val="24"/>
          <w:highlight w:val="none"/>
        </w:rPr>
        <w:t>年</w:t>
      </w:r>
      <w:r>
        <w:rPr>
          <w:rFonts w:hint="eastAsia" w:asciiTheme="minorEastAsia" w:hAnsiTheme="minorEastAsia" w:eastAsiaTheme="minorEastAsia" w:cstheme="minorEastAsia"/>
          <w:b w:val="0"/>
          <w:bCs w:val="0"/>
          <w:color w:val="auto"/>
          <w:sz w:val="24"/>
          <w:szCs w:val="24"/>
          <w:highlight w:val="none"/>
          <w:u w:val="single"/>
          <w:lang w:val="en-US" w:eastAsia="zh-CN"/>
        </w:rPr>
        <w:t>06</w:t>
      </w:r>
      <w:r>
        <w:rPr>
          <w:rFonts w:hint="eastAsia" w:asciiTheme="minorEastAsia" w:hAnsiTheme="minorEastAsia" w:eastAsiaTheme="minorEastAsia" w:cstheme="minorEastAsia"/>
          <w:b w:val="0"/>
          <w:bCs w:val="0"/>
          <w:color w:val="auto"/>
          <w:sz w:val="24"/>
          <w:szCs w:val="24"/>
          <w:highlight w:val="none"/>
        </w:rPr>
        <w:t>月</w:t>
      </w:r>
      <w:r>
        <w:rPr>
          <w:rFonts w:hint="eastAsia" w:asciiTheme="minorEastAsia" w:hAnsiTheme="minorEastAsia" w:eastAsiaTheme="minorEastAsia" w:cstheme="minorEastAsia"/>
          <w:b w:val="0"/>
          <w:bCs w:val="0"/>
          <w:color w:val="auto"/>
          <w:sz w:val="24"/>
          <w:szCs w:val="24"/>
          <w:highlight w:val="none"/>
          <w:u w:val="single"/>
          <w:lang w:val="en-US" w:eastAsia="zh-CN"/>
        </w:rPr>
        <w:t>22</w:t>
      </w:r>
      <w:r>
        <w:rPr>
          <w:rFonts w:hint="eastAsia" w:asciiTheme="minorEastAsia" w:hAnsiTheme="minorEastAsia" w:eastAsiaTheme="minorEastAsia" w:cstheme="minorEastAsia"/>
          <w:b w:val="0"/>
          <w:bCs w:val="0"/>
          <w:color w:val="auto"/>
          <w:sz w:val="24"/>
          <w:szCs w:val="24"/>
          <w:highlight w:val="none"/>
        </w:rPr>
        <w:t>日，每日上午09时00分至</w:t>
      </w:r>
      <w:r>
        <w:rPr>
          <w:rFonts w:hint="eastAsia" w:asciiTheme="minorEastAsia" w:hAnsiTheme="minorEastAsia" w:eastAsiaTheme="minorEastAsia" w:cstheme="minorEastAsia"/>
          <w:b w:val="0"/>
          <w:bCs w:val="0"/>
          <w:color w:val="auto"/>
          <w:sz w:val="24"/>
          <w:szCs w:val="24"/>
          <w:highlight w:val="none"/>
          <w:lang w:val="en-US" w:eastAsia="zh-CN"/>
        </w:rPr>
        <w:t>12</w:t>
      </w:r>
      <w:r>
        <w:rPr>
          <w:rFonts w:hint="eastAsia" w:asciiTheme="minorEastAsia" w:hAnsiTheme="minorEastAsia" w:eastAsiaTheme="minorEastAsia" w:cstheme="minorEastAsia"/>
          <w:b w:val="0"/>
          <w:bCs w:val="0"/>
          <w:color w:val="auto"/>
          <w:sz w:val="24"/>
          <w:szCs w:val="24"/>
          <w:highlight w:val="none"/>
        </w:rPr>
        <w:t>时</w:t>
      </w:r>
      <w:r>
        <w:rPr>
          <w:rFonts w:hint="eastAsia" w:asciiTheme="minorEastAsia" w:hAnsiTheme="minorEastAsia" w:eastAsiaTheme="minorEastAsia" w:cstheme="minorEastAsia"/>
          <w:b w:val="0"/>
          <w:bCs w:val="0"/>
          <w:color w:val="auto"/>
          <w:sz w:val="24"/>
          <w:szCs w:val="24"/>
          <w:highlight w:val="none"/>
          <w:lang w:val="en-US" w:eastAsia="zh-CN"/>
        </w:rPr>
        <w:t>00</w:t>
      </w:r>
      <w:r>
        <w:rPr>
          <w:rFonts w:hint="eastAsia" w:asciiTheme="minorEastAsia" w:hAnsiTheme="minorEastAsia" w:eastAsiaTheme="minorEastAsia" w:cstheme="minorEastAsia"/>
          <w:b w:val="0"/>
          <w:bCs w:val="0"/>
          <w:color w:val="auto"/>
          <w:sz w:val="24"/>
          <w:szCs w:val="24"/>
          <w:highlight w:val="none"/>
        </w:rPr>
        <w:t>分，下午1</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时</w:t>
      </w:r>
      <w:r>
        <w:rPr>
          <w:rFonts w:hint="eastAsia" w:asciiTheme="minorEastAsia" w:hAnsiTheme="minorEastAsia" w:eastAsiaTheme="minorEastAsia" w:cstheme="minorEastAsia"/>
          <w:b w:val="0"/>
          <w:bCs w:val="0"/>
          <w:color w:val="auto"/>
          <w:sz w:val="24"/>
          <w:szCs w:val="24"/>
          <w:highlight w:val="none"/>
          <w:lang w:val="en-US" w:eastAsia="zh-CN"/>
        </w:rPr>
        <w:t>0</w:t>
      </w:r>
      <w:r>
        <w:rPr>
          <w:rFonts w:hint="eastAsia" w:asciiTheme="minorEastAsia" w:hAnsiTheme="minorEastAsia" w:eastAsiaTheme="minorEastAsia" w:cstheme="minorEastAsia"/>
          <w:b w:val="0"/>
          <w:bCs w:val="0"/>
          <w:color w:val="auto"/>
          <w:sz w:val="24"/>
          <w:szCs w:val="24"/>
          <w:highlight w:val="none"/>
        </w:rPr>
        <w:t>0分至17时00分，</w:t>
      </w:r>
      <w:r>
        <w:rPr>
          <w:rFonts w:hint="eastAsia" w:asciiTheme="minorEastAsia" w:hAnsiTheme="minorEastAsia" w:eastAsiaTheme="minorEastAsia" w:cstheme="minorEastAsia"/>
          <w:color w:val="auto"/>
          <w:sz w:val="24"/>
          <w:szCs w:val="24"/>
          <w:highlight w:val="none"/>
          <w:u w:val="none"/>
        </w:rPr>
        <w:t>采用不记名方式报名：</w:t>
      </w:r>
      <w:r>
        <w:rPr>
          <w:rFonts w:hint="eastAsia" w:asciiTheme="minorEastAsia" w:hAnsiTheme="minorEastAsia" w:eastAsiaTheme="minorEastAsia" w:cstheme="minorEastAsia"/>
          <w:b w:val="0"/>
          <w:bCs w:val="0"/>
          <w:color w:val="auto"/>
          <w:sz w:val="24"/>
          <w:szCs w:val="24"/>
          <w:highlight w:val="none"/>
        </w:rPr>
        <w:t>到</w:t>
      </w:r>
      <w:r>
        <w:rPr>
          <w:rFonts w:hint="eastAsia" w:asciiTheme="minorEastAsia" w:hAnsiTheme="minorEastAsia" w:eastAsiaTheme="minorEastAsia" w:cstheme="minorEastAsia"/>
          <w:b w:val="0"/>
          <w:bCs w:val="0"/>
          <w:color w:val="auto"/>
          <w:sz w:val="24"/>
          <w:szCs w:val="24"/>
          <w:highlight w:val="none"/>
          <w:u w:val="single"/>
          <w:lang w:eastAsia="zh-CN"/>
        </w:rPr>
        <w:t>福建榕鹏招标代理有限公司</w:t>
      </w:r>
      <w:r>
        <w:rPr>
          <w:rFonts w:hint="eastAsia" w:asciiTheme="minorEastAsia" w:hAnsiTheme="minorEastAsia" w:eastAsiaTheme="minorEastAsia" w:cstheme="minorEastAsia"/>
          <w:b w:val="0"/>
          <w:bCs w:val="0"/>
          <w:color w:val="auto"/>
          <w:sz w:val="24"/>
          <w:szCs w:val="24"/>
          <w:highlight w:val="none"/>
          <w:u w:val="single"/>
        </w:rPr>
        <w:t>（</w:t>
      </w:r>
      <w:r>
        <w:rPr>
          <w:rFonts w:hint="eastAsia" w:asciiTheme="minorEastAsia" w:hAnsiTheme="minorEastAsia" w:eastAsiaTheme="minorEastAsia" w:cstheme="minorEastAsia"/>
          <w:b w:val="0"/>
          <w:bCs w:val="0"/>
          <w:color w:val="auto"/>
          <w:sz w:val="24"/>
          <w:szCs w:val="24"/>
          <w:highlight w:val="none"/>
          <w:u w:val="single"/>
          <w:lang w:eastAsia="zh-CN"/>
        </w:rPr>
        <w:t>福州市鼓楼区东街街道五一北路106号新侨联广场A座24层2402-03室)</w:t>
      </w:r>
      <w:r>
        <w:rPr>
          <w:rFonts w:hint="eastAsia" w:asciiTheme="minorEastAsia" w:hAnsiTheme="minorEastAsia" w:eastAsiaTheme="minorEastAsia" w:cstheme="minorEastAsia"/>
          <w:b w:val="0"/>
          <w:bCs w:val="0"/>
          <w:color w:val="auto"/>
          <w:sz w:val="24"/>
          <w:szCs w:val="24"/>
          <w:highlight w:val="none"/>
        </w:rPr>
        <w:t>购买招标文件。</w:t>
      </w:r>
    </w:p>
    <w:p w14:paraId="22DE5074">
      <w:pPr>
        <w:keepNext w:val="0"/>
        <w:keepLines w:val="0"/>
        <w:pageBreakBefore w:val="0"/>
        <w:widowControl/>
        <w:tabs>
          <w:tab w:val="left" w:pos="900"/>
          <w:tab w:val="left" w:pos="1100"/>
        </w:tabs>
        <w:kinsoku/>
        <w:wordWrap/>
        <w:overflowPunct/>
        <w:topLinePunct w:val="0"/>
        <w:autoSpaceDE/>
        <w:autoSpaceDN/>
        <w:bidi w:val="0"/>
        <w:adjustRightIn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4.2招标文件及相关图纸资料每套售价人民币</w:t>
      </w:r>
      <w:r>
        <w:rPr>
          <w:rFonts w:hint="eastAsia" w:asciiTheme="minorEastAsia" w:hAnsiTheme="minorEastAsia" w:eastAsiaTheme="minorEastAsia" w:cstheme="minorEastAsia"/>
          <w:color w:val="auto"/>
          <w:sz w:val="24"/>
          <w:szCs w:val="24"/>
          <w:highlight w:val="none"/>
          <w:lang w:val="en-US" w:eastAsia="zh-CN"/>
        </w:rPr>
        <w:t>300</w:t>
      </w:r>
      <w:r>
        <w:rPr>
          <w:rFonts w:hint="eastAsia" w:asciiTheme="minorEastAsia" w:hAnsiTheme="minorEastAsia" w:eastAsiaTheme="minorEastAsia" w:cstheme="minorEastAsia"/>
          <w:color w:val="auto"/>
          <w:sz w:val="24"/>
          <w:szCs w:val="24"/>
          <w:highlight w:val="none"/>
        </w:rPr>
        <w:t>元，售后不退。</w:t>
      </w:r>
    </w:p>
    <w:p w14:paraId="23D75A75">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评标办法和定标方式</w:t>
      </w:r>
    </w:p>
    <w:p w14:paraId="25D1DD1D">
      <w:pPr>
        <w:keepNext w:val="0"/>
        <w:keepLines w:val="0"/>
        <w:pageBreakBefore w:val="0"/>
        <w:widowControl/>
        <w:tabs>
          <w:tab w:val="left" w:pos="900"/>
          <w:tab w:val="left" w:pos="1100"/>
        </w:tabs>
        <w:kinsoku/>
        <w:wordWrap/>
        <w:overflowPunct/>
        <w:topLinePunct w:val="0"/>
        <w:autoSpaceDE/>
        <w:autoSpaceDN/>
        <w:bidi w:val="0"/>
        <w:adjustRightIn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5.1本招标项目采用的评标办法：</w:t>
      </w:r>
      <w:r>
        <w:rPr>
          <w:rFonts w:hint="eastAsia" w:asciiTheme="minorEastAsia" w:hAnsiTheme="minorEastAsia" w:eastAsiaTheme="minorEastAsia" w:cstheme="minorEastAsia"/>
          <w:color w:val="auto"/>
          <w:sz w:val="24"/>
          <w:szCs w:val="24"/>
          <w:highlight w:val="none"/>
          <w:u w:val="single"/>
        </w:rPr>
        <w:t>简易评标法</w:t>
      </w:r>
      <w:r>
        <w:rPr>
          <w:rFonts w:hint="eastAsia" w:asciiTheme="minorEastAsia" w:hAnsiTheme="minorEastAsia" w:eastAsiaTheme="minorEastAsia" w:cstheme="minorEastAsia"/>
          <w:color w:val="auto"/>
          <w:sz w:val="24"/>
          <w:szCs w:val="24"/>
          <w:highlight w:val="none"/>
        </w:rPr>
        <w:t>。</w:t>
      </w:r>
    </w:p>
    <w:p w14:paraId="5BA74824">
      <w:pPr>
        <w:keepNext w:val="0"/>
        <w:keepLines w:val="0"/>
        <w:pageBreakBefore w:val="0"/>
        <w:widowControl/>
        <w:tabs>
          <w:tab w:val="left" w:pos="900"/>
          <w:tab w:val="left" w:pos="1100"/>
        </w:tabs>
        <w:kinsoku/>
        <w:wordWrap/>
        <w:overflowPunct/>
        <w:topLinePunct w:val="0"/>
        <w:autoSpaceDE/>
        <w:autoSpaceDN/>
        <w:bidi w:val="0"/>
        <w:adjustRightIn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5.2本招标项目采用的定标方式：</w:t>
      </w:r>
      <w:r>
        <w:rPr>
          <w:rFonts w:hint="eastAsia" w:asciiTheme="minorEastAsia" w:hAnsiTheme="minorEastAsia" w:eastAsiaTheme="minorEastAsia" w:cstheme="minorEastAsia"/>
          <w:color w:val="auto"/>
          <w:sz w:val="24"/>
          <w:szCs w:val="24"/>
          <w:highlight w:val="none"/>
          <w:u w:val="single"/>
        </w:rPr>
        <w:t>依据评标委员会推荐的中标候选人确定中标人</w:t>
      </w:r>
      <w:r>
        <w:rPr>
          <w:rFonts w:hint="eastAsia" w:asciiTheme="minorEastAsia" w:hAnsiTheme="minorEastAsia" w:eastAsiaTheme="minorEastAsia" w:cstheme="minorEastAsia"/>
          <w:color w:val="auto"/>
          <w:sz w:val="24"/>
          <w:szCs w:val="24"/>
          <w:highlight w:val="none"/>
        </w:rPr>
        <w:t>。</w:t>
      </w:r>
    </w:p>
    <w:p w14:paraId="5C69C340">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投标保证金的提交</w:t>
      </w:r>
    </w:p>
    <w:p w14:paraId="1C75171B">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投标保证金提交的时间：</w:t>
      </w:r>
      <w:r>
        <w:rPr>
          <w:rFonts w:hint="eastAsia" w:asciiTheme="minorEastAsia" w:hAnsiTheme="minorEastAsia" w:eastAsiaTheme="minorEastAsia" w:cstheme="minorEastAsia"/>
          <w:color w:val="auto"/>
          <w:sz w:val="24"/>
          <w:szCs w:val="24"/>
          <w:highlight w:val="none"/>
          <w:u w:val="single"/>
          <w:lang w:val="en-US" w:eastAsia="zh-CN"/>
        </w:rPr>
        <w:t>开标前一个工作日</w:t>
      </w:r>
      <w:r>
        <w:rPr>
          <w:rFonts w:hint="eastAsia" w:asciiTheme="minorEastAsia" w:hAnsiTheme="minorEastAsia" w:eastAsiaTheme="minorEastAsia" w:cstheme="minorEastAsia"/>
          <w:color w:val="auto"/>
          <w:sz w:val="24"/>
          <w:szCs w:val="24"/>
          <w:highlight w:val="none"/>
        </w:rPr>
        <w:t>；</w:t>
      </w:r>
    </w:p>
    <w:p w14:paraId="3C1CDF4E">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投标保证金提交的金额：</w:t>
      </w:r>
      <w:r>
        <w:rPr>
          <w:rFonts w:hint="eastAsia" w:asciiTheme="minorEastAsia" w:hAnsiTheme="minorEastAsia" w:eastAsiaTheme="minorEastAsia" w:cstheme="minorEastAsia"/>
          <w:color w:val="auto"/>
          <w:sz w:val="24"/>
          <w:szCs w:val="24"/>
          <w:highlight w:val="none"/>
          <w:u w:val="single"/>
          <w:lang w:val="en-US" w:eastAsia="zh-CN"/>
        </w:rPr>
        <w:t>1873元</w:t>
      </w:r>
      <w:r>
        <w:rPr>
          <w:rFonts w:hint="eastAsia" w:asciiTheme="minorEastAsia" w:hAnsiTheme="minorEastAsia" w:eastAsiaTheme="minorEastAsia" w:cstheme="minorEastAsia"/>
          <w:color w:val="auto"/>
          <w:sz w:val="24"/>
          <w:szCs w:val="24"/>
          <w:highlight w:val="none"/>
        </w:rPr>
        <w:t>；</w:t>
      </w:r>
    </w:p>
    <w:p w14:paraId="43BDA896">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投标保证金提交的方式：</w:t>
      </w:r>
      <w:r>
        <w:rPr>
          <w:rFonts w:hint="eastAsia" w:asciiTheme="minorEastAsia" w:hAnsiTheme="minorEastAsia" w:eastAsiaTheme="minorEastAsia" w:cstheme="minorEastAsia"/>
          <w:color w:val="auto"/>
          <w:sz w:val="24"/>
          <w:szCs w:val="24"/>
          <w:highlight w:val="none"/>
          <w:u w:val="single"/>
          <w:lang w:val="en-US" w:eastAsia="zh-CN"/>
        </w:rPr>
        <w:t>银行转账</w:t>
      </w:r>
      <w:r>
        <w:rPr>
          <w:rFonts w:hint="eastAsia" w:asciiTheme="minorEastAsia" w:hAnsiTheme="minorEastAsia" w:eastAsiaTheme="minorEastAsia" w:cstheme="minorEastAsia"/>
          <w:color w:val="auto"/>
          <w:sz w:val="24"/>
          <w:szCs w:val="24"/>
          <w:highlight w:val="none"/>
        </w:rPr>
        <w:t>。</w:t>
      </w:r>
    </w:p>
    <w:p w14:paraId="01B35BDE">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投标文件的递交</w:t>
      </w:r>
    </w:p>
    <w:p w14:paraId="782DFB85">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投标文件递交的截止时间（投标截止时间，下同）：</w:t>
      </w:r>
      <w:r>
        <w:rPr>
          <w:rFonts w:hint="eastAsia" w:asciiTheme="minorEastAsia" w:hAnsiTheme="minorEastAsia" w:eastAsiaTheme="minorEastAsia" w:cstheme="minorEastAsia"/>
          <w:color w:val="auto"/>
          <w:sz w:val="24"/>
          <w:szCs w:val="24"/>
          <w:highlight w:val="none"/>
          <w:lang w:val="en-US" w:eastAsia="zh-CN"/>
        </w:rPr>
        <w:t>2026年07月06日09</w:t>
      </w:r>
      <w:r>
        <w:rPr>
          <w:rFonts w:hint="eastAsia" w:asciiTheme="minorEastAsia" w:hAnsiTheme="minorEastAsia" w:eastAsiaTheme="minorEastAsia" w:cstheme="minorEastAsia"/>
          <w:color w:val="auto"/>
          <w:sz w:val="24"/>
          <w:szCs w:val="24"/>
          <w:highlight w:val="none"/>
          <w:u w:val="none"/>
        </w:rPr>
        <w:t>时</w:t>
      </w: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rPr>
        <w:t>0分00秒</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到</w:t>
      </w:r>
      <w:r>
        <w:rPr>
          <w:rFonts w:hint="eastAsia" w:asciiTheme="minorEastAsia" w:hAnsiTheme="minorEastAsia" w:eastAsiaTheme="minorEastAsia" w:cstheme="minorEastAsia"/>
          <w:color w:val="auto"/>
          <w:sz w:val="24"/>
          <w:szCs w:val="24"/>
          <w:highlight w:val="none"/>
          <w:u w:val="single"/>
          <w:lang w:eastAsia="zh-CN"/>
        </w:rPr>
        <w:t>福建榕鹏招标代理有限公司(福州市鼓楼区东街街道五一北路106号新侨联广场A座24层2402-03室)</w:t>
      </w:r>
      <w:r>
        <w:rPr>
          <w:rFonts w:hint="eastAsia" w:asciiTheme="minorEastAsia" w:hAnsiTheme="minorEastAsia" w:eastAsiaTheme="minorEastAsia" w:cstheme="minorEastAsia"/>
          <w:color w:val="auto"/>
          <w:sz w:val="24"/>
          <w:szCs w:val="24"/>
          <w:highlight w:val="none"/>
          <w:u w:val="none"/>
          <w:lang w:eastAsia="zh-CN"/>
        </w:rPr>
        <w:t>递交</w:t>
      </w:r>
      <w:r>
        <w:rPr>
          <w:rFonts w:hint="eastAsia" w:asciiTheme="minorEastAsia" w:hAnsiTheme="minorEastAsia" w:eastAsiaTheme="minorEastAsia" w:cstheme="minorEastAsia"/>
          <w:color w:val="auto"/>
          <w:sz w:val="24"/>
          <w:szCs w:val="24"/>
          <w:highlight w:val="none"/>
          <w:u w:val="none"/>
          <w:lang w:val="en-US" w:eastAsia="zh-CN"/>
        </w:rPr>
        <w:t>投标文件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u w:val="none"/>
        </w:rPr>
        <w:t>在提交投标文件的同时，投标人的法定代表人(或其委托代理人)必须到场登记。且应提供法定代表人(或其委托代理人)的身份证复印件，并提供上述复印件的原件到场核验登记。(若为法定代表人到场的，还应提交营业执照复印件；若为委托代理人到场的，还应随带并出示授权委托书原件)</w:t>
      </w:r>
      <w:r>
        <w:rPr>
          <w:rFonts w:hint="eastAsia" w:asciiTheme="minorEastAsia" w:hAnsiTheme="minorEastAsia" w:eastAsiaTheme="minorEastAsia" w:cstheme="minorEastAsia"/>
          <w:color w:val="auto"/>
          <w:sz w:val="24"/>
          <w:szCs w:val="24"/>
          <w:highlight w:val="none"/>
          <w:u w:val="none"/>
        </w:rPr>
        <w:t>。</w:t>
      </w:r>
    </w:p>
    <w:p w14:paraId="36E0DC54">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逾期送达的投标文件，其投标文件不予接收。</w:t>
      </w:r>
    </w:p>
    <w:p w14:paraId="58B4F957">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发布公告的媒介</w:t>
      </w:r>
    </w:p>
    <w:p w14:paraId="59C095A3">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360" w:lineRule="auto"/>
        <w:ind w:left="510" w:leftChars="0"/>
        <w:jc w:val="left"/>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本次招标公告同时在（1）晋安区人民政府网(http://www.fzja.gov.cn)</w:t>
      </w:r>
      <w:r>
        <w:rPr>
          <w:rFonts w:hint="eastAsia" w:asciiTheme="minorEastAsia" w:hAnsiTheme="minorEastAsia" w:eastAsiaTheme="minorEastAsia" w:cstheme="minorEastAsia"/>
          <w:color w:val="auto"/>
          <w:sz w:val="24"/>
          <w:szCs w:val="24"/>
          <w:highlight w:val="none"/>
          <w:u w:val="none"/>
          <w:lang w:eastAsia="zh-CN"/>
        </w:rPr>
        <w:t>、（2）</w:t>
      </w:r>
      <w:r>
        <w:rPr>
          <w:rFonts w:hint="eastAsia" w:asciiTheme="minorEastAsia" w:hAnsiTheme="minorEastAsia" w:eastAsiaTheme="minorEastAsia" w:cstheme="minorEastAsia"/>
          <w:color w:val="auto"/>
          <w:sz w:val="24"/>
          <w:szCs w:val="24"/>
          <w:highlight w:val="none"/>
          <w:u w:val="none"/>
          <w:lang w:val="en-US" w:eastAsia="zh-CN"/>
        </w:rPr>
        <w:t>福建省福州市晋安区新店镇后山村民委员会公告栏上发布。</w:t>
      </w:r>
    </w:p>
    <w:p w14:paraId="07FE11CC">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360" w:lineRule="auto"/>
        <w:ind w:left="510" w:leftChars="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联系方式</w:t>
      </w:r>
    </w:p>
    <w:p w14:paraId="343F59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招标人：</w:t>
      </w:r>
      <w:r>
        <w:rPr>
          <w:rFonts w:hint="eastAsia" w:asciiTheme="minorEastAsia" w:hAnsiTheme="minorEastAsia" w:eastAsiaTheme="minorEastAsia" w:cstheme="minorEastAsia"/>
          <w:color w:val="auto"/>
          <w:kern w:val="2"/>
          <w:sz w:val="24"/>
          <w:szCs w:val="24"/>
          <w:highlight w:val="none"/>
          <w:u w:val="single"/>
          <w:lang w:val="en-US" w:eastAsia="zh-CN" w:bidi="ar-SA"/>
        </w:rPr>
        <w:t>福建省福州市晋安区新店镇后山村民委员会</w:t>
      </w:r>
    </w:p>
    <w:p w14:paraId="6D0B2B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w:t>
      </w:r>
      <w:r>
        <w:rPr>
          <w:rFonts w:hint="eastAsia" w:asciiTheme="minorEastAsia" w:hAnsiTheme="minorEastAsia" w:eastAsiaTheme="minorEastAsia" w:cstheme="minorEastAsia"/>
          <w:color w:val="auto"/>
          <w:kern w:val="2"/>
          <w:sz w:val="24"/>
          <w:szCs w:val="24"/>
          <w:highlight w:val="none"/>
          <w:u w:val="single"/>
          <w:lang w:val="en-US" w:eastAsia="zh-CN" w:bidi="ar-SA"/>
        </w:rPr>
        <w:t>福建省福州市晋安区新店镇后山村</w:t>
      </w:r>
    </w:p>
    <w:p w14:paraId="490724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w:t>
      </w:r>
      <w:r>
        <w:rPr>
          <w:rFonts w:hint="eastAsia" w:asciiTheme="minorEastAsia" w:hAnsiTheme="minorEastAsia" w:eastAsiaTheme="minorEastAsia" w:cstheme="minorEastAsia"/>
          <w:color w:val="auto"/>
          <w:kern w:val="2"/>
          <w:sz w:val="24"/>
          <w:szCs w:val="24"/>
          <w:highlight w:val="none"/>
          <w:u w:val="single"/>
          <w:lang w:val="en-US" w:eastAsia="zh-CN" w:bidi="ar-SA"/>
        </w:rPr>
        <w:t>0591-87903200</w:t>
      </w:r>
    </w:p>
    <w:p w14:paraId="0DB4E2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w:t>
      </w:r>
      <w:r>
        <w:rPr>
          <w:rFonts w:hint="eastAsia" w:asciiTheme="minorEastAsia" w:hAnsiTheme="minorEastAsia" w:eastAsiaTheme="minorEastAsia" w:cstheme="minorEastAsia"/>
          <w:color w:val="auto"/>
          <w:kern w:val="2"/>
          <w:sz w:val="24"/>
          <w:szCs w:val="24"/>
          <w:highlight w:val="none"/>
          <w:u w:val="single"/>
          <w:lang w:val="en-US" w:eastAsia="zh-CN" w:bidi="ar-SA"/>
        </w:rPr>
        <w:t>郑成杰</w:t>
      </w:r>
    </w:p>
    <w:p w14:paraId="0DB2C6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招标代理机构：</w:t>
      </w:r>
      <w:r>
        <w:rPr>
          <w:rFonts w:hint="eastAsia" w:asciiTheme="minorEastAsia" w:hAnsiTheme="minorEastAsia" w:eastAsiaTheme="minorEastAsia" w:cstheme="minorEastAsia"/>
          <w:color w:val="auto"/>
          <w:kern w:val="0"/>
          <w:sz w:val="24"/>
          <w:szCs w:val="24"/>
          <w:highlight w:val="none"/>
          <w:u w:val="single"/>
          <w:lang w:val="en-US" w:eastAsia="zh-CN" w:bidi="ar-SA"/>
        </w:rPr>
        <w:t>福建榕鹏招标代理有限公司</w:t>
      </w:r>
    </w:p>
    <w:p w14:paraId="6343B2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w:t>
      </w:r>
      <w:r>
        <w:rPr>
          <w:rFonts w:hint="eastAsia" w:asciiTheme="minorEastAsia" w:hAnsiTheme="minorEastAsia" w:eastAsiaTheme="minorEastAsia" w:cstheme="minorEastAsia"/>
          <w:color w:val="auto"/>
          <w:kern w:val="2"/>
          <w:sz w:val="24"/>
          <w:szCs w:val="24"/>
          <w:highlight w:val="none"/>
          <w:u w:val="single"/>
          <w:lang w:val="en-US" w:eastAsia="zh-CN" w:bidi="ar-SA"/>
        </w:rPr>
        <w:t>福州市鼓楼区东街街道五一北路106号新侨联广场A座24层2402-03室</w:t>
      </w:r>
    </w:p>
    <w:p w14:paraId="2512A5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电子邮箱：</w:t>
      </w:r>
      <w:r>
        <w:rPr>
          <w:rFonts w:hint="eastAsia" w:asciiTheme="minorEastAsia" w:hAnsiTheme="minorEastAsia" w:eastAsiaTheme="minorEastAsia" w:cstheme="minorEastAsia"/>
          <w:color w:val="auto"/>
          <w:sz w:val="24"/>
          <w:szCs w:val="24"/>
          <w:highlight w:val="none"/>
          <w:u w:val="single"/>
          <w:lang w:val="en-US" w:eastAsia="zh-CN"/>
        </w:rPr>
        <w:t>FJRPZBDL@163.com</w:t>
      </w:r>
    </w:p>
    <w:p w14:paraId="61FACD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w:t>
      </w:r>
      <w:r>
        <w:rPr>
          <w:rFonts w:hint="eastAsia" w:asciiTheme="minorEastAsia" w:hAnsiTheme="minorEastAsia" w:eastAsiaTheme="minorEastAsia" w:cstheme="minorEastAsia"/>
          <w:color w:val="auto"/>
          <w:kern w:val="2"/>
          <w:sz w:val="24"/>
          <w:szCs w:val="24"/>
          <w:highlight w:val="none"/>
          <w:u w:val="single"/>
          <w:lang w:val="en-US" w:eastAsia="zh-CN" w:bidi="ar-SA"/>
        </w:rPr>
        <w:t>0591-83700622</w:t>
      </w:r>
    </w:p>
    <w:p w14:paraId="7173B2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w:t>
      </w:r>
      <w:r>
        <w:rPr>
          <w:rFonts w:hint="eastAsia" w:asciiTheme="minorEastAsia" w:hAnsiTheme="minorEastAsia" w:eastAsiaTheme="minorEastAsia" w:cstheme="minorEastAsia"/>
          <w:color w:val="auto"/>
          <w:kern w:val="2"/>
          <w:sz w:val="24"/>
          <w:szCs w:val="24"/>
          <w:highlight w:val="none"/>
          <w:u w:val="single"/>
          <w:lang w:val="en-US" w:eastAsia="zh-CN" w:bidi="ar-SA"/>
        </w:rPr>
        <w:t>陈工</w:t>
      </w:r>
    </w:p>
    <w:p w14:paraId="03EC3360">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招投标监督机构名称：</w:t>
      </w:r>
      <w:r>
        <w:rPr>
          <w:rFonts w:hint="eastAsia" w:asciiTheme="minorEastAsia" w:hAnsiTheme="minorEastAsia" w:eastAsiaTheme="minorEastAsia" w:cstheme="minorEastAsia"/>
          <w:color w:val="auto"/>
          <w:sz w:val="24"/>
          <w:szCs w:val="24"/>
          <w:highlight w:val="none"/>
          <w:u w:val="single"/>
          <w:lang w:eastAsia="zh-CN"/>
        </w:rPr>
        <w:t>福建省福州市晋安区新店镇后山村民委员会</w:t>
      </w:r>
    </w:p>
    <w:p w14:paraId="5630A21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lang w:eastAsia="zh-CN"/>
        </w:rPr>
        <w:t>福建省福州市晋安区新店镇后山村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152F1"/>
    <w:multiLevelType w:val="multilevel"/>
    <w:tmpl w:val="3FF152F1"/>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856B8"/>
    <w:rsid w:val="4EC856B8"/>
    <w:rsid w:val="62437047"/>
    <w:rsid w:val="65DA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2165</Words>
  <Characters>2333</Characters>
  <Lines>0</Lines>
  <Paragraphs>0</Paragraphs>
  <TotalTime>0</TotalTime>
  <ScaleCrop>false</ScaleCrop>
  <LinksUpToDate>false</LinksUpToDate>
  <CharactersWithSpaces>2336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2026-06-12T01:13:00Z</dcterms:created>
  <dc:creator>陈于捷</dc:creator>
  <cp:lastModifiedBy>陈于捷</cp:lastModifiedBy>
  <dcterms:modified xsi:type="dcterms:W3CDTF">2026-06-12T03:02:53Z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8CE59B76558E4F5ABB6EA55298B10695_11</vt:lpwstr>
  </property>
  <property fmtid="{D5CDD505-2E9C-101B-9397-08002B2CF9AE}" pid="4" name="KSOTemplateDocerSaveRecord">
    <vt:lpwstr>eyJoZGlkIjoiODU0ZTNmZjkxNmVjMmIyOTg3MDc4ODI3MGRlYzYzYzQiLCJ1c2VySWQiOiIxNjEzMjM1MDg3In0=</vt:lpwstr>
  </property>
</Properties>
</file>