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A86D1">
      <w:pPr>
        <w:keepNext w:val="0"/>
        <w:keepLines w:val="0"/>
        <w:pageBreakBefore w:val="0"/>
        <w:widowControl/>
        <w:suppressLineNumbers w:val="0"/>
        <w:kinsoku/>
        <w:wordWrap/>
        <w:overflowPunct/>
        <w:topLinePunct w:val="0"/>
        <w:autoSpaceDE/>
        <w:autoSpaceDN/>
        <w:bidi w:val="0"/>
        <w:snapToGrid/>
        <w:spacing w:line="360" w:lineRule="auto"/>
        <w:jc w:val="center"/>
        <w:textAlignment w:val="auto"/>
        <w:rPr>
          <w:rFonts w:hint="eastAsia" w:ascii="宋体" w:hAnsi="宋体" w:eastAsia="宋体" w:cs="宋体"/>
          <w:b/>
          <w:bCs/>
          <w:color w:val="383940"/>
          <w:kern w:val="0"/>
          <w:sz w:val="40"/>
          <w:szCs w:val="40"/>
          <w:lang w:val="en-US" w:eastAsia="zh-CN" w:bidi="ar"/>
        </w:rPr>
      </w:pPr>
      <w:r>
        <w:rPr>
          <w:rFonts w:hint="eastAsia" w:ascii="宋体" w:hAnsi="宋体" w:eastAsia="宋体" w:cs="宋体"/>
          <w:b/>
          <w:bCs/>
          <w:color w:val="383940"/>
          <w:kern w:val="0"/>
          <w:sz w:val="40"/>
          <w:szCs w:val="40"/>
          <w:lang w:val="en-US" w:eastAsia="zh-CN" w:bidi="ar"/>
        </w:rPr>
        <w:t>秀山村垃圾清运服务（</w:t>
      </w:r>
      <w:bookmarkStart w:id="40" w:name="_GoBack"/>
      <w:bookmarkEnd w:id="40"/>
      <w:r>
        <w:rPr>
          <w:rFonts w:hint="eastAsia" w:ascii="宋体" w:hAnsi="宋体" w:eastAsia="宋体" w:cs="宋体"/>
          <w:b/>
          <w:bCs/>
          <w:color w:val="383940"/>
          <w:kern w:val="0"/>
          <w:sz w:val="40"/>
          <w:szCs w:val="40"/>
          <w:lang w:val="en-US" w:eastAsia="zh-CN" w:bidi="ar"/>
        </w:rPr>
        <w:t>二次招标）招标公告</w:t>
      </w:r>
    </w:p>
    <w:p w14:paraId="7606B420">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0" w:name="_Toc16732"/>
      <w:bookmarkStart w:id="1" w:name="_Toc30242"/>
      <w:bookmarkStart w:id="2" w:name="_Toc10541"/>
      <w:bookmarkStart w:id="3" w:name="_Toc137191212"/>
      <w:bookmarkStart w:id="4" w:name="_Toc26881"/>
      <w:r>
        <w:rPr>
          <w:rFonts w:hint="eastAsia" w:ascii="宋体" w:hAnsi="宋体" w:eastAsia="宋体" w:cs="宋体"/>
          <w:b/>
          <w:sz w:val="24"/>
          <w:szCs w:val="24"/>
          <w:highlight w:val="none"/>
        </w:rPr>
        <w:t>1.项目基本情况</w:t>
      </w:r>
      <w:bookmarkEnd w:id="0"/>
      <w:bookmarkEnd w:id="1"/>
      <w:bookmarkEnd w:id="2"/>
      <w:bookmarkEnd w:id="3"/>
      <w:bookmarkEnd w:id="4"/>
    </w:p>
    <w:p w14:paraId="424F5EA1">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1.1项目名称：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秀山村垃圾清运服务（二次招标）</w:t>
      </w:r>
    </w:p>
    <w:p w14:paraId="3ECB34B6">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1.2项目编号：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FJYS2026-022-1</w:t>
      </w:r>
      <w:r>
        <w:rPr>
          <w:rFonts w:hint="eastAsia" w:ascii="宋体" w:hAnsi="宋体" w:eastAsia="宋体" w:cs="宋体"/>
          <w:sz w:val="24"/>
          <w:szCs w:val="24"/>
          <w:highlight w:val="none"/>
          <w:u w:val="single"/>
        </w:rPr>
        <w:t xml:space="preserve"> </w:t>
      </w:r>
    </w:p>
    <w:p w14:paraId="074A413F">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1.3采购标的一览表</w:t>
      </w:r>
    </w:p>
    <w:tbl>
      <w:tblPr>
        <w:tblStyle w:val="8"/>
        <w:tblW w:w="9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2028"/>
        <w:gridCol w:w="1557"/>
        <w:gridCol w:w="1799"/>
        <w:gridCol w:w="2561"/>
      </w:tblGrid>
      <w:tr w14:paraId="1750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blHeader/>
          <w:jc w:val="center"/>
        </w:trPr>
        <w:tc>
          <w:tcPr>
            <w:tcW w:w="1200" w:type="dxa"/>
            <w:vAlign w:val="center"/>
          </w:tcPr>
          <w:p w14:paraId="303F978A">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合同包</w:t>
            </w:r>
          </w:p>
        </w:tc>
        <w:tc>
          <w:tcPr>
            <w:tcW w:w="2028" w:type="dxa"/>
            <w:vAlign w:val="center"/>
          </w:tcPr>
          <w:p w14:paraId="732D76F0">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1557" w:type="dxa"/>
            <w:vAlign w:val="center"/>
          </w:tcPr>
          <w:p w14:paraId="6C83CFD6">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数量</w:t>
            </w:r>
          </w:p>
        </w:tc>
        <w:tc>
          <w:tcPr>
            <w:tcW w:w="1799" w:type="dxa"/>
            <w:vAlign w:val="center"/>
          </w:tcPr>
          <w:p w14:paraId="114444B3">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含税最高限价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eastAsia="zh-CN"/>
              </w:rPr>
              <w:t>）</w:t>
            </w:r>
          </w:p>
        </w:tc>
        <w:tc>
          <w:tcPr>
            <w:tcW w:w="2561" w:type="dxa"/>
            <w:vAlign w:val="center"/>
          </w:tcPr>
          <w:p w14:paraId="68DEA9FE">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主要技术规格及要求</w:t>
            </w:r>
          </w:p>
        </w:tc>
      </w:tr>
      <w:tr w14:paraId="7688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blHeader/>
          <w:jc w:val="center"/>
        </w:trPr>
        <w:tc>
          <w:tcPr>
            <w:tcW w:w="1200" w:type="dxa"/>
            <w:vAlign w:val="center"/>
          </w:tcPr>
          <w:p w14:paraId="0676EDC6">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028" w:type="dxa"/>
            <w:vAlign w:val="center"/>
          </w:tcPr>
          <w:p w14:paraId="4EA8B460">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秀山村垃圾清运服务（二次招标）</w:t>
            </w:r>
          </w:p>
        </w:tc>
        <w:tc>
          <w:tcPr>
            <w:tcW w:w="1557" w:type="dxa"/>
            <w:vAlign w:val="center"/>
          </w:tcPr>
          <w:p w14:paraId="44E194FC">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5年</w:t>
            </w:r>
          </w:p>
        </w:tc>
        <w:tc>
          <w:tcPr>
            <w:tcW w:w="1799" w:type="dxa"/>
            <w:vAlign w:val="center"/>
          </w:tcPr>
          <w:p w14:paraId="6C42EA7D">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240000</w:t>
            </w:r>
          </w:p>
        </w:tc>
        <w:tc>
          <w:tcPr>
            <w:tcW w:w="2561" w:type="dxa"/>
            <w:vAlign w:val="center"/>
          </w:tcPr>
          <w:p w14:paraId="6642509A">
            <w:pPr>
              <w:pStyle w:val="14"/>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详见招标文件第四章“招标内容及要求”</w:t>
            </w:r>
          </w:p>
        </w:tc>
      </w:tr>
    </w:tbl>
    <w:p w14:paraId="1B44F26B">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highlight w:val="none"/>
          <w:lang w:val="en-US" w:eastAsia="zh-CN"/>
        </w:rPr>
      </w:pPr>
      <w:bookmarkStart w:id="5" w:name="_Toc137191213"/>
      <w:bookmarkStart w:id="6" w:name="_Toc11830"/>
      <w:bookmarkStart w:id="7" w:name="_Toc20354"/>
      <w:bookmarkStart w:id="8" w:name="_Toc10793"/>
      <w:r>
        <w:rPr>
          <w:rFonts w:hint="eastAsia" w:ascii="宋体" w:hAnsi="宋体" w:eastAsia="宋体" w:cs="宋体"/>
          <w:sz w:val="24"/>
          <w:szCs w:val="24"/>
          <w:highlight w:val="none"/>
        </w:rPr>
        <w:t>1.4含税最高限价：</w:t>
      </w:r>
      <w:r>
        <w:rPr>
          <w:rFonts w:hint="eastAsia" w:ascii="宋体" w:hAnsi="宋体" w:eastAsia="宋体" w:cs="宋体"/>
          <w:sz w:val="24"/>
          <w:szCs w:val="24"/>
          <w:highlight w:val="none"/>
          <w:u w:val="single"/>
        </w:rPr>
        <w:t xml:space="preserve"> 240000元</w:t>
      </w:r>
    </w:p>
    <w:p w14:paraId="12E02090">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1.5投标保证金：</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2000</w:t>
      </w:r>
      <w:r>
        <w:rPr>
          <w:rFonts w:hint="eastAsia" w:ascii="宋体" w:hAnsi="宋体" w:eastAsia="宋体" w:cs="宋体"/>
          <w:sz w:val="24"/>
          <w:szCs w:val="24"/>
          <w:highlight w:val="none"/>
        </w:rPr>
        <w:t>元</w:t>
      </w:r>
    </w:p>
    <w:p w14:paraId="6DEB5B4F">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1.6其他：</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4E3D2E8B">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9" w:name="_Toc12574"/>
      <w:r>
        <w:rPr>
          <w:rFonts w:hint="eastAsia" w:ascii="宋体" w:hAnsi="宋体" w:eastAsia="宋体" w:cs="宋体"/>
          <w:b/>
          <w:sz w:val="24"/>
          <w:szCs w:val="24"/>
          <w:highlight w:val="none"/>
        </w:rPr>
        <w:t>2.投标人资格要求</w:t>
      </w:r>
      <w:bookmarkEnd w:id="5"/>
      <w:bookmarkEnd w:id="6"/>
      <w:bookmarkEnd w:id="7"/>
      <w:bookmarkEnd w:id="8"/>
      <w:bookmarkEnd w:id="9"/>
    </w:p>
    <w:p w14:paraId="2D2FEC1F">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2.1投标人通用资格要求</w:t>
      </w:r>
    </w:p>
    <w:p w14:paraId="7B722FCD">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2.1.1投标人必须是具有有效的工商或市场监管部门核发的加载统一社会信用代码的营业执照且具有独立法人资格的企业。</w:t>
      </w:r>
    </w:p>
    <w:p w14:paraId="2081E911">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2.1.2一个投标人只能提交一个报价文件。但如果投标人之间存在下列互为关联关系的情形之一的，不得同时参加本项目报价；</w:t>
      </w:r>
    </w:p>
    <w:p w14:paraId="7EDB25A9">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①法定代表人为同一人的两个及两个以上法人；</w:t>
      </w:r>
    </w:p>
    <w:p w14:paraId="18CEB09A">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②母公司、直接或间接持股50％及以上的被投资公司；</w:t>
      </w:r>
    </w:p>
    <w:p w14:paraId="26D0E83F">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③均为同一家母公司直接或间接持股50％及以上的被投资公司。</w:t>
      </w:r>
    </w:p>
    <w:p w14:paraId="267D2D9B">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开标当日通过“天眼查”网站（https://www.tianyancha.com）或“企查查”网站（https://www.qcc.com）查询并打印投标人企业信息查询结果，并由评标委员会进行复核。若查询结果表明投标人之间存在上述互为关联关系的情形之一的，相关投标人资格审查均为不合格。</w:t>
      </w:r>
    </w:p>
    <w:p w14:paraId="37A2C3D1">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2.1.3信用记录查询:①信用记录查询的截止时点：信用记录查询的截止时点为本项目投标截止当日。②信用记录查询渠道：信用中国（www.creditchina.gov.cn）、中国政府采购网（www.ccgp.gov.cn）。③信用记录的查询：由</w:t>
      </w:r>
      <w:r>
        <w:rPr>
          <w:rFonts w:hint="eastAsia" w:ascii="宋体" w:hAnsi="宋体" w:eastAsia="宋体" w:cs="宋体"/>
          <w:bCs/>
          <w:color w:val="auto"/>
          <w:sz w:val="24"/>
          <w:szCs w:val="24"/>
          <w:highlight w:val="none"/>
          <w:lang w:val="en-US" w:eastAsia="zh-CN"/>
        </w:rPr>
        <w:t>评标委员会</w:t>
      </w:r>
      <w:r>
        <w:rPr>
          <w:rFonts w:hint="eastAsia" w:ascii="宋体" w:hAnsi="宋体" w:eastAsia="宋体" w:cs="宋体"/>
          <w:bCs/>
          <w:color w:val="auto"/>
          <w:sz w:val="24"/>
          <w:szCs w:val="24"/>
          <w:highlight w:val="none"/>
        </w:rPr>
        <w:t>通过上述网站查询并打印投标人的信用记录。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F0FC114">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2.1.4投标人须提供财务审计报告，依法缴纳税收和社会保障资金的相关材料：</w:t>
      </w:r>
    </w:p>
    <w:p w14:paraId="6CE90E8C">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ascii="Calibri" w:hAnsi="Calibri" w:eastAsia="宋体" w:cs="Calibri"/>
          <w:bCs/>
          <w:color w:val="auto"/>
          <w:sz w:val="24"/>
          <w:szCs w:val="24"/>
          <w:highlight w:val="none"/>
        </w:rPr>
        <w:t>①</w:t>
      </w:r>
      <w:r>
        <w:rPr>
          <w:rFonts w:hint="eastAsia" w:ascii="宋体" w:hAnsi="宋体" w:eastAsia="宋体" w:cs="宋体"/>
          <w:bCs/>
          <w:color w:val="auto"/>
          <w:sz w:val="24"/>
          <w:szCs w:val="24"/>
          <w:highlight w:val="none"/>
        </w:rPr>
        <w:t>财务状况报告：</w:t>
      </w:r>
      <w:r>
        <w:rPr>
          <w:rFonts w:hint="eastAsia" w:ascii="宋体" w:hAnsi="宋体" w:eastAsia="宋体" w:cs="宋体"/>
          <w:bCs/>
          <w:color w:val="auto"/>
          <w:sz w:val="24"/>
          <w:szCs w:val="24"/>
          <w:highlight w:val="none"/>
          <w:lang w:val="en-US" w:eastAsia="zh-CN"/>
        </w:rPr>
        <w:t>2024年度</w:t>
      </w:r>
      <w:r>
        <w:rPr>
          <w:rFonts w:hint="eastAsia" w:ascii="宋体" w:hAnsi="宋体" w:eastAsia="宋体" w:cs="宋体"/>
          <w:bCs/>
          <w:color w:val="auto"/>
          <w:sz w:val="24"/>
          <w:szCs w:val="24"/>
          <w:highlight w:val="none"/>
        </w:rPr>
        <w:t>经审计的企业财务审计报告</w:t>
      </w:r>
      <w:r>
        <w:rPr>
          <w:rFonts w:hint="eastAsia" w:ascii="宋体" w:hAnsi="宋体" w:eastAsia="宋体" w:cs="宋体"/>
          <w:b/>
          <w:color w:val="auto"/>
          <w:sz w:val="24"/>
          <w:szCs w:val="24"/>
          <w:highlight w:val="none"/>
        </w:rPr>
        <w:t>（至少包含资产负债表、利润表、现金流量表、所有者权益变动表及其附注（若有）、会计师事务所营业执照和注册会计师资格证书）</w:t>
      </w:r>
      <w:r>
        <w:rPr>
          <w:rFonts w:hint="eastAsia" w:ascii="宋体" w:hAnsi="宋体" w:eastAsia="宋体" w:cs="宋体"/>
          <w:bCs/>
          <w:color w:val="auto"/>
          <w:sz w:val="24"/>
          <w:szCs w:val="24"/>
          <w:highlight w:val="none"/>
        </w:rPr>
        <w:t>或资信证明（提供银行在投标截止时间前六个月内（不含投标当月）开具的资信证明原件或复印件）；</w:t>
      </w:r>
    </w:p>
    <w:p w14:paraId="092D68E9">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ascii="Calibri" w:hAnsi="Calibri" w:eastAsia="宋体" w:cs="Calibri"/>
          <w:bCs/>
          <w:color w:val="auto"/>
          <w:sz w:val="24"/>
          <w:szCs w:val="24"/>
          <w:highlight w:val="none"/>
        </w:rPr>
        <w:t>②</w:t>
      </w:r>
      <w:r>
        <w:rPr>
          <w:rFonts w:hint="eastAsia" w:ascii="宋体" w:hAnsi="宋体" w:eastAsia="宋体" w:cs="宋体"/>
          <w:bCs/>
          <w:color w:val="auto"/>
          <w:sz w:val="24"/>
          <w:szCs w:val="24"/>
          <w:highlight w:val="none"/>
        </w:rPr>
        <w:t>投标截止时间前六个月（不含投标截止时间的当月）中任一月份的税收凭据复印件；</w:t>
      </w:r>
    </w:p>
    <w:p w14:paraId="58C1EBD9">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Cs/>
          <w:color w:val="auto"/>
          <w:sz w:val="24"/>
          <w:szCs w:val="24"/>
          <w:highlight w:val="none"/>
        </w:rPr>
      </w:pPr>
      <w:r>
        <w:rPr>
          <w:rFonts w:ascii="Calibri" w:hAnsi="Calibri" w:eastAsia="宋体" w:cs="Calibri"/>
          <w:bCs/>
          <w:color w:val="auto"/>
          <w:sz w:val="24"/>
          <w:szCs w:val="24"/>
          <w:highlight w:val="none"/>
        </w:rPr>
        <w:t>③</w:t>
      </w:r>
      <w:r>
        <w:rPr>
          <w:rFonts w:hint="eastAsia" w:ascii="宋体" w:hAnsi="宋体" w:eastAsia="宋体" w:cs="宋体"/>
          <w:bCs/>
          <w:color w:val="auto"/>
          <w:sz w:val="24"/>
          <w:szCs w:val="24"/>
          <w:highlight w:val="none"/>
        </w:rPr>
        <w:t>投标截止时间前六个月（不含投标截止时间的当月）中任一月份的社会保险凭据复印件；</w:t>
      </w:r>
    </w:p>
    <w:p w14:paraId="1FE2284B">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Calibri" w:hAnsi="Calibri" w:eastAsia="宋体" w:cs="宋体"/>
          <w:color w:val="auto"/>
          <w:sz w:val="24"/>
          <w:szCs w:val="24"/>
        </w:rPr>
      </w:pPr>
      <w:r>
        <w:rPr>
          <w:rFonts w:hint="eastAsia" w:ascii="宋体" w:hAnsi="宋体" w:eastAsia="宋体" w:cs="宋体"/>
          <w:b/>
          <w:color w:val="auto"/>
          <w:sz w:val="24"/>
          <w:szCs w:val="24"/>
          <w:highlight w:val="none"/>
        </w:rPr>
        <w:t>（注：</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投标人若为依法免税或不需要缴纳社会保障资金的投标人，应提供相应文件证明其依法免税或不需要缴纳社会保障资金。</w:t>
      </w:r>
      <w:r>
        <w:rPr>
          <w:rFonts w:hint="eastAsia" w:ascii="宋体" w:hAnsi="宋体" w:eastAsia="宋体" w:cs="宋体"/>
          <w:b/>
          <w:color w:val="auto"/>
          <w:sz w:val="24"/>
          <w:szCs w:val="24"/>
          <w:highlight w:val="none"/>
          <w:lang w:val="en-US" w:eastAsia="zh-CN"/>
        </w:rPr>
        <w:t>2.采用资格承诺制的投标人，应当根据投标格式文件要求提供资格承诺函（格式详见投标格式文件），可以不提交财务状况、缴纳税收和社保资金缴纳等证明材料。若投标人提交了资格承诺函的同时提交财务状况、缴纳税收和社保资金缴纳等证明材料的，两者均应符合招标文件要求，否则以资格审查不合格处理。资格承诺函不符合招标文件要求的，视为未按照招标文件规定提交投标人的资格及资信文件，按资格审查不合格处理。</w:t>
      </w:r>
      <w:r>
        <w:rPr>
          <w:rFonts w:hint="eastAsia" w:ascii="宋体" w:hAnsi="宋体" w:eastAsia="宋体" w:cs="宋体"/>
          <w:b/>
          <w:color w:val="auto"/>
          <w:sz w:val="24"/>
          <w:szCs w:val="24"/>
          <w:highlight w:val="none"/>
        </w:rPr>
        <w:t>）</w:t>
      </w:r>
    </w:p>
    <w:p w14:paraId="3709152A">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2.1.5①招标文件未要求投标人提供“具备履行合同所必需的设备和专业技术能力专项证明材料”的，投标人应提供本声明函。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p w14:paraId="77A4F6D3">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2.1.6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D6664D1">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xml:space="preserve"> 不接受联合体投标。</w:t>
      </w:r>
    </w:p>
    <w:p w14:paraId="55799801">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10" w:name="_Toc8394"/>
      <w:bookmarkStart w:id="11" w:name="_Toc27723"/>
      <w:bookmarkStart w:id="12" w:name="_Toc5858"/>
      <w:bookmarkStart w:id="13" w:name="_Toc137191214"/>
      <w:bookmarkStart w:id="14" w:name="_Toc20199"/>
      <w:r>
        <w:rPr>
          <w:rFonts w:hint="eastAsia" w:ascii="宋体" w:hAnsi="宋体" w:eastAsia="宋体" w:cs="宋体"/>
          <w:b/>
          <w:sz w:val="24"/>
          <w:szCs w:val="24"/>
          <w:highlight w:val="none"/>
        </w:rPr>
        <w:t>3.招标文件的获取</w:t>
      </w:r>
      <w:bookmarkEnd w:id="10"/>
      <w:bookmarkEnd w:id="11"/>
      <w:bookmarkEnd w:id="12"/>
      <w:bookmarkEnd w:id="13"/>
      <w:bookmarkEnd w:id="14"/>
    </w:p>
    <w:p w14:paraId="5651EEA4">
      <w:pPr>
        <w:keepNext w:val="0"/>
        <w:keepLines w:val="0"/>
        <w:pageBreakBefore w:val="0"/>
        <w:kinsoku/>
        <w:wordWrap/>
        <w:overflowPunct/>
        <w:topLinePunct w:val="0"/>
        <w:autoSpaceDE/>
        <w:autoSpaceDN/>
        <w:bidi w:val="0"/>
        <w:adjustRightInd/>
        <w:spacing w:line="360" w:lineRule="auto"/>
        <w:ind w:firstLine="0" w:firstLineChars="0"/>
        <w:jc w:val="both"/>
        <w:textAlignment w:val="auto"/>
        <w:rPr>
          <w:rFonts w:hint="eastAsia" w:ascii="Calibri" w:hAnsi="宋体" w:eastAsia="宋体" w:cs="宋体"/>
          <w:b/>
          <w:sz w:val="24"/>
          <w:szCs w:val="24"/>
          <w:highlight w:val="none"/>
          <w:lang w:val="en-US" w:eastAsia="zh-CN" w:bidi="ar-SA"/>
        </w:rPr>
      </w:pPr>
      <w:r>
        <w:rPr>
          <w:rFonts w:hint="eastAsia" w:ascii="宋体" w:hAnsi="宋体" w:eastAsia="宋体" w:cs="宋体"/>
          <w:kern w:val="2"/>
          <w:sz w:val="24"/>
          <w:szCs w:val="24"/>
          <w:highlight w:val="none"/>
          <w:lang w:val="en-US" w:eastAsia="zh-CN" w:bidi="ar-SA"/>
        </w:rPr>
        <w:t>3.1凡有意参加投标者，请于</w:t>
      </w:r>
      <w:r>
        <w:rPr>
          <w:rFonts w:hint="eastAsia" w:ascii="宋体" w:hAnsi="宋体" w:eastAsia="宋体" w:cs="宋体"/>
          <w:b/>
          <w:bCs/>
          <w:kern w:val="2"/>
          <w:sz w:val="24"/>
          <w:szCs w:val="24"/>
          <w:highlight w:val="none"/>
          <w:lang w:val="en-US" w:eastAsia="zh-CN" w:bidi="ar-SA"/>
        </w:rPr>
        <w:t>[2026年06月16日至2026年06月24日]</w:t>
      </w:r>
      <w:r>
        <w:rPr>
          <w:rFonts w:hint="eastAsia" w:ascii="宋体" w:hAnsi="宋体" w:eastAsia="宋体" w:cs="宋体"/>
          <w:kern w:val="2"/>
          <w:sz w:val="24"/>
          <w:szCs w:val="24"/>
          <w:highlight w:val="none"/>
          <w:lang w:val="en-US" w:eastAsia="zh-CN" w:bidi="ar-SA"/>
        </w:rPr>
        <w:t>，[上午08:30到17:30](北京时间，下同)进行报名</w:t>
      </w:r>
      <w:r>
        <w:rPr>
          <w:rFonts w:hint="eastAsia" w:ascii="Calibri" w:hAnsi="宋体" w:eastAsia="宋体" w:cs="宋体"/>
          <w:b/>
          <w:sz w:val="24"/>
          <w:szCs w:val="24"/>
          <w:highlight w:val="none"/>
          <w:lang w:val="en-US" w:eastAsia="zh-CN" w:bidi="ar-SA"/>
        </w:rPr>
        <w:t>。</w:t>
      </w:r>
    </w:p>
    <w:p w14:paraId="7CB72A79">
      <w:pPr>
        <w:keepNext w:val="0"/>
        <w:keepLines w:val="0"/>
        <w:pageBreakBefore w:val="0"/>
        <w:kinsoku/>
        <w:wordWrap/>
        <w:overflowPunct/>
        <w:topLinePunct w:val="0"/>
        <w:autoSpaceDE/>
        <w:autoSpaceDN/>
        <w:bidi w:val="0"/>
        <w:adjustRightInd/>
        <w:spacing w:line="360" w:lineRule="auto"/>
        <w:ind w:firstLine="0" w:firstLineChars="0"/>
        <w:jc w:val="both"/>
        <w:textAlignment w:val="auto"/>
        <w:rPr>
          <w:rFonts w:hint="default" w:ascii="Calibri" w:hAnsi="宋体" w:eastAsia="宋体" w:cs="宋体"/>
          <w:b/>
          <w:sz w:val="24"/>
          <w:szCs w:val="24"/>
          <w:highlight w:val="none"/>
          <w:lang w:val="en-US" w:eastAsia="zh-CN" w:bidi="ar-SA"/>
        </w:rPr>
      </w:pPr>
      <w:r>
        <w:rPr>
          <w:rFonts w:hint="default" w:ascii="Calibri" w:hAnsi="宋体" w:eastAsia="宋体" w:cs="宋体"/>
          <w:b/>
          <w:sz w:val="24"/>
          <w:szCs w:val="24"/>
          <w:highlight w:val="none"/>
          <w:lang w:val="en-US" w:eastAsia="zh-CN" w:bidi="ar-SA"/>
        </w:rPr>
        <w:t>获取方式：①现场至福建优胜招标项目管理集团有限公司购买</w:t>
      </w:r>
      <w:r>
        <w:rPr>
          <w:rFonts w:hint="eastAsia" w:ascii="Calibri" w:hAnsi="宋体" w:eastAsia="宋体" w:cs="宋体"/>
          <w:b/>
          <w:sz w:val="24"/>
          <w:szCs w:val="24"/>
          <w:highlight w:val="none"/>
          <w:lang w:val="en-US" w:eastAsia="zh-CN" w:bidi="ar-SA"/>
        </w:rPr>
        <w:t>招标文件</w:t>
      </w:r>
      <w:r>
        <w:rPr>
          <w:rFonts w:hint="default" w:ascii="Calibri" w:hAnsi="宋体" w:eastAsia="宋体" w:cs="宋体"/>
          <w:b/>
          <w:sz w:val="24"/>
          <w:szCs w:val="24"/>
          <w:highlight w:val="none"/>
          <w:lang w:val="en-US" w:eastAsia="zh-CN" w:bidi="ar-SA"/>
        </w:rPr>
        <w:t>或②通过邮件购买文件：在福建优胜招标项目管理集团有限公司官网首页由 “办事指南”进入“如何购买标书”中下载附件，完整填写“购买文件登记表”发邮件至福建优胜招标项目管理集团有限公司（邮箱975001172@qq.com）。未达到以上要求者，不予办理。</w:t>
      </w:r>
    </w:p>
    <w:p w14:paraId="26CB7907">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购买招标文件时的公司名称应与投标时的公司名称一致，</w:t>
      </w:r>
      <w:r>
        <w:rPr>
          <w:rFonts w:hint="eastAsia" w:ascii="宋体" w:hAnsi="宋体" w:eastAsia="宋体" w:cs="宋体"/>
          <w:b/>
          <w:sz w:val="24"/>
          <w:szCs w:val="24"/>
          <w:highlight w:val="none"/>
        </w:rPr>
        <w:t>本项目不接受未购买招标文件的潜在投标人投标</w:t>
      </w:r>
      <w:r>
        <w:rPr>
          <w:rFonts w:hint="eastAsia" w:ascii="宋体" w:hAnsi="宋体" w:eastAsia="宋体" w:cs="宋体"/>
          <w:sz w:val="24"/>
          <w:szCs w:val="24"/>
          <w:highlight w:val="none"/>
        </w:rPr>
        <w:t>。</w:t>
      </w:r>
    </w:p>
    <w:p w14:paraId="741C52C6">
      <w:pPr>
        <w:keepNext w:val="0"/>
        <w:keepLines w:val="0"/>
        <w:pageBreakBefore w:val="0"/>
        <w:widowControl/>
        <w:kinsoku/>
        <w:wordWrap/>
        <w:overflowPunct/>
        <w:topLinePunct w:val="0"/>
        <w:autoSpaceDE/>
        <w:autoSpaceDN/>
        <w:bidi w:val="0"/>
        <w:adjustRightInd/>
        <w:spacing w:line="360" w:lineRule="auto"/>
        <w:ind w:firstLine="0" w:firstLineChars="0"/>
        <w:textAlignment w:val="auto"/>
        <w:rPr>
          <w:rFonts w:ascii="宋体" w:hAnsi="宋体" w:eastAsia="宋体" w:cs="宋体"/>
          <w:kern w:val="0"/>
          <w:sz w:val="24"/>
          <w:szCs w:val="24"/>
          <w:highlight w:val="none"/>
        </w:rPr>
      </w:pPr>
      <w:r>
        <w:rPr>
          <w:rFonts w:hint="eastAsia" w:ascii="宋体" w:hAnsi="宋体" w:eastAsia="宋体" w:cs="宋体"/>
          <w:sz w:val="24"/>
          <w:szCs w:val="24"/>
          <w:highlight w:val="none"/>
        </w:rPr>
        <w:t>3.2</w:t>
      </w:r>
      <w:r>
        <w:rPr>
          <w:rFonts w:hint="eastAsia" w:ascii="宋体" w:hAnsi="宋体" w:eastAsia="宋体" w:cs="宋体"/>
          <w:kern w:val="0"/>
          <w:sz w:val="24"/>
          <w:szCs w:val="24"/>
          <w:highlight w:val="none"/>
        </w:rPr>
        <w:t>招标文件每份售价</w:t>
      </w:r>
      <w:r>
        <w:rPr>
          <w:rFonts w:hint="eastAsia" w:ascii="宋体" w:hAnsi="宋体" w:eastAsia="宋体" w:cs="宋体"/>
          <w:kern w:val="0"/>
          <w:sz w:val="24"/>
          <w:szCs w:val="24"/>
          <w:highlight w:val="none"/>
          <w:u w:val="single"/>
          <w:lang w:val="en-US" w:eastAsia="zh-CN"/>
        </w:rPr>
        <w:t>2</w:t>
      </w:r>
      <w:r>
        <w:rPr>
          <w:rFonts w:hint="eastAsia" w:ascii="宋体" w:hAnsi="宋体" w:eastAsia="宋体" w:cs="宋体"/>
          <w:kern w:val="0"/>
          <w:sz w:val="24"/>
          <w:szCs w:val="24"/>
          <w:highlight w:val="none"/>
          <w:u w:val="single"/>
        </w:rPr>
        <w:t>00</w:t>
      </w:r>
      <w:r>
        <w:rPr>
          <w:rFonts w:hint="eastAsia" w:ascii="宋体" w:hAnsi="宋体" w:eastAsia="宋体" w:cs="宋体"/>
          <w:kern w:val="0"/>
          <w:sz w:val="24"/>
          <w:szCs w:val="24"/>
          <w:highlight w:val="none"/>
        </w:rPr>
        <w:t>元人民币，售后不退。</w:t>
      </w:r>
    </w:p>
    <w:p w14:paraId="5AEBFE50">
      <w:pPr>
        <w:keepNext w:val="0"/>
        <w:keepLines w:val="0"/>
        <w:pageBreakBefore w:val="0"/>
        <w:widowControl/>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3.3其他：</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2E7D7C09">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15" w:name="_Toc21474"/>
      <w:bookmarkStart w:id="16" w:name="_Toc4071"/>
      <w:bookmarkStart w:id="17" w:name="_Toc24287"/>
      <w:bookmarkStart w:id="18" w:name="_Toc137191215"/>
      <w:bookmarkStart w:id="19" w:name="_Toc13595"/>
      <w:r>
        <w:rPr>
          <w:rFonts w:hint="eastAsia" w:ascii="宋体" w:hAnsi="宋体" w:eastAsia="宋体" w:cs="宋体"/>
          <w:b/>
          <w:sz w:val="24"/>
          <w:szCs w:val="24"/>
          <w:highlight w:val="none"/>
        </w:rPr>
        <w:t>4.评标办法</w:t>
      </w:r>
      <w:bookmarkEnd w:id="15"/>
      <w:bookmarkEnd w:id="16"/>
      <w:bookmarkEnd w:id="17"/>
      <w:bookmarkEnd w:id="18"/>
      <w:bookmarkEnd w:id="19"/>
    </w:p>
    <w:p w14:paraId="3CFB553D">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最低评标价法。</w:t>
      </w:r>
    </w:p>
    <w:p w14:paraId="13FC433A">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20" w:name="_Toc28792"/>
      <w:bookmarkStart w:id="21" w:name="_Toc5389"/>
      <w:bookmarkStart w:id="22" w:name="_Toc137191216"/>
      <w:bookmarkStart w:id="23" w:name="_Toc20464"/>
      <w:bookmarkStart w:id="24" w:name="_Toc27543"/>
      <w:r>
        <w:rPr>
          <w:rFonts w:hint="eastAsia" w:ascii="宋体" w:hAnsi="宋体" w:eastAsia="宋体" w:cs="宋体"/>
          <w:b/>
          <w:sz w:val="24"/>
          <w:szCs w:val="24"/>
          <w:highlight w:val="none"/>
        </w:rPr>
        <w:t>5.投标文件的递交</w:t>
      </w:r>
      <w:bookmarkEnd w:id="20"/>
      <w:bookmarkEnd w:id="21"/>
      <w:bookmarkEnd w:id="22"/>
      <w:bookmarkEnd w:id="23"/>
      <w:bookmarkEnd w:id="24"/>
    </w:p>
    <w:p w14:paraId="30963E1D">
      <w:pPr>
        <w:keepNext w:val="0"/>
        <w:keepLines w:val="0"/>
        <w:pageBreakBefore w:val="0"/>
        <w:widowControl/>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kern w:val="0"/>
          <w:sz w:val="24"/>
          <w:szCs w:val="24"/>
          <w:highlight w:val="none"/>
        </w:rPr>
        <w:t>5.1投标文件递交的截止时间</w:t>
      </w:r>
      <w:r>
        <w:rPr>
          <w:rFonts w:hint="eastAsia" w:ascii="宋体" w:hAnsi="宋体" w:eastAsia="宋体" w:cs="宋体"/>
          <w:sz w:val="24"/>
          <w:szCs w:val="24"/>
          <w:highlight w:val="none"/>
        </w:rPr>
        <w:t>：2026年</w:t>
      </w:r>
      <w:r>
        <w:rPr>
          <w:rFonts w:hint="eastAsia" w:ascii="宋体" w:hAnsi="宋体" w:eastAsia="宋体" w:cs="宋体"/>
          <w:sz w:val="24"/>
          <w:szCs w:val="24"/>
          <w:highlight w:val="none"/>
          <w:lang w:val="en-US" w:eastAsia="zh-CN"/>
        </w:rPr>
        <w:t>07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07</w:t>
      </w:r>
      <w:r>
        <w:rPr>
          <w:rFonts w:hint="eastAsia" w:ascii="宋体" w:hAnsi="宋体" w:eastAsia="宋体" w:cs="宋体"/>
          <w:sz w:val="24"/>
          <w:szCs w:val="24"/>
          <w:highlight w:val="none"/>
        </w:rPr>
        <w:t>日09时00分00秒，投标人应在截止时间前到</w:t>
      </w:r>
      <w:r>
        <w:rPr>
          <w:rFonts w:hint="eastAsia" w:ascii="宋体" w:hAnsi="宋体" w:eastAsia="宋体" w:cs="宋体"/>
          <w:sz w:val="24"/>
          <w:szCs w:val="24"/>
          <w:highlight w:val="none"/>
          <w:u w:val="single"/>
        </w:rPr>
        <w:t>福建优胜招标项目管理集团有限公司开标大厅（福州市鼓楼区工业路526号华润万象城一期S2栋4层）</w:t>
      </w:r>
      <w:r>
        <w:rPr>
          <w:rFonts w:hint="eastAsia" w:ascii="宋体" w:hAnsi="宋体" w:eastAsia="宋体" w:cs="宋体"/>
          <w:sz w:val="24"/>
          <w:szCs w:val="24"/>
          <w:highlight w:val="none"/>
        </w:rPr>
        <w:t>递交投标文件。</w:t>
      </w:r>
    </w:p>
    <w:p w14:paraId="263FCF62">
      <w:pPr>
        <w:keepNext w:val="0"/>
        <w:keepLines w:val="0"/>
        <w:pageBreakBefore w:val="0"/>
        <w:widowControl/>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5.2逾期送达的投标文件，代理机构将予以拒收。</w:t>
      </w:r>
    </w:p>
    <w:p w14:paraId="10A93518">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25" w:name="_Toc137191217"/>
      <w:bookmarkStart w:id="26" w:name="_Toc25610"/>
      <w:bookmarkStart w:id="27" w:name="_Toc23830"/>
      <w:bookmarkStart w:id="28" w:name="_Toc5034"/>
      <w:bookmarkStart w:id="29" w:name="_Toc17156"/>
      <w:r>
        <w:rPr>
          <w:rFonts w:hint="eastAsia" w:ascii="宋体" w:hAnsi="宋体" w:eastAsia="宋体" w:cs="宋体"/>
          <w:b/>
          <w:sz w:val="24"/>
          <w:szCs w:val="24"/>
          <w:highlight w:val="none"/>
        </w:rPr>
        <w:t>6.开标时间、地点</w:t>
      </w:r>
      <w:bookmarkEnd w:id="25"/>
      <w:bookmarkEnd w:id="26"/>
      <w:bookmarkEnd w:id="27"/>
      <w:bookmarkEnd w:id="28"/>
      <w:bookmarkEnd w:id="29"/>
    </w:p>
    <w:p w14:paraId="756CCACC">
      <w:pPr>
        <w:keepNext w:val="0"/>
        <w:keepLines w:val="0"/>
        <w:pageBreakBefore w:val="0"/>
        <w:widowControl/>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6.1开标时间：2026年</w:t>
      </w:r>
      <w:r>
        <w:rPr>
          <w:rFonts w:hint="eastAsia" w:ascii="宋体" w:hAnsi="宋体" w:eastAsia="宋体" w:cs="宋体"/>
          <w:sz w:val="24"/>
          <w:szCs w:val="24"/>
          <w:highlight w:val="none"/>
          <w:lang w:val="en-US" w:eastAsia="zh-CN"/>
        </w:rPr>
        <w:t>07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07</w:t>
      </w:r>
      <w:r>
        <w:rPr>
          <w:rFonts w:hint="eastAsia" w:ascii="宋体" w:hAnsi="宋体" w:eastAsia="宋体" w:cs="宋体"/>
          <w:sz w:val="24"/>
          <w:szCs w:val="24"/>
          <w:highlight w:val="none"/>
        </w:rPr>
        <w:t>日09时00分00秒。</w:t>
      </w:r>
    </w:p>
    <w:p w14:paraId="754F4AF2">
      <w:pPr>
        <w:keepNext w:val="0"/>
        <w:keepLines w:val="0"/>
        <w:pageBreakBefore w:val="0"/>
        <w:widowControl/>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6.2开标地点：</w:t>
      </w:r>
      <w:r>
        <w:rPr>
          <w:rFonts w:hint="eastAsia" w:ascii="宋体" w:hAnsi="宋体" w:eastAsia="宋体" w:cs="宋体"/>
          <w:sz w:val="24"/>
          <w:szCs w:val="24"/>
          <w:highlight w:val="none"/>
          <w:u w:val="single"/>
        </w:rPr>
        <w:t>福建优胜招标项目管理集团有限公司开标大厅（福州市鼓楼区工业路526号华润万象城一期S2栋4层）</w:t>
      </w:r>
      <w:r>
        <w:rPr>
          <w:rFonts w:hint="eastAsia" w:ascii="宋体" w:hAnsi="宋体" w:eastAsia="宋体" w:cs="宋体"/>
          <w:sz w:val="24"/>
          <w:szCs w:val="24"/>
          <w:highlight w:val="none"/>
        </w:rPr>
        <w:t>。</w:t>
      </w:r>
    </w:p>
    <w:p w14:paraId="086DFE70">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30" w:name="_Toc20756"/>
      <w:bookmarkStart w:id="31" w:name="_Toc21797"/>
      <w:bookmarkStart w:id="32" w:name="_Toc8070"/>
      <w:bookmarkStart w:id="33" w:name="_Toc23396"/>
      <w:bookmarkStart w:id="34" w:name="_Toc137191218"/>
      <w:r>
        <w:rPr>
          <w:rFonts w:hint="eastAsia" w:ascii="宋体" w:hAnsi="宋体" w:eastAsia="宋体" w:cs="宋体"/>
          <w:b/>
          <w:sz w:val="24"/>
          <w:szCs w:val="24"/>
          <w:highlight w:val="none"/>
        </w:rPr>
        <w:t>7.发布公告的媒介</w:t>
      </w:r>
      <w:bookmarkEnd w:id="30"/>
      <w:bookmarkEnd w:id="31"/>
      <w:bookmarkEnd w:id="32"/>
      <w:bookmarkEnd w:id="33"/>
      <w:bookmarkEnd w:id="34"/>
    </w:p>
    <w:p w14:paraId="2DD4ADDE">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b/>
          <w:bCs/>
          <w:sz w:val="24"/>
          <w:szCs w:val="24"/>
          <w:highlight w:val="none"/>
        </w:rPr>
      </w:pPr>
      <w:r>
        <w:rPr>
          <w:rFonts w:hint="eastAsia" w:ascii="宋体" w:hAnsi="宋体" w:eastAsia="宋体" w:cs="宋体"/>
          <w:sz w:val="24"/>
          <w:szCs w:val="24"/>
          <w:highlight w:val="none"/>
        </w:rPr>
        <w:t>福州市晋安区人民政府网（www.fzja.gov.cn），请投标人自行关注。</w:t>
      </w:r>
    </w:p>
    <w:p w14:paraId="44DD91C1">
      <w:pPr>
        <w:keepNext w:val="0"/>
        <w:keepLines w:val="0"/>
        <w:pageBreakBefore w:val="0"/>
        <w:kinsoku/>
        <w:wordWrap/>
        <w:overflowPunct/>
        <w:topLinePunct w:val="0"/>
        <w:autoSpaceDE/>
        <w:autoSpaceDN/>
        <w:bidi w:val="0"/>
        <w:adjustRightInd/>
        <w:spacing w:line="360" w:lineRule="auto"/>
        <w:ind w:firstLine="0" w:firstLineChars="0"/>
        <w:textAlignment w:val="auto"/>
        <w:outlineLvl w:val="1"/>
        <w:rPr>
          <w:rFonts w:ascii="宋体" w:hAnsi="宋体" w:eastAsia="宋体" w:cs="宋体"/>
          <w:b/>
          <w:sz w:val="24"/>
          <w:szCs w:val="24"/>
          <w:highlight w:val="none"/>
        </w:rPr>
      </w:pPr>
      <w:bookmarkStart w:id="35" w:name="_Toc12315"/>
      <w:bookmarkStart w:id="36" w:name="_Toc8938"/>
      <w:bookmarkStart w:id="37" w:name="_Toc137191219"/>
      <w:bookmarkStart w:id="38" w:name="_Toc23730"/>
      <w:bookmarkStart w:id="39" w:name="_Toc24667"/>
      <w:r>
        <w:rPr>
          <w:rFonts w:hint="eastAsia" w:ascii="宋体" w:hAnsi="宋体" w:eastAsia="宋体" w:cs="宋体"/>
          <w:b/>
          <w:sz w:val="24"/>
          <w:szCs w:val="24"/>
          <w:highlight w:val="none"/>
        </w:rPr>
        <w:t>8.联系方式</w:t>
      </w:r>
      <w:bookmarkEnd w:id="35"/>
      <w:bookmarkEnd w:id="36"/>
      <w:bookmarkEnd w:id="37"/>
      <w:bookmarkEnd w:id="38"/>
      <w:bookmarkEnd w:id="39"/>
    </w:p>
    <w:p w14:paraId="17B64ED7">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招标人：</w:t>
      </w:r>
      <w:r>
        <w:rPr>
          <w:rFonts w:hint="eastAsia" w:ascii="宋体" w:hAnsi="宋体" w:eastAsia="宋体" w:cs="宋体"/>
          <w:sz w:val="24"/>
          <w:szCs w:val="24"/>
          <w:highlight w:val="none"/>
          <w:u w:val="single"/>
          <w:lang w:eastAsia="zh-CN"/>
        </w:rPr>
        <w:t>福建省福州市晋安区新店镇秀山村民委员会</w:t>
      </w:r>
    </w:p>
    <w:p w14:paraId="69B337DD">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福建省福州市晋安区新店镇秀山村民委员会</w:t>
      </w:r>
    </w:p>
    <w:p w14:paraId="22617F0A">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陈书记</w:t>
      </w:r>
    </w:p>
    <w:p w14:paraId="53362F9C">
      <w:pPr>
        <w:keepNext w:val="0"/>
        <w:keepLines w:val="0"/>
        <w:pageBreakBefore w:val="0"/>
        <w:widowControl/>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电话：</w:t>
      </w:r>
      <w:r>
        <w:rPr>
          <w:rFonts w:hint="eastAsia" w:ascii="宋体" w:hAnsi="宋体" w:eastAsia="宋体" w:cs="宋体"/>
          <w:sz w:val="24"/>
          <w:szCs w:val="24"/>
          <w:highlight w:val="none"/>
          <w:u w:val="single"/>
        </w:rPr>
        <w:t>136 0088 7821</w:t>
      </w:r>
    </w:p>
    <w:p w14:paraId="75608EF9">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传真：</w:t>
      </w:r>
      <w:r>
        <w:rPr>
          <w:rFonts w:hint="eastAsia" w:ascii="宋体" w:hAnsi="宋体" w:eastAsia="宋体" w:cs="宋体"/>
          <w:sz w:val="24"/>
          <w:szCs w:val="24"/>
          <w:highlight w:val="none"/>
          <w:u w:val="single"/>
        </w:rPr>
        <w:t xml:space="preserve">   /   </w:t>
      </w:r>
    </w:p>
    <w:p w14:paraId="49E9876B">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邮编：</w:t>
      </w:r>
      <w:r>
        <w:rPr>
          <w:rFonts w:hint="eastAsia" w:ascii="宋体" w:hAnsi="宋体" w:eastAsia="宋体" w:cs="宋体"/>
          <w:sz w:val="24"/>
          <w:szCs w:val="24"/>
          <w:highlight w:val="none"/>
          <w:u w:val="single"/>
          <w:lang w:eastAsia="zh-CN"/>
        </w:rPr>
        <w:t>35000</w:t>
      </w:r>
      <w:r>
        <w:rPr>
          <w:rFonts w:hint="eastAsia" w:ascii="宋体" w:hAnsi="宋体" w:eastAsia="宋体" w:cs="宋体"/>
          <w:sz w:val="24"/>
          <w:szCs w:val="24"/>
          <w:highlight w:val="none"/>
          <w:u w:val="single"/>
          <w:lang w:val="en-US" w:eastAsia="zh-CN"/>
        </w:rPr>
        <w:t>1</w:t>
      </w:r>
    </w:p>
    <w:p w14:paraId="1267A063">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bCs/>
          <w:sz w:val="24"/>
          <w:szCs w:val="24"/>
          <w:highlight w:val="none"/>
        </w:rPr>
        <w:t>招标代理机构：</w:t>
      </w:r>
      <w:r>
        <w:rPr>
          <w:rFonts w:hint="eastAsia" w:ascii="宋体" w:hAnsi="宋体" w:eastAsia="宋体" w:cs="宋体"/>
          <w:sz w:val="24"/>
          <w:szCs w:val="24"/>
          <w:highlight w:val="none"/>
          <w:u w:val="single"/>
        </w:rPr>
        <w:t>福建优胜招标项目管理集团有限公司</w:t>
      </w:r>
    </w:p>
    <w:p w14:paraId="77F2E1D6">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福州市鼓楼区工业路526号华润万象城一期S2栋4层</w:t>
      </w:r>
    </w:p>
    <w:p w14:paraId="4303D4D2">
      <w:pPr>
        <w:keepNext w:val="0"/>
        <w:keepLines w:val="0"/>
        <w:pageBreakBefore w:val="0"/>
        <w:kinsoku/>
        <w:wordWrap/>
        <w:overflowPunct/>
        <w:topLinePunct w:val="0"/>
        <w:autoSpaceDE/>
        <w:autoSpaceDN/>
        <w:bidi w:val="0"/>
        <w:adjustRightInd/>
        <w:spacing w:line="360" w:lineRule="auto"/>
        <w:ind w:firstLine="0" w:firstLineChars="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林榕华、邓林欢、马光锦</w:t>
      </w:r>
    </w:p>
    <w:p w14:paraId="585863E9">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电话：</w:t>
      </w:r>
      <w:r>
        <w:rPr>
          <w:rFonts w:hint="eastAsia" w:ascii="宋体" w:hAnsi="宋体" w:eastAsia="宋体" w:cs="宋体"/>
          <w:sz w:val="24"/>
          <w:szCs w:val="24"/>
          <w:highlight w:val="none"/>
          <w:u w:val="single"/>
        </w:rPr>
        <w:t>0591-87679372、87679352</w:t>
      </w:r>
    </w:p>
    <w:p w14:paraId="6921EB67">
      <w:pPr>
        <w:keepNext w:val="0"/>
        <w:keepLines w:val="0"/>
        <w:pageBreakBefore w:val="0"/>
        <w:kinsoku/>
        <w:wordWrap/>
        <w:overflowPunct/>
        <w:topLinePunct w:val="0"/>
        <w:autoSpaceDE/>
        <w:autoSpaceDN/>
        <w:bidi w:val="0"/>
        <w:adjustRightInd/>
        <w:spacing w:line="360" w:lineRule="auto"/>
        <w:ind w:firstLine="0" w:firstLineChars="0"/>
        <w:textAlignment w:val="auto"/>
        <w:rPr>
          <w:rFonts w:ascii="宋体" w:hAnsi="宋体" w:eastAsia="宋体" w:cs="宋体"/>
          <w:sz w:val="24"/>
          <w:szCs w:val="24"/>
          <w:highlight w:val="none"/>
          <w:u w:val="single"/>
        </w:rPr>
      </w:pPr>
      <w:r>
        <w:rPr>
          <w:rFonts w:hint="eastAsia" w:ascii="宋体" w:hAnsi="宋体" w:eastAsia="宋体" w:cs="宋体"/>
          <w:sz w:val="24"/>
          <w:szCs w:val="24"/>
          <w:highlight w:val="none"/>
        </w:rPr>
        <w:t>传真：</w:t>
      </w:r>
      <w:r>
        <w:rPr>
          <w:rFonts w:hint="eastAsia" w:ascii="宋体" w:hAnsi="宋体" w:eastAsia="宋体" w:cs="宋体"/>
          <w:sz w:val="24"/>
          <w:szCs w:val="24"/>
          <w:highlight w:val="none"/>
          <w:u w:val="single"/>
        </w:rPr>
        <w:t xml:space="preserve">    /    </w:t>
      </w:r>
    </w:p>
    <w:p w14:paraId="08C608F0">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邮编：</w:t>
      </w:r>
      <w:r>
        <w:rPr>
          <w:rFonts w:hint="eastAsia" w:ascii="宋体" w:hAnsi="宋体" w:eastAsia="宋体" w:cs="宋体"/>
          <w:sz w:val="24"/>
          <w:szCs w:val="24"/>
          <w:highlight w:val="none"/>
          <w:u w:val="single"/>
          <w:lang w:eastAsia="zh-CN"/>
        </w:rPr>
        <w:t>350001</w:t>
      </w:r>
    </w:p>
    <w:p w14:paraId="6232B3D8">
      <w:pPr>
        <w:pStyle w:val="14"/>
        <w:keepNext w:val="0"/>
        <w:keepLines w:val="0"/>
        <w:pageBreakBefore w:val="0"/>
        <w:kinsoku/>
        <w:wordWrap/>
        <w:overflowPunct/>
        <w:topLinePunct w:val="0"/>
        <w:autoSpaceDE/>
        <w:autoSpaceDN/>
        <w:bidi w:val="0"/>
        <w:adjustRightInd/>
        <w:snapToGrid/>
        <w:spacing w:line="360" w:lineRule="auto"/>
        <w:jc w:val="both"/>
        <w:textAlignment w:val="auto"/>
        <w:outlineLvl w:val="1"/>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技术和服务要求</w:t>
      </w:r>
    </w:p>
    <w:p w14:paraId="51BC3DEB">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（一）招标人的权利与义务</w:t>
      </w:r>
    </w:p>
    <w:p w14:paraId="2D35AC8B">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1.招标人委派的管理人员全权代表招标人行使招标人在本合同中的权利，招标人委派的管理人员按照本合同的各项规定和要求，为中标人在本项目的工作提供指导和建议。</w:t>
      </w:r>
    </w:p>
    <w:p w14:paraId="4EF4DEEA">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2.招标人有权对中标人工作人员进行安全教育和岗位考核，并有权指导和建议中标人工作人员的工作。</w:t>
      </w:r>
    </w:p>
    <w:p w14:paraId="508BCA58">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3.招标人应及时答复中标人提出的有关本项目的申请、计划和建议,协调解决中标人工作中存在的问题和困难，为中标人的工作提供方便。</w:t>
      </w:r>
    </w:p>
    <w:p w14:paraId="48347E7B">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4.招标人应配有标准的240L垃圾桶，符合后压缩车收运垃圾装卸功能的正常使用状态。</w:t>
      </w:r>
    </w:p>
    <w:p w14:paraId="41B9B9E8">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5.根据本项目的要求，招标人应配备本项目所需的材料及设备供中标人使用。设备日常维护、维修所需的费用由招标人承担。</w:t>
      </w:r>
    </w:p>
    <w:p w14:paraId="51DF228A">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（二）中标人的权利与义务</w:t>
      </w:r>
    </w:p>
    <w:p w14:paraId="76F073D0">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1.中标人应根据本项目的要求及相关规定，实施工作。</w:t>
      </w:r>
    </w:p>
    <w:p w14:paraId="2A1F8CD1">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2.中标人应根据合同规定的规范、标准的要求和本项目的具体情况，制订工作程序。</w:t>
      </w:r>
    </w:p>
    <w:p w14:paraId="796E590A">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3.中标人负责每日到指定生活垃圾暂存间分类收运所有垃圾桶内的生活垃圾，保证垃圾无遗留；在垃圾装卸转运过程中，保证不产生滴、洒、漏现象。</w:t>
      </w:r>
    </w:p>
    <w:p w14:paraId="2C80D62A">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4.中标人负责秀山村工业园区内垃圾清运，每日早晚各清运一次，清运到政府指定地点。</w:t>
      </w:r>
    </w:p>
    <w:p w14:paraId="1F99D7CA">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5.中标人要严格遵守各个中转站的安全管理规定和压缩设备技术规范，任何人不得以任何理由拒运或强行超负荷压缩，垃圾清运路线和清运时间由招标人与中标人具体约定。</w:t>
      </w:r>
    </w:p>
    <w:p w14:paraId="152A0C84">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6.在重大活动和节假日期间或应招标人的要求，中标人应增加工作人员及清运密度，确保各转运站（点）的垃圾及时清运和环境卫生整洁、美观。</w:t>
      </w:r>
    </w:p>
    <w:p w14:paraId="64D24666">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7.中标人负责车辆的清洗清洁，保持车辆的干净卫生；垃圾收集、运输车辆应密闭，且必须是环境卫生管理机构发布的作业车辆准作目录上的车辆。车容整洁，无跑冒滴漏垃圾现象。</w:t>
      </w:r>
    </w:p>
    <w:p w14:paraId="6D189758">
      <w:pPr>
        <w:keepNext w:val="0"/>
        <w:keepLines w:val="0"/>
        <w:pageBreakBefore w:val="0"/>
        <w:kinsoku/>
        <w:wordWrap/>
        <w:overflowPunct/>
        <w:topLinePunct w:val="0"/>
        <w:autoSpaceDE/>
        <w:autoSpaceDN/>
        <w:bidi w:val="0"/>
        <w:snapToGrid/>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8.在履约过程中，成交服务商应自觉维护招标人在公众中的良好形象及品牌，严禁在清运过程中分拣垃圾或从事招标人授权范围以外的事宜。</w:t>
      </w:r>
    </w:p>
    <w:p w14:paraId="15BEA90B">
      <w:pPr>
        <w:keepNext w:val="0"/>
        <w:keepLines w:val="0"/>
        <w:pageBreakBefore w:val="0"/>
        <w:kinsoku/>
        <w:wordWrap/>
        <w:overflowPunct/>
        <w:topLinePunct w:val="0"/>
        <w:autoSpaceDE/>
        <w:autoSpaceDN/>
        <w:bidi w:val="0"/>
        <w:snapToGrid/>
        <w:spacing w:line="360" w:lineRule="auto"/>
        <w:jc w:val="both"/>
        <w:textAlignment w:val="auto"/>
      </w:pPr>
    </w:p>
    <w:sectPr>
      <w:pgSz w:w="11906" w:h="16838"/>
      <w:pgMar w:top="1259" w:right="1247" w:bottom="924" w:left="10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F5BA2"/>
    <w:rsid w:val="02132620"/>
    <w:rsid w:val="02380E83"/>
    <w:rsid w:val="02B32C00"/>
    <w:rsid w:val="05DA03EA"/>
    <w:rsid w:val="06841E1A"/>
    <w:rsid w:val="06AE5EBC"/>
    <w:rsid w:val="07CA0805"/>
    <w:rsid w:val="081E2594"/>
    <w:rsid w:val="0BA94BA0"/>
    <w:rsid w:val="0BE47F23"/>
    <w:rsid w:val="0C851169"/>
    <w:rsid w:val="0E7B6CC7"/>
    <w:rsid w:val="10F413FF"/>
    <w:rsid w:val="14AF76CB"/>
    <w:rsid w:val="164A4601"/>
    <w:rsid w:val="16992B0D"/>
    <w:rsid w:val="17982698"/>
    <w:rsid w:val="17F3167D"/>
    <w:rsid w:val="18185D1D"/>
    <w:rsid w:val="18D07C10"/>
    <w:rsid w:val="19EA73FC"/>
    <w:rsid w:val="1B3A20D7"/>
    <w:rsid w:val="1B564374"/>
    <w:rsid w:val="1C9C779D"/>
    <w:rsid w:val="1D3F5364"/>
    <w:rsid w:val="207D4AC6"/>
    <w:rsid w:val="219915B7"/>
    <w:rsid w:val="269C0FF2"/>
    <w:rsid w:val="271E7A38"/>
    <w:rsid w:val="29C63095"/>
    <w:rsid w:val="2D227B04"/>
    <w:rsid w:val="2D6F5746"/>
    <w:rsid w:val="3169380C"/>
    <w:rsid w:val="35696FCA"/>
    <w:rsid w:val="37561546"/>
    <w:rsid w:val="377E4FAF"/>
    <w:rsid w:val="378104DB"/>
    <w:rsid w:val="37A90CDD"/>
    <w:rsid w:val="391A7A78"/>
    <w:rsid w:val="39554EAB"/>
    <w:rsid w:val="39AE089D"/>
    <w:rsid w:val="3E9B3512"/>
    <w:rsid w:val="3FF14AB8"/>
    <w:rsid w:val="41514A25"/>
    <w:rsid w:val="485F4E2F"/>
    <w:rsid w:val="4A9E6A8C"/>
    <w:rsid w:val="4AE20F59"/>
    <w:rsid w:val="4DF7126B"/>
    <w:rsid w:val="507957AB"/>
    <w:rsid w:val="558F1CDD"/>
    <w:rsid w:val="574B2AF7"/>
    <w:rsid w:val="5BE65569"/>
    <w:rsid w:val="5C2018E1"/>
    <w:rsid w:val="5C441D55"/>
    <w:rsid w:val="5C677510"/>
    <w:rsid w:val="5F176BA0"/>
    <w:rsid w:val="60073B5F"/>
    <w:rsid w:val="60B93E3E"/>
    <w:rsid w:val="6A4F3036"/>
    <w:rsid w:val="6A527D17"/>
    <w:rsid w:val="6BB87D88"/>
    <w:rsid w:val="6BF6440D"/>
    <w:rsid w:val="6C2E7599"/>
    <w:rsid w:val="6F4B0F13"/>
    <w:rsid w:val="70AE6247"/>
    <w:rsid w:val="723961AE"/>
    <w:rsid w:val="738E122E"/>
    <w:rsid w:val="743A31CA"/>
    <w:rsid w:val="74A138CF"/>
    <w:rsid w:val="79412BEB"/>
    <w:rsid w:val="7A0643B5"/>
    <w:rsid w:val="7E6C6B3B"/>
    <w:rsid w:val="7F0F1615"/>
    <w:rsid w:val="7F201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keepLines/>
      <w:tabs>
        <w:tab w:val="left" w:pos="5852"/>
      </w:tabs>
      <w:snapToGrid w:val="0"/>
      <w:spacing w:before="360" w:line="240" w:lineRule="exact"/>
      <w:ind w:left="1620" w:hanging="720"/>
      <w:outlineLvl w:val="2"/>
    </w:pPr>
    <w:rPr>
      <w:rFonts w:ascii="Times New Roman" w:hAnsi="Times New Roman" w:eastAsia="宋体" w:cs="Times New Roman"/>
      <w:b/>
      <w:sz w:val="28"/>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Message Header"/>
    <w:basedOn w:val="1"/>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Cambria" w:hAnsi="Cambria" w:eastAsia="宋体" w:cs="Times New Roman"/>
      <w:kern w:val="2"/>
      <w:sz w:val="24"/>
      <w:szCs w:val="22"/>
      <w:lang w:val="en-US" w:eastAsia="zh-CN" w:bidi="ar-SA"/>
    </w:rPr>
  </w:style>
  <w:style w:type="paragraph" w:styleId="4">
    <w:name w:val="annotation text"/>
    <w:basedOn w:val="1"/>
    <w:qFormat/>
    <w:uiPriority w:val="0"/>
    <w:pPr>
      <w:jc w:val="left"/>
    </w:pPr>
  </w:style>
  <w:style w:type="paragraph" w:styleId="5">
    <w:name w:val="Body Text"/>
    <w:basedOn w:val="1"/>
    <w:next w:val="1"/>
    <w:qFormat/>
    <w:uiPriority w:val="0"/>
    <w:pPr>
      <w:spacing w:after="120"/>
    </w:pPr>
    <w:rPr>
      <w:rFonts w:cs="Times New Roman"/>
      <w:lang w:bidi="ar-SA"/>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Title"/>
    <w:basedOn w:val="1"/>
    <w:next w:val="1"/>
    <w:qFormat/>
    <w:uiPriority w:val="0"/>
    <w:pPr>
      <w:jc w:val="left"/>
      <w:outlineLvl w:val="0"/>
    </w:pPr>
    <w:rPr>
      <w:rFonts w:ascii="Cambria" w:hAnsi="Cambria"/>
      <w:b/>
      <w:bCs/>
      <w:sz w:val="28"/>
      <w:szCs w:val="28"/>
    </w:rPr>
  </w:style>
  <w:style w:type="character" w:styleId="10">
    <w:name w:val="Strong"/>
    <w:basedOn w:val="9"/>
    <w:qFormat/>
    <w:uiPriority w:val="0"/>
    <w:rPr>
      <w:rFonts w:ascii="Times New Roman" w:hAnsi="Times New Roman" w:eastAsia="宋体" w:cs="Times New Roman"/>
      <w:b/>
    </w:rPr>
  </w:style>
  <w:style w:type="character" w:styleId="11">
    <w:name w:val="annotation reference"/>
    <w:qFormat/>
    <w:uiPriority w:val="0"/>
    <w:rPr>
      <w:sz w:val="21"/>
      <w:szCs w:val="21"/>
    </w:rPr>
  </w:style>
  <w:style w:type="paragraph" w:customStyle="1" w:styleId="12">
    <w:name w:val="正文首行缩进 21"/>
    <w:basedOn w:val="13"/>
    <w:qFormat/>
    <w:uiPriority w:val="0"/>
    <w:pPr>
      <w:widowControl/>
      <w:ind w:left="0" w:leftChars="0" w:firstLine="420"/>
      <w:jc w:val="center"/>
    </w:pPr>
    <w:rPr>
      <w:sz w:val="32"/>
    </w:rPr>
  </w:style>
  <w:style w:type="paragraph" w:customStyle="1" w:styleId="13">
    <w:name w:val="正文文本缩进1"/>
    <w:basedOn w:val="1"/>
    <w:qFormat/>
    <w:uiPriority w:val="0"/>
    <w:pPr>
      <w:ind w:left="420" w:leftChars="200"/>
    </w:pPr>
    <w:rPr>
      <w:rFonts w:eastAsia="仿宋_GB2312"/>
      <w:sz w:val="28"/>
    </w:rPr>
  </w:style>
  <w:style w:type="paragraph" w:customStyle="1" w:styleId="14">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2794</Words>
  <Characters>3104</Characters>
  <Lines>0</Lines>
  <Paragraphs>0</Paragraphs>
  <TotalTime>0</TotalTime>
  <ScaleCrop>false</ScaleCrop>
  <LinksUpToDate>false</LinksUpToDate>
  <CharactersWithSpaces>3139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2025-03-27T07:33:00Z</dcterms:created>
  <dc:creator>MHZB-01</dc:creator>
  <cp:lastModifiedBy>优胜招标</cp:lastModifiedBy>
  <cp:lastPrinted>2026-04-29T02:48:00Z</cp:lastPrinted>
  <dcterms:modified xsi:type="dcterms:W3CDTF">2026-06-15T09:08:59Z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eyJoZGlkIjoiYWIzZjllZjhmMDE4NGU3YTdhYTc1YjAyZGU1MDU2ZmMiLCJ1c2VySWQiOiIxNDg4NTUzOTQyIn0=</vt:lpwstr>
  </property>
  <property fmtid="{D5CDD505-2E9C-101B-9397-08002B2CF9AE}" pid="4" name="ICV">
    <vt:lpwstr>5030B687B3DB40748A3B937CE261F1D1_13</vt:lpwstr>
  </property>
</Properties>
</file>