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27113">
      <w:pPr>
        <w:jc w:val="center"/>
        <w:rPr>
          <w:b/>
          <w:color w:val="000000" w:themeColor="text1"/>
          <w:sz w:val="44"/>
          <w14:textFill>
            <w14:solidFill>
              <w14:schemeClr w14:val="tx1"/>
            </w14:solidFill>
          </w14:textFill>
        </w:rPr>
      </w:pPr>
    </w:p>
    <w:p w14:paraId="791222BE">
      <w:pPr>
        <w:adjustRightInd w:val="0"/>
        <w:snapToGrid w:val="0"/>
        <w:spacing w:before="156" w:beforeLines="50" w:line="360" w:lineRule="auto"/>
        <w:jc w:val="center"/>
        <w:rPr>
          <w:b/>
          <w:color w:val="000000" w:themeColor="text1"/>
          <w:sz w:val="52"/>
          <w:szCs w:val="21"/>
          <w14:textFill>
            <w14:solidFill>
              <w14:schemeClr w14:val="tx1"/>
            </w14:solidFill>
          </w14:textFill>
        </w:rPr>
      </w:pPr>
      <w:r>
        <w:rPr>
          <w:b/>
          <w:color w:val="000000" w:themeColor="text1"/>
          <w:sz w:val="52"/>
          <w:szCs w:val="21"/>
          <w14:textFill>
            <w14:solidFill>
              <w14:schemeClr w14:val="tx1"/>
            </w14:solidFill>
          </w14:textFill>
        </w:rPr>
        <w:t>晋安区北峰山区“十四五”乡镇生活污水处理设施建设运维实施方案</w:t>
      </w:r>
    </w:p>
    <w:p w14:paraId="0C833897">
      <w:pPr>
        <w:jc w:val="center"/>
        <w:rPr>
          <w:b/>
          <w:color w:val="000000" w:themeColor="text1"/>
          <w:sz w:val="44"/>
          <w14:textFill>
            <w14:solidFill>
              <w14:schemeClr w14:val="tx1"/>
            </w14:solidFill>
          </w14:textFill>
        </w:rPr>
      </w:pPr>
    </w:p>
    <w:p w14:paraId="7F06D0E8">
      <w:pPr>
        <w:jc w:val="center"/>
        <w:rPr>
          <w:b/>
          <w:color w:val="000000" w:themeColor="text1"/>
          <w:sz w:val="44"/>
          <w14:textFill>
            <w14:solidFill>
              <w14:schemeClr w14:val="tx1"/>
            </w14:solidFill>
          </w14:textFill>
        </w:rPr>
      </w:pPr>
    </w:p>
    <w:p w14:paraId="1F8AF961">
      <w:pPr>
        <w:jc w:val="center"/>
        <w:rPr>
          <w:b/>
          <w:color w:val="000000" w:themeColor="text1"/>
          <w:sz w:val="44"/>
          <w14:textFill>
            <w14:solidFill>
              <w14:schemeClr w14:val="tx1"/>
            </w14:solidFill>
          </w14:textFill>
        </w:rPr>
      </w:pPr>
    </w:p>
    <w:p w14:paraId="1565EA02">
      <w:pPr>
        <w:jc w:val="center"/>
        <w:rPr>
          <w:b/>
          <w:color w:val="000000" w:themeColor="text1"/>
          <w:sz w:val="44"/>
          <w14:textFill>
            <w14:solidFill>
              <w14:schemeClr w14:val="tx1"/>
            </w14:solidFill>
          </w14:textFill>
        </w:rPr>
      </w:pPr>
    </w:p>
    <w:p w14:paraId="2D9F3CF0">
      <w:pPr>
        <w:jc w:val="center"/>
        <w:rPr>
          <w:b/>
          <w:color w:val="000000" w:themeColor="text1"/>
          <w:sz w:val="44"/>
          <w14:textFill>
            <w14:solidFill>
              <w14:schemeClr w14:val="tx1"/>
            </w14:solidFill>
          </w14:textFill>
        </w:rPr>
      </w:pPr>
    </w:p>
    <w:p w14:paraId="60A5F244">
      <w:pPr>
        <w:jc w:val="center"/>
        <w:rPr>
          <w:b/>
          <w:color w:val="000000" w:themeColor="text1"/>
          <w:sz w:val="44"/>
          <w14:textFill>
            <w14:solidFill>
              <w14:schemeClr w14:val="tx1"/>
            </w14:solidFill>
          </w14:textFill>
        </w:rPr>
      </w:pPr>
    </w:p>
    <w:p w14:paraId="6962CE09">
      <w:pPr>
        <w:jc w:val="center"/>
        <w:rPr>
          <w:b/>
          <w:color w:val="000000" w:themeColor="text1"/>
          <w:sz w:val="44"/>
          <w14:textFill>
            <w14:solidFill>
              <w14:schemeClr w14:val="tx1"/>
            </w14:solidFill>
          </w14:textFill>
        </w:rPr>
      </w:pPr>
    </w:p>
    <w:p w14:paraId="5A81F301">
      <w:pPr>
        <w:jc w:val="center"/>
        <w:rPr>
          <w:b/>
          <w:color w:val="000000" w:themeColor="text1"/>
          <w:sz w:val="44"/>
          <w14:textFill>
            <w14:solidFill>
              <w14:schemeClr w14:val="tx1"/>
            </w14:solidFill>
          </w14:textFill>
        </w:rPr>
      </w:pPr>
    </w:p>
    <w:p w14:paraId="1A4633C8">
      <w:pPr>
        <w:jc w:val="center"/>
        <w:rPr>
          <w:b/>
          <w:color w:val="000000" w:themeColor="text1"/>
          <w:sz w:val="44"/>
          <w14:textFill>
            <w14:solidFill>
              <w14:schemeClr w14:val="tx1"/>
            </w14:solidFill>
          </w14:textFill>
        </w:rPr>
      </w:pPr>
    </w:p>
    <w:p w14:paraId="78F66790">
      <w:pPr>
        <w:jc w:val="center"/>
        <w:rPr>
          <w:b/>
          <w:color w:val="000000" w:themeColor="text1"/>
          <w:sz w:val="44"/>
          <w14:textFill>
            <w14:solidFill>
              <w14:schemeClr w14:val="tx1"/>
            </w14:solidFill>
          </w14:textFill>
        </w:rPr>
      </w:pPr>
    </w:p>
    <w:p w14:paraId="793A1999">
      <w:pPr>
        <w:jc w:val="center"/>
        <w:rPr>
          <w:b/>
          <w:color w:val="000000" w:themeColor="text1"/>
          <w:sz w:val="44"/>
          <w14:textFill>
            <w14:solidFill>
              <w14:schemeClr w14:val="tx1"/>
            </w14:solidFill>
          </w14:textFill>
        </w:rPr>
      </w:pPr>
    </w:p>
    <w:p w14:paraId="65D41A08">
      <w:pPr>
        <w:jc w:val="center"/>
        <w:rPr>
          <w:b/>
          <w:color w:val="000000" w:themeColor="text1"/>
          <w:sz w:val="44"/>
          <w14:textFill>
            <w14:solidFill>
              <w14:schemeClr w14:val="tx1"/>
            </w14:solidFill>
          </w14:textFill>
        </w:rPr>
      </w:pPr>
    </w:p>
    <w:p w14:paraId="37E6663E">
      <w:pPr>
        <w:jc w:val="center"/>
        <w:rPr>
          <w:b/>
          <w:color w:val="000000" w:themeColor="text1"/>
          <w:sz w:val="44"/>
          <w14:textFill>
            <w14:solidFill>
              <w14:schemeClr w14:val="tx1"/>
            </w14:solidFill>
          </w14:textFill>
        </w:rPr>
      </w:pPr>
    </w:p>
    <w:p w14:paraId="1B053BEA">
      <w:pPr>
        <w:spacing w:line="600" w:lineRule="exact"/>
        <w:jc w:val="center"/>
        <w:rPr>
          <w:b/>
          <w:color w:val="000000" w:themeColor="text1"/>
          <w:sz w:val="40"/>
          <w:szCs w:val="40"/>
          <w14:textFill>
            <w14:solidFill>
              <w14:schemeClr w14:val="tx1"/>
            </w14:solidFill>
          </w14:textFill>
        </w:rPr>
      </w:pPr>
      <w:r>
        <w:rPr>
          <w:b/>
          <w:color w:val="000000" w:themeColor="text1"/>
          <w:sz w:val="40"/>
          <w:szCs w:val="40"/>
          <w14:textFill>
            <w14:solidFill>
              <w14:schemeClr w14:val="tx1"/>
            </w14:solidFill>
          </w14:textFill>
        </w:rPr>
        <w:t>福建省环境保护设计院有限公司</w:t>
      </w:r>
    </w:p>
    <w:p w14:paraId="36E8BBE7">
      <w:pPr>
        <w:spacing w:line="600" w:lineRule="exact"/>
        <w:jc w:val="center"/>
        <w:rPr>
          <w:b/>
          <w:color w:val="000000" w:themeColor="text1"/>
          <w:sz w:val="40"/>
          <w:szCs w:val="40"/>
          <w14:textFill>
            <w14:solidFill>
              <w14:schemeClr w14:val="tx1"/>
            </w14:solidFill>
          </w14:textFill>
        </w:rPr>
      </w:pPr>
      <w:r>
        <w:rPr>
          <w:b/>
          <w:color w:val="000000" w:themeColor="text1"/>
          <w:sz w:val="40"/>
          <w:szCs w:val="40"/>
          <w14:textFill>
            <w14:solidFill>
              <w14:schemeClr w14:val="tx1"/>
            </w14:solidFill>
          </w14:textFill>
        </w:rPr>
        <w:t>二〇二二年十二月</w:t>
      </w:r>
    </w:p>
    <w:p w14:paraId="3AAB7096">
      <w:pPr>
        <w:spacing w:line="600" w:lineRule="exact"/>
        <w:jc w:val="center"/>
        <w:rPr>
          <w:b/>
          <w:color w:val="000000" w:themeColor="text1"/>
          <w:sz w:val="40"/>
          <w:szCs w:val="40"/>
          <w14:textFill>
            <w14:solidFill>
              <w14:schemeClr w14:val="tx1"/>
            </w14:solidFill>
          </w14:textFill>
        </w:rPr>
        <w:sectPr>
          <w:pgSz w:w="11906" w:h="16838"/>
          <w:pgMar w:top="1701" w:right="1701" w:bottom="1701" w:left="1701" w:header="851" w:footer="992" w:gutter="0"/>
          <w:pgNumType w:start="1"/>
          <w:cols w:space="720" w:num="1"/>
          <w:docGrid w:type="linesAndChars" w:linePitch="312" w:charSpace="0"/>
        </w:sectPr>
      </w:pPr>
    </w:p>
    <w:p w14:paraId="41C4C21B">
      <w:pPr>
        <w:spacing w:line="600" w:lineRule="exact"/>
        <w:jc w:val="center"/>
        <w:rPr>
          <w:b/>
          <w:color w:val="000000" w:themeColor="text1"/>
          <w:sz w:val="32"/>
          <w:szCs w:val="32"/>
          <w14:textFill>
            <w14:solidFill>
              <w14:schemeClr w14:val="tx1"/>
            </w14:solidFill>
          </w14:textFill>
        </w:rPr>
      </w:pPr>
    </w:p>
    <w:p w14:paraId="6E1E4358">
      <w:pPr>
        <w:adjustRightInd w:val="0"/>
        <w:snapToGrid w:val="0"/>
        <w:spacing w:before="156" w:beforeLines="50" w:line="360" w:lineRule="auto"/>
        <w:jc w:val="center"/>
        <w:rPr>
          <w:bCs/>
          <w:color w:val="000000" w:themeColor="text1"/>
          <w:sz w:val="52"/>
          <w:szCs w:val="21"/>
          <w14:textFill>
            <w14:solidFill>
              <w14:schemeClr w14:val="tx1"/>
            </w14:solidFill>
          </w14:textFill>
        </w:rPr>
      </w:pPr>
      <w:r>
        <w:rPr>
          <w:bCs/>
          <w:color w:val="000000" w:themeColor="text1"/>
          <w:sz w:val="52"/>
          <w:szCs w:val="21"/>
          <w14:textFill>
            <w14:solidFill>
              <w14:schemeClr w14:val="tx1"/>
            </w14:solidFill>
          </w14:textFill>
        </w:rPr>
        <w:t>晋安区北峰山区“十四五”乡镇生活污水处理设施建设运维实施方案</w:t>
      </w:r>
    </w:p>
    <w:p w14:paraId="0AC8BC1E">
      <w:pPr>
        <w:adjustRightInd w:val="0"/>
        <w:snapToGrid w:val="0"/>
        <w:spacing w:line="540" w:lineRule="auto"/>
        <w:ind w:firstLine="640" w:firstLineChars="200"/>
        <w:rPr>
          <w:b/>
          <w:color w:val="000000" w:themeColor="text1"/>
          <w:sz w:val="32"/>
          <w:szCs w:val="36"/>
          <w14:textFill>
            <w14:solidFill>
              <w14:schemeClr w14:val="tx1"/>
            </w14:solidFill>
          </w14:textFill>
        </w:rPr>
      </w:pPr>
    </w:p>
    <w:p w14:paraId="75BC61C2">
      <w:pPr>
        <w:adjustRightInd w:val="0"/>
        <w:snapToGrid w:val="0"/>
        <w:spacing w:line="540" w:lineRule="auto"/>
        <w:ind w:firstLine="640" w:firstLineChars="200"/>
        <w:rPr>
          <w:color w:val="000000" w:themeColor="text1"/>
          <w:sz w:val="32"/>
          <w:szCs w:val="36"/>
          <w14:textFill>
            <w14:solidFill>
              <w14:schemeClr w14:val="tx1"/>
            </w14:solidFill>
          </w14:textFill>
        </w:rPr>
      </w:pPr>
      <w:r>
        <w:rPr>
          <w:b/>
          <w:color w:val="000000" w:themeColor="text1"/>
          <w:sz w:val="32"/>
          <w:szCs w:val="36"/>
          <w14:textFill>
            <w14:solidFill>
              <w14:schemeClr w14:val="tx1"/>
            </w14:solidFill>
          </w14:textFill>
        </w:rPr>
        <w:t>编   制  单   位：</w:t>
      </w:r>
      <w:r>
        <w:rPr>
          <w:color w:val="000000" w:themeColor="text1"/>
          <w:sz w:val="32"/>
          <w:szCs w:val="36"/>
          <w14:textFill>
            <w14:solidFill>
              <w14:schemeClr w14:val="tx1"/>
            </w14:solidFill>
          </w14:textFill>
        </w:rPr>
        <w:t>福建省环境保护设计院有限公司</w:t>
      </w:r>
    </w:p>
    <w:p w14:paraId="1B02EA00">
      <w:pPr>
        <w:adjustRightInd w:val="0"/>
        <w:snapToGrid w:val="0"/>
        <w:spacing w:line="540" w:lineRule="auto"/>
        <w:ind w:firstLine="640" w:firstLineChars="200"/>
        <w:rPr>
          <w:color w:val="000000" w:themeColor="text1"/>
          <w:sz w:val="32"/>
          <w:szCs w:val="36"/>
          <w14:textFill>
            <w14:solidFill>
              <w14:schemeClr w14:val="tx1"/>
            </w14:solidFill>
          </w14:textFill>
        </w:rPr>
      </w:pPr>
      <w:r>
        <w:rPr>
          <w:b/>
          <w:color w:val="000000" w:themeColor="text1"/>
          <w:sz w:val="32"/>
          <w:szCs w:val="36"/>
          <w14:textFill>
            <w14:solidFill>
              <w14:schemeClr w14:val="tx1"/>
            </w14:solidFill>
          </w14:textFill>
        </w:rPr>
        <w:t>咨询资格证书：</w:t>
      </w:r>
      <w:r>
        <w:rPr>
          <w:color w:val="000000" w:themeColor="text1"/>
          <w:sz w:val="32"/>
          <w:szCs w:val="36"/>
          <w14:textFill>
            <w14:solidFill>
              <w14:schemeClr w14:val="tx1"/>
            </w14:solidFill>
          </w14:textFill>
        </w:rPr>
        <w:t>甲15021010714</w:t>
      </w:r>
    </w:p>
    <w:p w14:paraId="0BAC5F7C">
      <w:pPr>
        <w:adjustRightInd w:val="0"/>
        <w:snapToGrid w:val="0"/>
        <w:spacing w:line="540" w:lineRule="auto"/>
        <w:ind w:firstLine="640" w:firstLineChars="200"/>
        <w:rPr>
          <w:color w:val="000000" w:themeColor="text1"/>
          <w:sz w:val="32"/>
          <w:szCs w:val="36"/>
          <w14:textFill>
            <w14:solidFill>
              <w14:schemeClr w14:val="tx1"/>
            </w14:solidFill>
          </w14:textFill>
        </w:rPr>
      </w:pPr>
      <w:r>
        <w:rPr>
          <w:b/>
          <w:color w:val="000000" w:themeColor="text1"/>
          <w:sz w:val="32"/>
          <w:szCs w:val="36"/>
          <w14:textFill>
            <w14:solidFill>
              <w14:schemeClr w14:val="tx1"/>
            </w14:solidFill>
          </w14:textFill>
        </w:rPr>
        <w:t>工程设计证书：</w:t>
      </w:r>
      <w:r>
        <w:rPr>
          <w:color w:val="000000" w:themeColor="text1"/>
          <w:sz w:val="32"/>
          <w:szCs w:val="36"/>
          <w14:textFill>
            <w14:solidFill>
              <w14:schemeClr w14:val="tx1"/>
            </w14:solidFill>
          </w14:textFill>
        </w:rPr>
        <w:t>环境工程甲级  A135001657</w:t>
      </w:r>
    </w:p>
    <w:p w14:paraId="6A286716">
      <w:pPr>
        <w:adjustRightInd w:val="0"/>
        <w:snapToGrid w:val="0"/>
        <w:spacing w:line="540" w:lineRule="auto"/>
        <w:ind w:firstLine="2880" w:firstLineChars="900"/>
        <w:rPr>
          <w:color w:val="000000" w:themeColor="text1"/>
          <w:sz w:val="32"/>
          <w:szCs w:val="36"/>
          <w14:textFill>
            <w14:solidFill>
              <w14:schemeClr w14:val="tx1"/>
            </w14:solidFill>
          </w14:textFill>
        </w:rPr>
      </w:pPr>
      <w:r>
        <w:rPr>
          <w:color w:val="000000" w:themeColor="text1"/>
          <w:sz w:val="32"/>
          <w:szCs w:val="36"/>
          <w14:textFill>
            <w14:solidFill>
              <w14:schemeClr w14:val="tx1"/>
            </w14:solidFill>
          </w14:textFill>
        </w:rPr>
        <w:t>市政行业乙级  A235001654</w:t>
      </w:r>
    </w:p>
    <w:p w14:paraId="67959D45">
      <w:pPr>
        <w:adjustRightInd w:val="0"/>
        <w:snapToGrid w:val="0"/>
        <w:spacing w:line="540" w:lineRule="auto"/>
        <w:ind w:firstLine="640" w:firstLineChars="200"/>
        <w:rPr>
          <w:color w:val="000000" w:themeColor="text1"/>
          <w:sz w:val="32"/>
          <w:szCs w:val="36"/>
          <w14:textFill>
            <w14:solidFill>
              <w14:schemeClr w14:val="tx1"/>
            </w14:solidFill>
          </w14:textFill>
        </w:rPr>
      </w:pPr>
      <w:r>
        <w:rPr>
          <w:b/>
          <w:color w:val="000000" w:themeColor="text1"/>
          <w:sz w:val="32"/>
          <w:szCs w:val="36"/>
          <w14:textFill>
            <w14:solidFill>
              <w14:schemeClr w14:val="tx1"/>
            </w14:solidFill>
          </w14:textFill>
        </w:rPr>
        <w:t>董  事  长：</w:t>
      </w:r>
      <w:r>
        <w:rPr>
          <w:color w:val="000000" w:themeColor="text1"/>
          <w:sz w:val="32"/>
          <w:szCs w:val="36"/>
          <w14:textFill>
            <w14:solidFill>
              <w14:schemeClr w14:val="tx1"/>
            </w14:solidFill>
          </w14:textFill>
        </w:rPr>
        <w:t>陈志扬   高级工程师</w:t>
      </w:r>
    </w:p>
    <w:p w14:paraId="3A630281">
      <w:pPr>
        <w:adjustRightInd w:val="0"/>
        <w:snapToGrid w:val="0"/>
        <w:spacing w:line="540" w:lineRule="auto"/>
        <w:ind w:firstLine="640" w:firstLineChars="200"/>
        <w:rPr>
          <w:color w:val="000000" w:themeColor="text1"/>
          <w:sz w:val="32"/>
          <w:szCs w:val="36"/>
          <w14:textFill>
            <w14:solidFill>
              <w14:schemeClr w14:val="tx1"/>
            </w14:solidFill>
          </w14:textFill>
        </w:rPr>
      </w:pPr>
      <w:r>
        <w:rPr>
          <w:b/>
          <w:color w:val="000000" w:themeColor="text1"/>
          <w:sz w:val="32"/>
          <w:szCs w:val="36"/>
          <w14:textFill>
            <w14:solidFill>
              <w14:schemeClr w14:val="tx1"/>
            </w14:solidFill>
          </w14:textFill>
        </w:rPr>
        <w:t>总        工：</w:t>
      </w:r>
      <w:r>
        <w:rPr>
          <w:color w:val="000000" w:themeColor="text1"/>
          <w:sz w:val="32"/>
          <w:szCs w:val="36"/>
          <w14:textFill>
            <w14:solidFill>
              <w14:schemeClr w14:val="tx1"/>
            </w14:solidFill>
          </w14:textFill>
        </w:rPr>
        <w:t>冯昭华   教授级高工</w:t>
      </w:r>
    </w:p>
    <w:p w14:paraId="58C306D8">
      <w:pPr>
        <w:adjustRightInd w:val="0"/>
        <w:snapToGrid w:val="0"/>
        <w:spacing w:line="540" w:lineRule="auto"/>
        <w:ind w:firstLine="640" w:firstLineChars="200"/>
        <w:rPr>
          <w:color w:val="000000" w:themeColor="text1"/>
          <w:sz w:val="32"/>
          <w:szCs w:val="36"/>
          <w14:textFill>
            <w14:solidFill>
              <w14:schemeClr w14:val="tx1"/>
            </w14:solidFill>
          </w14:textFill>
        </w:rPr>
      </w:pPr>
      <w:r>
        <w:rPr>
          <w:b/>
          <w:color w:val="000000" w:themeColor="text1"/>
          <w:sz w:val="32"/>
          <w:szCs w:val="36"/>
          <w14:textFill>
            <w14:solidFill>
              <w14:schemeClr w14:val="tx1"/>
            </w14:solidFill>
          </w14:textFill>
        </w:rPr>
        <w:t>项目负责：</w:t>
      </w:r>
      <w:r>
        <w:rPr>
          <w:color w:val="000000" w:themeColor="text1"/>
          <w:sz w:val="32"/>
          <w:szCs w:val="36"/>
          <w14:textFill>
            <w14:solidFill>
              <w14:schemeClr w14:val="tx1"/>
            </w14:solidFill>
          </w14:textFill>
        </w:rPr>
        <w:t>卓景满   工程师</w:t>
      </w:r>
    </w:p>
    <w:p w14:paraId="7D6A96FF">
      <w:pPr>
        <w:adjustRightInd w:val="0"/>
        <w:snapToGrid w:val="0"/>
        <w:spacing w:line="540" w:lineRule="auto"/>
        <w:ind w:firstLine="640" w:firstLineChars="200"/>
        <w:rPr>
          <w:color w:val="000000" w:themeColor="text1"/>
          <w:sz w:val="32"/>
          <w:szCs w:val="36"/>
          <w14:textFill>
            <w14:solidFill>
              <w14:schemeClr w14:val="tx1"/>
            </w14:solidFill>
          </w14:textFill>
        </w:rPr>
      </w:pPr>
      <w:r>
        <w:rPr>
          <w:b/>
          <w:color w:val="000000" w:themeColor="text1"/>
          <w:sz w:val="32"/>
          <w:szCs w:val="36"/>
          <w14:textFill>
            <w14:solidFill>
              <w14:schemeClr w14:val="tx1"/>
            </w14:solidFill>
          </w14:textFill>
        </w:rPr>
        <w:t>编制人员：</w:t>
      </w:r>
      <w:r>
        <w:rPr>
          <w:color w:val="000000" w:themeColor="text1"/>
          <w:sz w:val="32"/>
          <w:szCs w:val="36"/>
          <w14:textFill>
            <w14:solidFill>
              <w14:schemeClr w14:val="tx1"/>
            </w14:solidFill>
          </w14:textFill>
        </w:rPr>
        <w:t>卓景满   张震</w:t>
      </w:r>
    </w:p>
    <w:p w14:paraId="423B134D">
      <w:pPr>
        <w:adjustRightInd w:val="0"/>
        <w:snapToGrid w:val="0"/>
        <w:spacing w:line="540" w:lineRule="auto"/>
        <w:ind w:firstLine="640" w:firstLineChars="200"/>
        <w:rPr>
          <w:color w:val="000000" w:themeColor="text1"/>
          <w:sz w:val="32"/>
          <w:szCs w:val="32"/>
          <w14:textFill>
            <w14:solidFill>
              <w14:schemeClr w14:val="tx1"/>
            </w14:solidFill>
          </w14:textFill>
        </w:rPr>
      </w:pPr>
      <w:r>
        <w:rPr>
          <w:b/>
          <w:color w:val="000000" w:themeColor="text1"/>
          <w:sz w:val="32"/>
          <w:szCs w:val="32"/>
          <w14:textFill>
            <w14:solidFill>
              <w14:schemeClr w14:val="tx1"/>
            </w14:solidFill>
          </w14:textFill>
        </w:rPr>
        <w:t>审        核：</w:t>
      </w:r>
      <w:r>
        <w:rPr>
          <w:color w:val="000000" w:themeColor="text1"/>
          <w:sz w:val="32"/>
          <w:szCs w:val="32"/>
          <w14:textFill>
            <w14:solidFill>
              <w14:schemeClr w14:val="tx1"/>
            </w14:solidFill>
          </w14:textFill>
        </w:rPr>
        <w:t xml:space="preserve">江智清   </w:t>
      </w:r>
      <w:r>
        <w:rPr>
          <w:color w:val="000000" w:themeColor="text1"/>
          <w:sz w:val="32"/>
          <w:szCs w:val="36"/>
          <w14:textFill>
            <w14:solidFill>
              <w14:schemeClr w14:val="tx1"/>
            </w14:solidFill>
          </w14:textFill>
        </w:rPr>
        <w:t>高级工程师</w:t>
      </w:r>
    </w:p>
    <w:p w14:paraId="6E019F4D">
      <w:pPr>
        <w:jc w:val="center"/>
        <w:rPr>
          <w:b/>
          <w:color w:val="000000" w:themeColor="text1"/>
          <w:sz w:val="40"/>
          <w14:textFill>
            <w14:solidFill>
              <w14:schemeClr w14:val="tx1"/>
            </w14:solidFill>
          </w14:textFill>
        </w:rPr>
      </w:pPr>
      <w:r>
        <w:rPr>
          <w:b/>
          <w:color w:val="000000" w:themeColor="text1"/>
          <w:sz w:val="40"/>
          <w14:textFill>
            <w14:solidFill>
              <w14:schemeClr w14:val="tx1"/>
            </w14:solidFill>
          </w14:textFill>
        </w:rPr>
        <w:br w:type="page"/>
      </w:r>
    </w:p>
    <w:p w14:paraId="16BC4DC1">
      <w:pPr>
        <w:jc w:val="center"/>
        <w:rPr>
          <w:b/>
          <w:color w:val="000000" w:themeColor="text1"/>
          <w:sz w:val="40"/>
          <w14:textFill>
            <w14:solidFill>
              <w14:schemeClr w14:val="tx1"/>
            </w14:solidFill>
          </w14:textFill>
        </w:rPr>
      </w:pPr>
      <w:r>
        <w:rPr>
          <w:b/>
          <w:color w:val="000000" w:themeColor="text1"/>
          <w:sz w:val="40"/>
          <w14:textFill>
            <w14:solidFill>
              <w14:schemeClr w14:val="tx1"/>
            </w14:solidFill>
          </w14:textFill>
        </w:rPr>
        <w:drawing>
          <wp:inline distT="0" distB="0" distL="0" distR="0">
            <wp:extent cx="5462905" cy="7833360"/>
            <wp:effectExtent l="0" t="0" r="444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
                      <a:extLst>
                        <a:ext uri="{28A0092B-C50C-407E-A947-70E740481C1C}">
                          <a14:useLocalDpi xmlns:a14="http://schemas.microsoft.com/office/drawing/2010/main" val="0"/>
                        </a:ext>
                      </a:extLst>
                    </a:blip>
                    <a:srcRect l="12615" t="7294" r="10925" b="15197"/>
                    <a:stretch>
                      <a:fillRect/>
                    </a:stretch>
                  </pic:blipFill>
                  <pic:spPr>
                    <a:xfrm>
                      <a:off x="0" y="0"/>
                      <a:ext cx="5501277" cy="7887707"/>
                    </a:xfrm>
                    <a:prstGeom prst="rect">
                      <a:avLst/>
                    </a:prstGeom>
                    <a:ln>
                      <a:noFill/>
                    </a:ln>
                  </pic:spPr>
                </pic:pic>
              </a:graphicData>
            </a:graphic>
          </wp:inline>
        </w:drawing>
      </w:r>
    </w:p>
    <w:p w14:paraId="0421756C">
      <w:pPr>
        <w:jc w:val="center"/>
        <w:rPr>
          <w:b/>
          <w:color w:val="000000" w:themeColor="text1"/>
          <w:sz w:val="40"/>
          <w14:textFill>
            <w14:solidFill>
              <w14:schemeClr w14:val="tx1"/>
            </w14:solidFill>
          </w14:textFill>
        </w:rPr>
      </w:pPr>
      <w:r>
        <w:rPr>
          <w:b/>
          <w:color w:val="000000" w:themeColor="text1"/>
          <w:sz w:val="40"/>
          <w14:textFill>
            <w14:solidFill>
              <w14:schemeClr w14:val="tx1"/>
            </w14:solidFill>
          </w14:textFill>
        </w:rPr>
        <w:br w:type="page"/>
      </w:r>
    </w:p>
    <w:p w14:paraId="24107180">
      <w:pPr>
        <w:pStyle w:val="36"/>
        <w:tabs>
          <w:tab w:val="left" w:pos="420"/>
          <w:tab w:val="right" w:leader="dot" w:pos="9026"/>
        </w:tabs>
        <w:jc w:val="center"/>
        <w:rPr>
          <w:rFonts w:ascii="Times New Roman" w:eastAsia="黑体"/>
          <w:color w:val="000000" w:themeColor="text1"/>
          <w:sz w:val="56"/>
          <w14:textFill>
            <w14:solidFill>
              <w14:schemeClr w14:val="tx1"/>
            </w14:solidFill>
          </w14:textFill>
        </w:rPr>
      </w:pPr>
      <w:r>
        <w:rPr>
          <w:rFonts w:ascii="Times New Roman" w:eastAsia="黑体"/>
          <w:bCs w:val="0"/>
          <w:caps w:val="0"/>
          <w:color w:val="000000" w:themeColor="text1"/>
          <w:kern w:val="0"/>
          <w:sz w:val="40"/>
          <w:szCs w:val="24"/>
          <w:lang w:val="zh-CN"/>
          <w14:textFill>
            <w14:solidFill>
              <w14:schemeClr w14:val="tx1"/>
            </w14:solidFill>
          </w14:textFill>
        </w:rPr>
        <w:t>目   录</w:t>
      </w:r>
    </w:p>
    <w:p w14:paraId="4BD77221">
      <w:pPr>
        <w:pStyle w:val="36"/>
        <w:tabs>
          <w:tab w:val="left" w:pos="300"/>
          <w:tab w:val="right" w:leader="dot" w:pos="8494"/>
        </w:tabs>
        <w:adjustRightInd w:val="0"/>
        <w:snapToGrid w:val="0"/>
        <w:spacing w:before="0" w:after="0" w:line="420" w:lineRule="exact"/>
        <w:rPr>
          <w:rFonts w:ascii="Times New Roman" w:eastAsia="宋体"/>
          <w:b w:val="0"/>
          <w:bCs w:val="0"/>
          <w:caps w:val="0"/>
          <w:color w:val="000000" w:themeColor="text1"/>
          <w:sz w:val="24"/>
          <w:szCs w:val="24"/>
          <w14:textFill>
            <w14:solidFill>
              <w14:schemeClr w14:val="tx1"/>
            </w14:solidFill>
          </w14:textFill>
        </w:rPr>
      </w:pPr>
      <w:r>
        <w:rPr>
          <w:rFonts w:ascii="Times New Roman" w:eastAsia="宋体"/>
          <w:b w:val="0"/>
          <w:color w:val="000000" w:themeColor="text1"/>
          <w:sz w:val="24"/>
          <w:szCs w:val="24"/>
          <w14:textFill>
            <w14:solidFill>
              <w14:schemeClr w14:val="tx1"/>
            </w14:solidFill>
          </w14:textFill>
        </w:rPr>
        <w:fldChar w:fldCharType="begin"/>
      </w:r>
      <w:r>
        <w:rPr>
          <w:rFonts w:ascii="Times New Roman" w:eastAsia="宋体"/>
          <w:b w:val="0"/>
          <w:color w:val="000000" w:themeColor="text1"/>
          <w:sz w:val="24"/>
          <w:szCs w:val="24"/>
          <w14:textFill>
            <w14:solidFill>
              <w14:schemeClr w14:val="tx1"/>
            </w14:solidFill>
          </w14:textFill>
        </w:rPr>
        <w:instrText xml:space="preserve"> TOC \o "1-2" \h \z \u </w:instrText>
      </w:r>
      <w:r>
        <w:rPr>
          <w:rFonts w:ascii="Times New Roman" w:eastAsia="宋体"/>
          <w:b w:val="0"/>
          <w:color w:val="000000" w:themeColor="text1"/>
          <w:sz w:val="24"/>
          <w:szCs w:val="24"/>
          <w14:textFill>
            <w14:solidFill>
              <w14:schemeClr w14:val="tx1"/>
            </w14:solidFill>
          </w14:textFill>
        </w:rPr>
        <w:fldChar w:fldCharType="separate"/>
      </w:r>
      <w:r>
        <w:fldChar w:fldCharType="begin"/>
      </w:r>
      <w:r>
        <w:instrText xml:space="preserve"> HYPERLINK \l "_Toc112861014" </w:instrText>
      </w:r>
      <w:r>
        <w:fldChar w:fldCharType="separate"/>
      </w:r>
      <w:r>
        <w:rPr>
          <w:rStyle w:val="66"/>
          <w:rFonts w:ascii="Times New Roman" w:eastAsia="宋体"/>
          <w:color w:val="000000" w:themeColor="text1"/>
          <w:sz w:val="24"/>
          <w:szCs w:val="24"/>
          <w14:textFill>
            <w14:solidFill>
              <w14:schemeClr w14:val="tx1"/>
            </w14:solidFill>
          </w14:textFill>
        </w:rPr>
        <w:t>1</w:t>
      </w:r>
      <w:r>
        <w:rPr>
          <w:rFonts w:ascii="Times New Roman" w:eastAsia="宋体"/>
          <w:b w:val="0"/>
          <w:bCs w:val="0"/>
          <w: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总则</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_Toc112861014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3F6F7B2D">
      <w:pPr>
        <w:pStyle w:val="43"/>
        <w:tabs>
          <w:tab w:val="left" w:pos="72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"_Toc112861015" </w:instrText>
      </w:r>
      <w:r>
        <w:fldChar w:fldCharType="separate"/>
      </w:r>
      <w:r>
        <w:rPr>
          <w:rStyle w:val="66"/>
          <w:rFonts w:ascii="Times New Roman" w:eastAsia="宋体"/>
          <w:color w:val="000000" w:themeColor="text1"/>
          <w:sz w:val="24"/>
          <w:szCs w:val="24"/>
          <w14:textFill>
            <w14:solidFill>
              <w14:schemeClr w14:val="tx1"/>
            </w14:solidFill>
          </w14:textFill>
        </w:rPr>
        <w:t>1.1</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实施背景</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_Toc112861015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166710F7">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"_Toc112861016" </w:instrText>
      </w:r>
      <w:r>
        <w:fldChar w:fldCharType="separate"/>
      </w:r>
      <w:r>
        <w:rPr>
          <w:rStyle w:val="66"/>
          <w:rFonts w:ascii="Times New Roman" w:eastAsia="宋体"/>
          <w:color w:val="000000" w:themeColor="text1"/>
          <w:sz w:val="24"/>
          <w:szCs w:val="24"/>
          <w14:textFill>
            <w14:solidFill>
              <w14:schemeClr w14:val="tx1"/>
            </w14:solidFill>
          </w14:textFill>
        </w:rPr>
        <w:t>1.2</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指导思想</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_Toc112861016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7D3F3FCC">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"_Toc112861017" </w:instrText>
      </w:r>
      <w:r>
        <w:fldChar w:fldCharType="separate"/>
      </w:r>
      <w:r>
        <w:rPr>
          <w:rStyle w:val="66"/>
          <w:rFonts w:ascii="Times New Roman" w:eastAsia="宋体"/>
          <w:color w:val="000000" w:themeColor="text1"/>
          <w:sz w:val="24"/>
          <w:szCs w:val="24"/>
          <w14:textFill>
            <w14:solidFill>
              <w14:schemeClr w14:val="tx1"/>
            </w14:solidFill>
          </w14:textFill>
        </w:rPr>
        <w:t>1.3</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基本原则</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_Toc112861017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4BE3D274">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"_Toc112861018" </w:instrText>
      </w:r>
      <w:r>
        <w:fldChar w:fldCharType="separate"/>
      </w:r>
      <w:r>
        <w:rPr>
          <w:rStyle w:val="66"/>
          <w:rFonts w:ascii="Times New Roman" w:eastAsia="宋体"/>
          <w:color w:val="000000" w:themeColor="text1"/>
          <w:sz w:val="24"/>
          <w:szCs w:val="24"/>
          <w14:textFill>
            <w14:solidFill>
              <w14:schemeClr w14:val="tx1"/>
            </w14:solidFill>
          </w14:textFill>
        </w:rPr>
        <w:t>1.4</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工程范围</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_Toc112861018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3</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22255D5E">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"_Toc112861019" </w:instrText>
      </w:r>
      <w:r>
        <w:fldChar w:fldCharType="separate"/>
      </w:r>
      <w:r>
        <w:rPr>
          <w:rStyle w:val="66"/>
          <w:rFonts w:ascii="Times New Roman" w:eastAsia="宋体"/>
          <w:color w:val="000000" w:themeColor="text1"/>
          <w:sz w:val="24"/>
          <w:szCs w:val="24"/>
          <w14:textFill>
            <w14:solidFill>
              <w14:schemeClr w14:val="tx1"/>
            </w14:solidFill>
          </w14:textFill>
        </w:rPr>
        <w:t>1.5</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实施期限及目标</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_Toc112861019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4</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67C33678">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"_Toc112861020" </w:instrText>
      </w:r>
      <w:r>
        <w:fldChar w:fldCharType="separate"/>
      </w:r>
      <w:r>
        <w:rPr>
          <w:rStyle w:val="66"/>
          <w:rFonts w:ascii="Times New Roman" w:eastAsia="宋体"/>
          <w:color w:val="000000" w:themeColor="text1"/>
          <w:sz w:val="24"/>
          <w:szCs w:val="24"/>
          <w14:textFill>
            <w14:solidFill>
              <w14:schemeClr w14:val="tx1"/>
            </w14:solidFill>
          </w14:textFill>
        </w:rPr>
        <w:t>1.6</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编制内容</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_Toc112861020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4</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51017739">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"_Toc112861021" </w:instrText>
      </w:r>
      <w:r>
        <w:fldChar w:fldCharType="separate"/>
      </w:r>
      <w:r>
        <w:rPr>
          <w:rStyle w:val="66"/>
          <w:rFonts w:ascii="Times New Roman" w:eastAsia="宋体"/>
          <w:color w:val="000000" w:themeColor="text1"/>
          <w:sz w:val="24"/>
          <w:szCs w:val="24"/>
          <w14:textFill>
            <w14:solidFill>
              <w14:schemeClr w14:val="tx1"/>
            </w14:solidFill>
          </w14:textFill>
        </w:rPr>
        <w:t>1.7</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编制依据</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_Toc112861021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4</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6EB59A15">
      <w:pPr>
        <w:pStyle w:val="36"/>
        <w:tabs>
          <w:tab w:val="left" w:pos="420"/>
          <w:tab w:val="right" w:leader="dot" w:pos="8494"/>
        </w:tabs>
        <w:adjustRightInd w:val="0"/>
        <w:snapToGrid w:val="0"/>
        <w:spacing w:before="0" w:after="0" w:line="420" w:lineRule="exact"/>
        <w:rPr>
          <w:rFonts w:ascii="Times New Roman" w:eastAsia="宋体"/>
          <w:b w:val="0"/>
          <w:bCs w:val="0"/>
          <w:caps w:val="0"/>
          <w:color w:val="000000" w:themeColor="text1"/>
          <w:sz w:val="24"/>
          <w:szCs w:val="24"/>
          <w14:textFill>
            <w14:solidFill>
              <w14:schemeClr w14:val="tx1"/>
            </w14:solidFill>
          </w14:textFill>
        </w:rPr>
      </w:pPr>
      <w:r>
        <w:fldChar w:fldCharType="begin"/>
      </w:r>
      <w:r>
        <w:instrText xml:space="preserve"> HYPERLINK \l "_Toc112861022" </w:instrText>
      </w:r>
      <w:r>
        <w:fldChar w:fldCharType="separate"/>
      </w:r>
      <w:r>
        <w:rPr>
          <w:rStyle w:val="66"/>
          <w:rFonts w:ascii="Times New Roman" w:eastAsia="宋体"/>
          <w:color w:val="000000" w:themeColor="text1"/>
          <w:sz w:val="24"/>
          <w:szCs w:val="24"/>
          <w14:textFill>
            <w14:solidFill>
              <w14:schemeClr w14:val="tx1"/>
            </w14:solidFill>
          </w14:textFill>
        </w:rPr>
        <w:t>2</w:t>
      </w:r>
      <w:r>
        <w:rPr>
          <w:rFonts w:ascii="Times New Roman" w:eastAsia="宋体"/>
          <w:b w:val="0"/>
          <w:bCs w:val="0"/>
          <w: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区域概况</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_Toc112861022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7</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3BBE288D">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"_Toc112861023" </w:instrText>
      </w:r>
      <w:r>
        <w:fldChar w:fldCharType="separate"/>
      </w:r>
      <w:r>
        <w:rPr>
          <w:rStyle w:val="66"/>
          <w:rFonts w:ascii="Times New Roman" w:eastAsia="宋体"/>
          <w:color w:val="000000" w:themeColor="text1"/>
          <w:sz w:val="24"/>
          <w:szCs w:val="24"/>
          <w14:textFill>
            <w14:solidFill>
              <w14:schemeClr w14:val="tx1"/>
            </w14:solidFill>
          </w14:textFill>
        </w:rPr>
        <w:t>2.1</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区位条件</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_Toc112861023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7</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4A01FD81">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"_Toc112861024" </w:instrText>
      </w:r>
      <w:r>
        <w:fldChar w:fldCharType="separate"/>
      </w:r>
      <w:r>
        <w:rPr>
          <w:rStyle w:val="66"/>
          <w:rFonts w:ascii="Times New Roman" w:eastAsia="宋体"/>
          <w:color w:val="000000" w:themeColor="text1"/>
          <w:sz w:val="24"/>
          <w:szCs w:val="24"/>
          <w14:textFill>
            <w14:solidFill>
              <w14:schemeClr w14:val="tx1"/>
            </w14:solidFill>
          </w14:textFill>
        </w:rPr>
        <w:t>2.2</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自然条件</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_Toc112861024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8</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1AE24CC1">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"_Toc112861025" </w:instrText>
      </w:r>
      <w:r>
        <w:fldChar w:fldCharType="separate"/>
      </w:r>
      <w:r>
        <w:rPr>
          <w:rStyle w:val="66"/>
          <w:rFonts w:ascii="Times New Roman" w:eastAsia="宋体"/>
          <w:color w:val="000000" w:themeColor="text1"/>
          <w:sz w:val="24"/>
          <w:szCs w:val="24"/>
          <w14:textFill>
            <w14:solidFill>
              <w14:schemeClr w14:val="tx1"/>
            </w14:solidFill>
          </w14:textFill>
        </w:rPr>
        <w:t>2.3</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社会经济概况</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_Toc112861025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15</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64A0BAE1">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"_Toc112861026" </w:instrText>
      </w:r>
      <w:r>
        <w:fldChar w:fldCharType="separate"/>
      </w:r>
      <w:r>
        <w:rPr>
          <w:rStyle w:val="66"/>
          <w:rFonts w:ascii="Times New Roman" w:eastAsia="宋体"/>
          <w:color w:val="000000" w:themeColor="text1"/>
          <w:sz w:val="24"/>
          <w:szCs w:val="24"/>
          <w14:textFill>
            <w14:solidFill>
              <w14:schemeClr w14:val="tx1"/>
            </w14:solidFill>
          </w14:textFill>
        </w:rPr>
        <w:t>2.4</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规划各乡镇基本情况</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_Toc112861026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17</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6236D93A">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"_Toc112861027" </w:instrText>
      </w:r>
      <w:r>
        <w:fldChar w:fldCharType="separate"/>
      </w:r>
      <w:r>
        <w:rPr>
          <w:rStyle w:val="66"/>
          <w:rFonts w:ascii="Times New Roman" w:eastAsia="宋体"/>
          <w:color w:val="000000" w:themeColor="text1"/>
          <w:sz w:val="24"/>
          <w:szCs w:val="24"/>
          <w14:textFill>
            <w14:solidFill>
              <w14:schemeClr w14:val="tx1"/>
            </w14:solidFill>
          </w14:textFill>
        </w:rPr>
        <w:t>2.5</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相关规划</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_Toc112861027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18</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4197DFC5">
      <w:pPr>
        <w:pStyle w:val="36"/>
        <w:tabs>
          <w:tab w:val="left" w:pos="420"/>
          <w:tab w:val="right" w:leader="dot" w:pos="8494"/>
        </w:tabs>
        <w:adjustRightInd w:val="0"/>
        <w:snapToGrid w:val="0"/>
        <w:spacing w:before="0" w:after="0" w:line="420" w:lineRule="exact"/>
        <w:rPr>
          <w:rFonts w:ascii="Times New Roman" w:eastAsia="宋体"/>
          <w:b w:val="0"/>
          <w:bCs w:val="0"/>
          <w:caps w:val="0"/>
          <w:color w:val="000000" w:themeColor="text1"/>
          <w:sz w:val="24"/>
          <w:szCs w:val="24"/>
          <w14:textFill>
            <w14:solidFill>
              <w14:schemeClr w14:val="tx1"/>
            </w14:solidFill>
          </w14:textFill>
        </w:rPr>
      </w:pPr>
      <w:r>
        <w:fldChar w:fldCharType="begin"/>
      </w:r>
      <w:r>
        <w:instrText xml:space="preserve"> HYPERLINK \l "_Toc112861028" </w:instrText>
      </w:r>
      <w:r>
        <w:fldChar w:fldCharType="separate"/>
      </w:r>
      <w:r>
        <w:rPr>
          <w:rStyle w:val="66"/>
          <w:rFonts w:ascii="Times New Roman" w:eastAsia="宋体"/>
          <w:color w:val="000000" w:themeColor="text1"/>
          <w:sz w:val="24"/>
          <w:szCs w:val="24"/>
          <w14:textFill>
            <w14:solidFill>
              <w14:schemeClr w14:val="tx1"/>
            </w14:solidFill>
          </w14:textFill>
        </w:rPr>
        <w:t>3</w:t>
      </w:r>
      <w:r>
        <w:rPr>
          <w:rFonts w:ascii="Times New Roman" w:eastAsia="宋体"/>
          <w:b w:val="0"/>
          <w:bCs w:val="0"/>
          <w: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治理回顾和治理成效调查</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_Toc112861028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22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02045F23">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"_Toc112861029" </w:instrText>
      </w:r>
      <w:r>
        <w:fldChar w:fldCharType="separate"/>
      </w:r>
      <w:r>
        <w:rPr>
          <w:rStyle w:val="66"/>
          <w:rFonts w:ascii="Times New Roman" w:eastAsia="宋体"/>
          <w:color w:val="000000" w:themeColor="text1"/>
          <w:sz w:val="24"/>
          <w:szCs w:val="24"/>
          <w14:textFill>
            <w14:solidFill>
              <w14:schemeClr w14:val="tx1"/>
            </w14:solidFill>
          </w14:textFill>
        </w:rPr>
        <w:t>3.1</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北峰山区乡镇生活污水治理历程</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_Toc112861029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22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252196F5">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"_Toc112861030" </w:instrText>
      </w:r>
      <w:r>
        <w:fldChar w:fldCharType="separate"/>
      </w:r>
      <w:r>
        <w:rPr>
          <w:rStyle w:val="66"/>
          <w:rFonts w:ascii="Times New Roman" w:eastAsia="宋体"/>
          <w:color w:val="000000" w:themeColor="text1"/>
          <w:sz w:val="24"/>
          <w:szCs w:val="24"/>
          <w14:textFill>
            <w14:solidFill>
              <w14:schemeClr w14:val="tx1"/>
            </w14:solidFill>
          </w14:textFill>
        </w:rPr>
        <w:t>3.2</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北峰山区乡镇生活污水治理管控覆盖情况调查</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_Toc112861030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26</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69753150">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"_Toc112861031" </w:instrText>
      </w:r>
      <w:r>
        <w:fldChar w:fldCharType="separate"/>
      </w:r>
      <w:r>
        <w:rPr>
          <w:rStyle w:val="66"/>
          <w:rFonts w:ascii="Times New Roman" w:eastAsia="宋体"/>
          <w:color w:val="000000" w:themeColor="text1"/>
          <w:sz w:val="24"/>
          <w:szCs w:val="24"/>
          <w14:textFill>
            <w14:solidFill>
              <w14:schemeClr w14:val="tx1"/>
            </w14:solidFill>
          </w14:textFill>
        </w:rPr>
        <w:t>3.3</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宦溪镇生活污水处理设施现状调查分析</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_Toc112861031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30</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7C6243F1">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"_Toc112861032" </w:instrText>
      </w:r>
      <w:r>
        <w:fldChar w:fldCharType="separate"/>
      </w:r>
      <w:r>
        <w:rPr>
          <w:rStyle w:val="66"/>
          <w:rFonts w:ascii="Times New Roman" w:eastAsia="宋体"/>
          <w:color w:val="000000" w:themeColor="text1"/>
          <w:sz w:val="24"/>
          <w:szCs w:val="24"/>
          <w14:textFill>
            <w14:solidFill>
              <w14:schemeClr w14:val="tx1"/>
            </w14:solidFill>
          </w14:textFill>
        </w:rPr>
        <w:t>3.4</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寿山乡生活污水治理设施现状调查分析</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_Toc112861032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33</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7DC513B9">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"_Toc112861033" </w:instrText>
      </w:r>
      <w:r>
        <w:fldChar w:fldCharType="separate"/>
      </w:r>
      <w:r>
        <w:rPr>
          <w:rStyle w:val="66"/>
          <w:rFonts w:ascii="Times New Roman" w:eastAsia="宋体"/>
          <w:color w:val="000000" w:themeColor="text1"/>
          <w:sz w:val="24"/>
          <w:szCs w:val="24"/>
          <w14:textFill>
            <w14:solidFill>
              <w14:schemeClr w14:val="tx1"/>
            </w14:solidFill>
          </w14:textFill>
        </w:rPr>
        <w:t>3.5</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日溪乡生活污水处理设施现状调查分析</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_Toc112861033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35</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54AB487F">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"_Toc112861034" </w:instrText>
      </w:r>
      <w:r>
        <w:fldChar w:fldCharType="separate"/>
      </w:r>
      <w:r>
        <w:rPr>
          <w:rStyle w:val="66"/>
          <w:rFonts w:ascii="Times New Roman" w:eastAsia="宋体"/>
          <w:color w:val="000000" w:themeColor="text1"/>
          <w:sz w:val="24"/>
          <w:szCs w:val="24"/>
          <w14:textFill>
            <w14:solidFill>
              <w14:schemeClr w14:val="tx1"/>
            </w14:solidFill>
          </w14:textFill>
        </w:rPr>
        <w:t>3.6</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北峰山区乡镇生活污水处理设施出水水质达标情况调查</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_Toc112861034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38</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6B85450C">
      <w:pPr>
        <w:pStyle w:val="36"/>
        <w:tabs>
          <w:tab w:val="left" w:pos="420"/>
          <w:tab w:val="right" w:leader="dot" w:pos="8494"/>
        </w:tabs>
        <w:adjustRightInd w:val="0"/>
        <w:snapToGrid w:val="0"/>
        <w:spacing w:before="0" w:after="0" w:line="420" w:lineRule="exact"/>
        <w:rPr>
          <w:rFonts w:ascii="Times New Roman" w:eastAsia="宋体"/>
          <w:b w:val="0"/>
          <w:bCs w:val="0"/>
          <w:caps w:val="0"/>
          <w:color w:val="000000" w:themeColor="text1"/>
          <w:sz w:val="24"/>
          <w:szCs w:val="24"/>
          <w14:textFill>
            <w14:solidFill>
              <w14:schemeClr w14:val="tx1"/>
            </w14:solidFill>
          </w14:textFill>
        </w:rPr>
      </w:pPr>
      <w:r>
        <w:fldChar w:fldCharType="begin"/>
      </w:r>
      <w:r>
        <w:instrText xml:space="preserve"> HYPERLINK \l "_Toc112861035" </w:instrText>
      </w:r>
      <w:r>
        <w:fldChar w:fldCharType="separate"/>
      </w:r>
      <w:r>
        <w:rPr>
          <w:rStyle w:val="66"/>
          <w:rFonts w:ascii="Times New Roman" w:eastAsia="宋体"/>
          <w:color w:val="000000" w:themeColor="text1"/>
          <w:sz w:val="24"/>
          <w:szCs w:val="24"/>
          <w14:textFill>
            <w14:solidFill>
              <w14:schemeClr w14:val="tx1"/>
            </w14:solidFill>
          </w14:textFill>
        </w:rPr>
        <w:t>4</w:t>
      </w:r>
      <w:r>
        <w:rPr>
          <w:rFonts w:ascii="Times New Roman" w:eastAsia="宋体"/>
          <w:b w:val="0"/>
          <w:bCs w:val="0"/>
          <w: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总体方案</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_Toc112861035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40</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3ADBDF2D">
      <w:pPr>
        <w:pStyle w:val="36"/>
        <w:tabs>
          <w:tab w:val="left" w:pos="420"/>
          <w:tab w:val="right" w:leader="dot" w:pos="8494"/>
        </w:tabs>
        <w:adjustRightInd w:val="0"/>
        <w:snapToGrid w:val="0"/>
        <w:spacing w:before="0" w:after="0" w:line="420" w:lineRule="exact"/>
        <w:rPr>
          <w:rFonts w:ascii="Times New Roman" w:eastAsia="宋体"/>
          <w:b w:val="0"/>
          <w:bCs w:val="0"/>
          <w:caps w:val="0"/>
          <w:color w:val="000000" w:themeColor="text1"/>
          <w:sz w:val="24"/>
          <w:szCs w:val="24"/>
          <w14:textFill>
            <w14:solidFill>
              <w14:schemeClr w14:val="tx1"/>
            </w14:solidFill>
          </w14:textFill>
        </w:rPr>
      </w:pPr>
      <w:r>
        <w:fldChar w:fldCharType="begin"/>
      </w:r>
      <w:r>
        <w:instrText xml:space="preserve"> HYPERLINK \l "_Toc112861036" </w:instrText>
      </w:r>
      <w:r>
        <w:fldChar w:fldCharType="separate"/>
      </w:r>
      <w:r>
        <w:rPr>
          <w:rStyle w:val="66"/>
          <w:rFonts w:ascii="Times New Roman" w:eastAsia="宋体"/>
          <w:color w:val="000000" w:themeColor="text1"/>
          <w:sz w:val="24"/>
          <w:szCs w:val="24"/>
          <w14:textFill>
            <w14:solidFill>
              <w14:schemeClr w14:val="tx1"/>
            </w14:solidFill>
          </w14:textFill>
        </w:rPr>
        <w:t>5</w:t>
      </w:r>
      <w:r>
        <w:rPr>
          <w:rFonts w:ascii="Times New Roman" w:eastAsia="宋体"/>
          <w:b w:val="0"/>
          <w:bCs w:val="0"/>
          <w: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北峰山区乡镇生活污水治理设施提升改造方案</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_Toc112861036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42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41335780">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"_Toc112861037" </w:instrText>
      </w:r>
      <w:r>
        <w:fldChar w:fldCharType="separate"/>
      </w:r>
      <w:r>
        <w:rPr>
          <w:rStyle w:val="66"/>
          <w:rFonts w:ascii="Times New Roman" w:eastAsia="宋体"/>
          <w:color w:val="000000" w:themeColor="text1"/>
          <w:sz w:val="24"/>
          <w:szCs w:val="24"/>
          <w14:textFill>
            <w14:solidFill>
              <w14:schemeClr w14:val="tx1"/>
            </w14:solidFill>
          </w14:textFill>
        </w:rPr>
        <w:t>5.1</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北峰山区乡镇生活污水水量预测</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_Toc112861037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42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39E9CE41">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"_Toc112861038" </w:instrText>
      </w:r>
      <w:r>
        <w:fldChar w:fldCharType="separate"/>
      </w:r>
      <w:r>
        <w:rPr>
          <w:rStyle w:val="66"/>
          <w:rFonts w:ascii="Times New Roman" w:eastAsia="宋体"/>
          <w:color w:val="000000" w:themeColor="text1"/>
          <w:sz w:val="24"/>
          <w:szCs w:val="24"/>
          <w14:textFill>
            <w14:solidFill>
              <w14:schemeClr w14:val="tx1"/>
            </w14:solidFill>
          </w14:textFill>
        </w:rPr>
        <w:t>5.2</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处理设施建设方案</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_Toc112861038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42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1727B0B7">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"_Toc112861039" </w:instrText>
      </w:r>
      <w:r>
        <w:fldChar w:fldCharType="separate"/>
      </w:r>
      <w:r>
        <w:rPr>
          <w:rStyle w:val="66"/>
          <w:rFonts w:ascii="Times New Roman" w:eastAsia="宋体"/>
          <w:color w:val="000000" w:themeColor="text1"/>
          <w:sz w:val="24"/>
          <w:szCs w:val="24"/>
          <w14:textFill>
            <w14:solidFill>
              <w14:schemeClr w14:val="tx1"/>
            </w14:solidFill>
          </w14:textFill>
        </w:rPr>
        <w:t>5.3</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宦溪镇集镇污水管网提升治理方案</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_Toc112861039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56</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54B010EA">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"_Toc112861040" </w:instrText>
      </w:r>
      <w:r>
        <w:fldChar w:fldCharType="separate"/>
      </w:r>
      <w:r>
        <w:rPr>
          <w:rStyle w:val="66"/>
          <w:rFonts w:ascii="Times New Roman" w:eastAsia="宋体"/>
          <w:color w:val="000000" w:themeColor="text1"/>
          <w:sz w:val="24"/>
          <w:szCs w:val="24"/>
          <w14:textFill>
            <w14:solidFill>
              <w14:schemeClr w14:val="tx1"/>
            </w14:solidFill>
          </w14:textFill>
        </w:rPr>
        <w:t>5.4</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寿山乡集镇污水管网提升治理方案</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_Toc112861040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62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35A5560A">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"_Toc112861041" </w:instrText>
      </w:r>
      <w:r>
        <w:fldChar w:fldCharType="separate"/>
      </w:r>
      <w:r>
        <w:rPr>
          <w:rStyle w:val="66"/>
          <w:rFonts w:ascii="Times New Roman" w:eastAsia="宋体"/>
          <w:color w:val="000000" w:themeColor="text1"/>
          <w:sz w:val="24"/>
          <w:szCs w:val="24"/>
          <w14:textFill>
            <w14:solidFill>
              <w14:schemeClr w14:val="tx1"/>
            </w14:solidFill>
          </w14:textFill>
        </w:rPr>
        <w:t>5.5</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日溪乡集镇污水管网提升治理方案</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_Toc112861041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64</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5A9EE248">
      <w:pPr>
        <w:pStyle w:val="36"/>
        <w:tabs>
          <w:tab w:val="left" w:pos="420"/>
          <w:tab w:val="right" w:leader="dot" w:pos="8494"/>
        </w:tabs>
        <w:adjustRightInd w:val="0"/>
        <w:snapToGrid w:val="0"/>
        <w:spacing w:before="0" w:after="0" w:line="420" w:lineRule="exact"/>
        <w:rPr>
          <w:rFonts w:ascii="Times New Roman" w:eastAsia="宋体"/>
          <w:b w:val="0"/>
          <w:bCs w:val="0"/>
          <w:caps w:val="0"/>
          <w:color w:val="000000" w:themeColor="text1"/>
          <w:sz w:val="24"/>
          <w:szCs w:val="24"/>
          <w14:textFill>
            <w14:solidFill>
              <w14:schemeClr w14:val="tx1"/>
            </w14:solidFill>
          </w14:textFill>
        </w:rPr>
      </w:pPr>
      <w:r>
        <w:fldChar w:fldCharType="begin"/>
      </w:r>
      <w:r>
        <w:instrText xml:space="preserve"> HYPERLINK \l "_Toc112861042" </w:instrText>
      </w:r>
      <w:r>
        <w:fldChar w:fldCharType="separate"/>
      </w:r>
      <w:r>
        <w:rPr>
          <w:rStyle w:val="66"/>
          <w:rFonts w:ascii="Times New Roman" w:eastAsia="宋体"/>
          <w:color w:val="000000" w:themeColor="text1"/>
          <w:sz w:val="24"/>
          <w:szCs w:val="24"/>
          <w14:textFill>
            <w14:solidFill>
              <w14:schemeClr w14:val="tx1"/>
            </w14:solidFill>
          </w14:textFill>
        </w:rPr>
        <w:t>6</w:t>
      </w:r>
      <w:r>
        <w:rPr>
          <w:rFonts w:ascii="Times New Roman" w:eastAsia="宋体"/>
          <w:b w:val="0"/>
          <w:bCs w:val="0"/>
          <w: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投资估算及进度安排</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_Toc112861042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67</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75E97F5C">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"_Toc112861043" </w:instrText>
      </w:r>
      <w:r>
        <w:fldChar w:fldCharType="separate"/>
      </w:r>
      <w:r>
        <w:rPr>
          <w:rStyle w:val="66"/>
          <w:rFonts w:ascii="Times New Roman" w:eastAsia="宋体"/>
          <w:color w:val="000000" w:themeColor="text1"/>
          <w:sz w:val="24"/>
          <w:szCs w:val="24"/>
          <w14:textFill>
            <w14:solidFill>
              <w14:schemeClr w14:val="tx1"/>
            </w14:solidFill>
          </w14:textFill>
        </w:rPr>
        <w:t>6.1</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编制范围</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_Toc112861043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67</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3EF071F6">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"_Toc112861044" </w:instrText>
      </w:r>
      <w:r>
        <w:fldChar w:fldCharType="separate"/>
      </w:r>
      <w:r>
        <w:rPr>
          <w:rStyle w:val="66"/>
          <w:rFonts w:ascii="Times New Roman" w:eastAsia="宋体"/>
          <w:color w:val="000000" w:themeColor="text1"/>
          <w:sz w:val="24"/>
          <w:szCs w:val="24"/>
          <w14:textFill>
            <w14:solidFill>
              <w14:schemeClr w14:val="tx1"/>
            </w14:solidFill>
          </w14:textFill>
        </w:rPr>
        <w:t>6.2</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项目实施进度规划原则</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_Toc112861044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67</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17F46857">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"_Toc112861045" </w:instrText>
      </w:r>
      <w:r>
        <w:fldChar w:fldCharType="separate"/>
      </w:r>
      <w:r>
        <w:rPr>
          <w:rStyle w:val="66"/>
          <w:rFonts w:ascii="Times New Roman" w:eastAsia="宋体"/>
          <w:color w:val="000000" w:themeColor="text1"/>
          <w:sz w:val="24"/>
          <w:szCs w:val="24"/>
          <w14:textFill>
            <w14:solidFill>
              <w14:schemeClr w14:val="tx1"/>
            </w14:solidFill>
          </w14:textFill>
        </w:rPr>
        <w:t>6.3</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工程估算</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_Toc112861045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67</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65C01C2D">
      <w:pPr>
        <w:pStyle w:val="36"/>
        <w:tabs>
          <w:tab w:val="left" w:pos="420"/>
          <w:tab w:val="right" w:leader="dot" w:pos="8494"/>
        </w:tabs>
        <w:adjustRightInd w:val="0"/>
        <w:snapToGrid w:val="0"/>
        <w:spacing w:before="0" w:after="0" w:line="420" w:lineRule="exact"/>
        <w:rPr>
          <w:rFonts w:ascii="Times New Roman" w:eastAsia="宋体"/>
          <w:b w:val="0"/>
          <w:bCs w:val="0"/>
          <w:caps w:val="0"/>
          <w:color w:val="000000" w:themeColor="text1"/>
          <w:sz w:val="24"/>
          <w:szCs w:val="24"/>
          <w14:textFill>
            <w14:solidFill>
              <w14:schemeClr w14:val="tx1"/>
            </w14:solidFill>
          </w14:textFill>
        </w:rPr>
      </w:pPr>
      <w:r>
        <w:fldChar w:fldCharType="begin"/>
      </w:r>
      <w:r>
        <w:instrText xml:space="preserve"> HYPERLINK \l "_Toc112861046" </w:instrText>
      </w:r>
      <w:r>
        <w:fldChar w:fldCharType="separate"/>
      </w:r>
      <w:r>
        <w:rPr>
          <w:rStyle w:val="66"/>
          <w:rFonts w:ascii="Times New Roman" w:eastAsia="宋体"/>
          <w:color w:val="000000" w:themeColor="text1"/>
          <w:sz w:val="24"/>
          <w:szCs w:val="24"/>
          <w14:textFill>
            <w14:solidFill>
              <w14:schemeClr w14:val="tx1"/>
            </w14:solidFill>
          </w14:textFill>
        </w:rPr>
        <w:t>7</w:t>
      </w:r>
      <w:r>
        <w:rPr>
          <w:rFonts w:ascii="Times New Roman" w:eastAsia="宋体"/>
          <w:b w:val="0"/>
          <w:bCs w:val="0"/>
          <w: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北峰山区乡镇生活污水处理设施长效运维机制</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_Toc112861046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70</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610B939C">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"_Toc112861047" </w:instrText>
      </w:r>
      <w:r>
        <w:fldChar w:fldCharType="separate"/>
      </w:r>
      <w:r>
        <w:rPr>
          <w:rStyle w:val="66"/>
          <w:rFonts w:ascii="Times New Roman" w:eastAsia="宋体"/>
          <w:color w:val="000000" w:themeColor="text1"/>
          <w:sz w:val="24"/>
          <w:szCs w:val="24"/>
          <w14:textFill>
            <w14:solidFill>
              <w14:schemeClr w14:val="tx1"/>
            </w14:solidFill>
          </w14:textFill>
        </w:rPr>
        <w:t>7.1</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北峰山区乡镇生活污水处理设施运行维护制度</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_Toc112861047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70</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047C9BDC">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"_Toc112861048" </w:instrText>
      </w:r>
      <w:r>
        <w:fldChar w:fldCharType="separate"/>
      </w:r>
      <w:r>
        <w:rPr>
          <w:rStyle w:val="66"/>
          <w:rFonts w:ascii="Times New Roman" w:eastAsia="宋体"/>
          <w:color w:val="000000" w:themeColor="text1"/>
          <w:sz w:val="24"/>
          <w:szCs w:val="24"/>
          <w14:textFill>
            <w14:solidFill>
              <w14:schemeClr w14:val="tx1"/>
            </w14:solidFill>
          </w14:textFill>
        </w:rPr>
        <w:t>7.2</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建立健全全北峰山区乡镇生活污水治理设施运行维护制度</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_Toc112861048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72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4827EFC6">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"_Toc112861049" </w:instrText>
      </w:r>
      <w:r>
        <w:fldChar w:fldCharType="separate"/>
      </w:r>
      <w:r>
        <w:rPr>
          <w:rStyle w:val="66"/>
          <w:rFonts w:ascii="Times New Roman" w:eastAsia="宋体"/>
          <w:color w:val="000000" w:themeColor="text1"/>
          <w:sz w:val="24"/>
          <w:szCs w:val="24"/>
          <w14:textFill>
            <w14:solidFill>
              <w14:schemeClr w14:val="tx1"/>
            </w14:solidFill>
          </w14:textFill>
        </w:rPr>
        <w:t>7.3</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制定完善北峰山区乡镇生活污水设施运行维护考核办法</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_Toc112861049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76</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1D1D0145">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"_Toc112861050" </w:instrText>
      </w:r>
      <w:r>
        <w:fldChar w:fldCharType="separate"/>
      </w:r>
      <w:r>
        <w:rPr>
          <w:rStyle w:val="66"/>
          <w:rFonts w:ascii="Times New Roman" w:eastAsia="宋体"/>
          <w:color w:val="000000" w:themeColor="text1"/>
          <w:sz w:val="24"/>
          <w:szCs w:val="24"/>
          <w14:textFill>
            <w14:solidFill>
              <w14:schemeClr w14:val="tx1"/>
            </w14:solidFill>
          </w14:textFill>
        </w:rPr>
        <w:t>7.4</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规范开展第三方运维绩效考核</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_Toc112861050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82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07D17CC3">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"_Toc112861051" </w:instrText>
      </w:r>
      <w:r>
        <w:fldChar w:fldCharType="separate"/>
      </w:r>
      <w:r>
        <w:rPr>
          <w:rStyle w:val="66"/>
          <w:rFonts w:ascii="Times New Roman" w:eastAsia="宋体"/>
          <w:color w:val="000000" w:themeColor="text1"/>
          <w:sz w:val="24"/>
          <w:szCs w:val="24"/>
          <w14:textFill>
            <w14:solidFill>
              <w14:schemeClr w14:val="tx1"/>
            </w14:solidFill>
          </w14:textFill>
        </w:rPr>
        <w:t>7.5</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设施运行维护存在的主要问题和完善建议</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_Toc112861051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83</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7F32DF68">
      <w:pPr>
        <w:pStyle w:val="36"/>
        <w:tabs>
          <w:tab w:val="left" w:pos="420"/>
          <w:tab w:val="right" w:leader="dot" w:pos="8494"/>
        </w:tabs>
        <w:adjustRightInd w:val="0"/>
        <w:snapToGrid w:val="0"/>
        <w:spacing w:before="0" w:after="0" w:line="420" w:lineRule="exact"/>
        <w:rPr>
          <w:rFonts w:ascii="Times New Roman" w:eastAsia="宋体"/>
          <w:b w:val="0"/>
          <w:bCs w:val="0"/>
          <w:caps w:val="0"/>
          <w:color w:val="000000" w:themeColor="text1"/>
          <w:sz w:val="24"/>
          <w:szCs w:val="24"/>
          <w14:textFill>
            <w14:solidFill>
              <w14:schemeClr w14:val="tx1"/>
            </w14:solidFill>
          </w14:textFill>
        </w:rPr>
      </w:pPr>
      <w:r>
        <w:fldChar w:fldCharType="begin"/>
      </w:r>
      <w:r>
        <w:instrText xml:space="preserve"> HYPERLINK \l "_Toc112861052" </w:instrText>
      </w:r>
      <w:r>
        <w:fldChar w:fldCharType="separate"/>
      </w:r>
      <w:r>
        <w:rPr>
          <w:rStyle w:val="66"/>
          <w:rFonts w:ascii="Times New Roman" w:eastAsia="宋体"/>
          <w:color w:val="000000" w:themeColor="text1"/>
          <w:sz w:val="24"/>
          <w:szCs w:val="24"/>
          <w14:textFill>
            <w14:solidFill>
              <w14:schemeClr w14:val="tx1"/>
            </w14:solidFill>
          </w14:textFill>
        </w:rPr>
        <w:t>8</w:t>
      </w:r>
      <w:r>
        <w:rPr>
          <w:rFonts w:ascii="Times New Roman" w:eastAsia="宋体"/>
          <w:b w:val="0"/>
          <w:bCs w:val="0"/>
          <w: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运维管理方案</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_Toc112861052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85</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01648BBF">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"_Toc112861053" </w:instrText>
      </w:r>
      <w:r>
        <w:fldChar w:fldCharType="separate"/>
      </w:r>
      <w:r>
        <w:rPr>
          <w:rStyle w:val="66"/>
          <w:rFonts w:ascii="Times New Roman" w:eastAsia="宋体"/>
          <w:color w:val="000000" w:themeColor="text1"/>
          <w:sz w:val="24"/>
          <w:szCs w:val="24"/>
          <w14:textFill>
            <w14:solidFill>
              <w14:schemeClr w14:val="tx1"/>
            </w14:solidFill>
          </w14:textFill>
        </w:rPr>
        <w:t>8.1</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编制依据</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_Toc112861053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85</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0356BCBE">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"_Toc112861054" </w:instrText>
      </w:r>
      <w:r>
        <w:fldChar w:fldCharType="separate"/>
      </w:r>
      <w:r>
        <w:rPr>
          <w:rStyle w:val="66"/>
          <w:rFonts w:ascii="Times New Roman" w:eastAsia="宋体"/>
          <w:color w:val="000000" w:themeColor="text1"/>
          <w:sz w:val="24"/>
          <w:szCs w:val="24"/>
          <w14:textFill>
            <w14:solidFill>
              <w14:schemeClr w14:val="tx1"/>
            </w14:solidFill>
          </w14:textFill>
        </w:rPr>
        <w:t>8.2</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总体要求</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_Toc112861054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85</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75817E2B">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"_Toc112861055" </w:instrText>
      </w:r>
      <w:r>
        <w:fldChar w:fldCharType="separate"/>
      </w:r>
      <w:r>
        <w:rPr>
          <w:rStyle w:val="66"/>
          <w:rFonts w:ascii="Times New Roman" w:eastAsia="宋体"/>
          <w:color w:val="000000" w:themeColor="text1"/>
          <w:sz w:val="24"/>
          <w:szCs w:val="24"/>
          <w14:textFill>
            <w14:solidFill>
              <w14:schemeClr w14:val="tx1"/>
            </w14:solidFill>
          </w14:textFill>
        </w:rPr>
        <w:t>8.3</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设施运维</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_Toc112861055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87</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04ED3A84">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"_Toc112861056" </w:instrText>
      </w:r>
      <w:r>
        <w:fldChar w:fldCharType="separate"/>
      </w:r>
      <w:r>
        <w:rPr>
          <w:rStyle w:val="66"/>
          <w:rFonts w:ascii="Times New Roman" w:eastAsia="宋体"/>
          <w:color w:val="000000" w:themeColor="text1"/>
          <w:sz w:val="24"/>
          <w:szCs w:val="24"/>
          <w14:textFill>
            <w14:solidFill>
              <w14:schemeClr w14:val="tx1"/>
            </w14:solidFill>
          </w14:textFill>
        </w:rPr>
        <w:t>8.4</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管网运维</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_Toc112861056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100</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6117C20A">
      <w:pPr>
        <w:pStyle w:val="36"/>
        <w:tabs>
          <w:tab w:val="left" w:pos="420"/>
          <w:tab w:val="right" w:leader="dot" w:pos="8494"/>
        </w:tabs>
        <w:adjustRightInd w:val="0"/>
        <w:snapToGrid w:val="0"/>
        <w:spacing w:before="0" w:after="0" w:line="420" w:lineRule="exact"/>
        <w:rPr>
          <w:rFonts w:ascii="Times New Roman" w:eastAsia="宋体"/>
          <w:b w:val="0"/>
          <w:bCs w:val="0"/>
          <w:caps w:val="0"/>
          <w:color w:val="000000" w:themeColor="text1"/>
          <w:sz w:val="24"/>
          <w:szCs w:val="24"/>
          <w14:textFill>
            <w14:solidFill>
              <w14:schemeClr w14:val="tx1"/>
            </w14:solidFill>
          </w14:textFill>
        </w:rPr>
      </w:pPr>
      <w:r>
        <w:fldChar w:fldCharType="begin"/>
      </w:r>
      <w:r>
        <w:instrText xml:space="preserve"> HYPERLINK \l "_Toc112861057" </w:instrText>
      </w:r>
      <w:r>
        <w:fldChar w:fldCharType="separate"/>
      </w:r>
      <w:r>
        <w:rPr>
          <w:rStyle w:val="66"/>
          <w:rFonts w:ascii="Times New Roman" w:eastAsia="宋体"/>
          <w:color w:val="000000" w:themeColor="text1"/>
          <w:sz w:val="24"/>
          <w:szCs w:val="24"/>
          <w14:textFill>
            <w14:solidFill>
              <w14:schemeClr w14:val="tx1"/>
            </w14:solidFill>
          </w14:textFill>
        </w:rPr>
        <w:t>9</w:t>
      </w:r>
      <w:r>
        <w:rPr>
          <w:rFonts w:ascii="Times New Roman" w:eastAsia="宋体"/>
          <w:b w:val="0"/>
          <w:bCs w:val="0"/>
          <w: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规划保障措施</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_Toc112861057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109</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73AE694E">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"_Toc112861058" </w:instrText>
      </w:r>
      <w:r>
        <w:fldChar w:fldCharType="separate"/>
      </w:r>
      <w:r>
        <w:rPr>
          <w:rStyle w:val="66"/>
          <w:rFonts w:ascii="Times New Roman" w:eastAsia="宋体"/>
          <w:color w:val="000000" w:themeColor="text1"/>
          <w:sz w:val="24"/>
          <w:szCs w:val="24"/>
          <w14:textFill>
            <w14:solidFill>
              <w14:schemeClr w14:val="tx1"/>
            </w14:solidFill>
          </w14:textFill>
        </w:rPr>
        <w:t>9.1</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加强组织领导，明确责任主体</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_Toc112861058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109</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04641EFF">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"_Toc112861059" </w:instrText>
      </w:r>
      <w:r>
        <w:fldChar w:fldCharType="separate"/>
      </w:r>
      <w:r>
        <w:rPr>
          <w:rStyle w:val="66"/>
          <w:rFonts w:ascii="Times New Roman" w:eastAsia="宋体"/>
          <w:color w:val="000000" w:themeColor="text1"/>
          <w:sz w:val="24"/>
          <w:szCs w:val="24"/>
          <w14:textFill>
            <w14:solidFill>
              <w14:schemeClr w14:val="tx1"/>
            </w14:solidFill>
          </w14:textFill>
        </w:rPr>
        <w:t>9.2</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厘清职责，明确治理要求</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_Toc112861059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109</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788BF9D9">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"_Toc112861060" </w:instrText>
      </w:r>
      <w:r>
        <w:fldChar w:fldCharType="separate"/>
      </w:r>
      <w:r>
        <w:rPr>
          <w:rStyle w:val="66"/>
          <w:rFonts w:ascii="Times New Roman" w:eastAsia="宋体"/>
          <w:color w:val="000000" w:themeColor="text1"/>
          <w:sz w:val="24"/>
          <w:szCs w:val="24"/>
          <w14:textFill>
            <w14:solidFill>
              <w14:schemeClr w14:val="tx1"/>
            </w14:solidFill>
          </w14:textFill>
        </w:rPr>
        <w:t>9.3</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统筹资金，创新投融资模式</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_Toc112861060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110</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6B62DE29">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"_Toc112861061" </w:instrText>
      </w:r>
      <w:r>
        <w:fldChar w:fldCharType="separate"/>
      </w:r>
      <w:r>
        <w:rPr>
          <w:rStyle w:val="66"/>
          <w:rFonts w:ascii="Times New Roman" w:eastAsia="宋体"/>
          <w:color w:val="000000" w:themeColor="text1"/>
          <w:sz w:val="24"/>
          <w:szCs w:val="24"/>
          <w14:textFill>
            <w14:solidFill>
              <w14:schemeClr w14:val="tx1"/>
            </w14:solidFill>
          </w14:textFill>
        </w:rPr>
        <w:t>9.4</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完善政策措施，提供高效支持</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_Toc112861061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110</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3F02DE09">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"_Toc112861062" </w:instrText>
      </w:r>
      <w:r>
        <w:fldChar w:fldCharType="separate"/>
      </w:r>
      <w:r>
        <w:rPr>
          <w:rStyle w:val="66"/>
          <w:rFonts w:ascii="Times New Roman" w:eastAsia="宋体"/>
          <w:color w:val="000000" w:themeColor="text1"/>
          <w:sz w:val="24"/>
          <w:szCs w:val="24"/>
          <w14:textFill>
            <w14:solidFill>
              <w14:schemeClr w14:val="tx1"/>
            </w14:solidFill>
          </w14:textFill>
        </w:rPr>
        <w:t>9.5</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多措并举，强化监督管理</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_Toc112861062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110</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3B098C40">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"_Toc112861063" </w:instrText>
      </w:r>
      <w:r>
        <w:fldChar w:fldCharType="separate"/>
      </w:r>
      <w:r>
        <w:rPr>
          <w:rStyle w:val="66"/>
          <w:rFonts w:ascii="Times New Roman" w:eastAsia="宋体"/>
          <w:color w:val="000000" w:themeColor="text1"/>
          <w:sz w:val="24"/>
          <w:szCs w:val="24"/>
          <w14:textFill>
            <w14:solidFill>
              <w14:schemeClr w14:val="tx1"/>
            </w14:solidFill>
          </w14:textFill>
        </w:rPr>
        <w:t>9.6</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充分征求，广泛听取意见</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_Toc112861063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111</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6ED2FCDD">
      <w:pPr>
        <w:pStyle w:val="36"/>
        <w:tabs>
          <w:tab w:val="left" w:pos="630"/>
          <w:tab w:val="right" w:leader="dot" w:pos="8494"/>
        </w:tabs>
        <w:adjustRightInd w:val="0"/>
        <w:snapToGrid w:val="0"/>
        <w:spacing w:before="0" w:after="0" w:line="420" w:lineRule="exact"/>
        <w:rPr>
          <w:rFonts w:ascii="Times New Roman" w:eastAsia="宋体"/>
          <w:b w:val="0"/>
          <w:bCs w:val="0"/>
          <w:caps w:val="0"/>
          <w:color w:val="000000" w:themeColor="text1"/>
          <w:sz w:val="24"/>
          <w:szCs w:val="24"/>
          <w14:textFill>
            <w14:solidFill>
              <w14:schemeClr w14:val="tx1"/>
            </w14:solidFill>
          </w14:textFill>
        </w:rPr>
      </w:pPr>
      <w:r>
        <w:fldChar w:fldCharType="begin"/>
      </w:r>
      <w:r>
        <w:instrText xml:space="preserve"> HYPERLINK \l "_Toc112861064" </w:instrText>
      </w:r>
      <w:r>
        <w:fldChar w:fldCharType="separate"/>
      </w:r>
      <w:r>
        <w:rPr>
          <w:rStyle w:val="66"/>
          <w:rFonts w:ascii="Times New Roman" w:eastAsia="宋体"/>
          <w:color w:val="000000" w:themeColor="text1"/>
          <w:sz w:val="24"/>
          <w:szCs w:val="24"/>
          <w14:textFill>
            <w14:solidFill>
              <w14:schemeClr w14:val="tx1"/>
            </w14:solidFill>
          </w14:textFill>
        </w:rPr>
        <w:t>10</w:t>
      </w:r>
      <w:r>
        <w:rPr>
          <w:rFonts w:ascii="Times New Roman" w:eastAsia="宋体"/>
          <w:b w:val="0"/>
          <w:bCs w:val="0"/>
          <w: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效益分析</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_Toc112861064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31AEDBE2">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"_Toc112861065" </w:instrText>
      </w:r>
      <w:r>
        <w:fldChar w:fldCharType="separate"/>
      </w:r>
      <w:r>
        <w:rPr>
          <w:rStyle w:val="66"/>
          <w:rFonts w:ascii="Times New Roman" w:eastAsia="宋体"/>
          <w:color w:val="000000" w:themeColor="text1"/>
          <w:sz w:val="24"/>
          <w:szCs w:val="24"/>
          <w14:textFill>
            <w14:solidFill>
              <w14:schemeClr w14:val="tx1"/>
            </w14:solidFill>
          </w14:textFill>
        </w:rPr>
        <w:t>10.1</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经济效益</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_Toc112861065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3C3FAE27">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"_Toc112861066" </w:instrText>
      </w:r>
      <w:r>
        <w:fldChar w:fldCharType="separate"/>
      </w:r>
      <w:r>
        <w:rPr>
          <w:rStyle w:val="66"/>
          <w:rFonts w:ascii="Times New Roman" w:eastAsia="宋体"/>
          <w:color w:val="000000" w:themeColor="text1"/>
          <w:sz w:val="24"/>
          <w:szCs w:val="24"/>
          <w14:textFill>
            <w14:solidFill>
              <w14:schemeClr w14:val="tx1"/>
            </w14:solidFill>
          </w14:textFill>
        </w:rPr>
        <w:t>10.2</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社会效益</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_Toc112861066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5B27EC45">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"_Toc112861067" </w:instrText>
      </w:r>
      <w:r>
        <w:fldChar w:fldCharType="separate"/>
      </w:r>
      <w:r>
        <w:rPr>
          <w:rStyle w:val="66"/>
          <w:rFonts w:ascii="Times New Roman" w:eastAsia="宋体"/>
          <w:color w:val="000000" w:themeColor="text1"/>
          <w:sz w:val="24"/>
          <w:szCs w:val="24"/>
          <w14:textFill>
            <w14:solidFill>
              <w14:schemeClr w14:val="tx1"/>
            </w14:solidFill>
          </w14:textFill>
        </w:rPr>
        <w:t>10.3</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环境效益</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_Toc112861067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112</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4E4C48C6">
      <w:pPr>
        <w:pStyle w:val="36"/>
        <w:tabs>
          <w:tab w:val="left" w:pos="630"/>
          <w:tab w:val="right" w:leader="dot" w:pos="8494"/>
        </w:tabs>
        <w:adjustRightInd w:val="0"/>
        <w:snapToGrid w:val="0"/>
        <w:spacing w:before="0" w:after="0" w:line="420" w:lineRule="exact"/>
        <w:rPr>
          <w:rFonts w:ascii="Times New Roman" w:eastAsia="宋体"/>
          <w:b w:val="0"/>
          <w:bCs w:val="0"/>
          <w:caps w:val="0"/>
          <w:color w:val="000000" w:themeColor="text1"/>
          <w:sz w:val="24"/>
          <w:szCs w:val="24"/>
          <w14:textFill>
            <w14:solidFill>
              <w14:schemeClr w14:val="tx1"/>
            </w14:solidFill>
          </w14:textFill>
        </w:rPr>
      </w:pPr>
      <w:r>
        <w:fldChar w:fldCharType="begin"/>
      </w:r>
      <w:r>
        <w:instrText xml:space="preserve"> HYPERLINK \l "_Toc112861068" </w:instrText>
      </w:r>
      <w:r>
        <w:fldChar w:fldCharType="separate"/>
      </w:r>
      <w:r>
        <w:rPr>
          <w:rStyle w:val="66"/>
          <w:rFonts w:ascii="Times New Roman" w:eastAsia="宋体"/>
          <w:color w:val="000000" w:themeColor="text1"/>
          <w:sz w:val="24"/>
          <w:szCs w:val="24"/>
          <w14:textFill>
            <w14:solidFill>
              <w14:schemeClr w14:val="tx1"/>
            </w14:solidFill>
          </w14:textFill>
        </w:rPr>
        <w:t>11</w:t>
      </w:r>
      <w:r>
        <w:rPr>
          <w:rFonts w:ascii="Times New Roman" w:eastAsia="宋体"/>
          <w:b w:val="0"/>
          <w:bCs w:val="0"/>
          <w: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结论与建议</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_Toc112861068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114</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03711D8F">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"_Toc112861069" </w:instrText>
      </w:r>
      <w:r>
        <w:fldChar w:fldCharType="separate"/>
      </w:r>
      <w:r>
        <w:rPr>
          <w:rStyle w:val="66"/>
          <w:rFonts w:ascii="Times New Roman" w:eastAsia="宋体"/>
          <w:color w:val="000000" w:themeColor="text1"/>
          <w:sz w:val="24"/>
          <w:szCs w:val="24"/>
          <w14:textFill>
            <w14:solidFill>
              <w14:schemeClr w14:val="tx1"/>
            </w14:solidFill>
          </w14:textFill>
        </w:rPr>
        <w:t>11.1</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主要成效</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_Toc112861069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114</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36C3943E">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"_Toc112861070" </w:instrText>
      </w:r>
      <w:r>
        <w:fldChar w:fldCharType="separate"/>
      </w:r>
      <w:r>
        <w:rPr>
          <w:rStyle w:val="66"/>
          <w:rFonts w:ascii="Times New Roman" w:eastAsia="宋体"/>
          <w:color w:val="000000" w:themeColor="text1"/>
          <w:sz w:val="24"/>
          <w:szCs w:val="24"/>
          <w14:textFill>
            <w14:solidFill>
              <w14:schemeClr w14:val="tx1"/>
            </w14:solidFill>
          </w14:textFill>
        </w:rPr>
        <w:t>11.2</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存在主要问题</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_Toc112861070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114</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25229289">
      <w:pPr>
        <w:pStyle w:val="43"/>
        <w:tabs>
          <w:tab w:val="left" w:pos="840"/>
          <w:tab w:val="right" w:leader="dot" w:pos="8494"/>
        </w:tabs>
        <w:adjustRightInd w:val="0"/>
        <w:snapToGrid w:val="0"/>
        <w:spacing w:line="420" w:lineRule="exact"/>
        <w:rPr>
          <w:rFonts w:ascii="Times New Roman" w:eastAsia="宋体"/>
          <w:smallCaps w:val="0"/>
          <w:color w:val="000000" w:themeColor="text1"/>
          <w:sz w:val="24"/>
          <w:szCs w:val="24"/>
          <w14:textFill>
            <w14:solidFill>
              <w14:schemeClr w14:val="tx1"/>
            </w14:solidFill>
          </w14:textFill>
        </w:rPr>
      </w:pPr>
      <w:r>
        <w:fldChar w:fldCharType="begin"/>
      </w:r>
      <w:r>
        <w:instrText xml:space="preserve"> HYPERLINK \l "_Toc112861071" </w:instrText>
      </w:r>
      <w:r>
        <w:fldChar w:fldCharType="separate"/>
      </w:r>
      <w:r>
        <w:rPr>
          <w:rStyle w:val="66"/>
          <w:rFonts w:ascii="Times New Roman" w:eastAsia="宋体"/>
          <w:color w:val="000000" w:themeColor="text1"/>
          <w:sz w:val="24"/>
          <w:szCs w:val="24"/>
          <w14:textFill>
            <w14:solidFill>
              <w14:schemeClr w14:val="tx1"/>
            </w14:solidFill>
          </w14:textFill>
        </w:rPr>
        <w:t>11.3</w:t>
      </w:r>
      <w:r>
        <w:rPr>
          <w:rFonts w:ascii="Times New Roman" w:eastAsia="宋体"/>
          <w:smallCaps w:val="0"/>
          <w:color w:val="000000" w:themeColor="text1"/>
          <w:sz w:val="24"/>
          <w:szCs w:val="24"/>
          <w14:textFill>
            <w14:solidFill>
              <w14:schemeClr w14:val="tx1"/>
            </w14:solidFill>
          </w14:textFill>
        </w:rPr>
        <w:tab/>
      </w:r>
      <w:r>
        <w:rPr>
          <w:rStyle w:val="66"/>
          <w:rFonts w:ascii="Times New Roman" w:eastAsia="宋体"/>
          <w:color w:val="000000" w:themeColor="text1"/>
          <w:sz w:val="24"/>
          <w:szCs w:val="24"/>
          <w14:textFill>
            <w14:solidFill>
              <w14:schemeClr w14:val="tx1"/>
            </w14:solidFill>
          </w14:textFill>
        </w:rPr>
        <w:t>建议</w:t>
      </w:r>
      <w:r>
        <w:rPr>
          <w:rFonts w:ascii="Times New Roman" w:eastAsia="宋体"/>
          <w:color w:val="000000" w:themeColor="text1"/>
          <w:sz w:val="24"/>
          <w:szCs w:val="24"/>
          <w14:textFill>
            <w14:solidFill>
              <w14:schemeClr w14:val="tx1"/>
            </w14:solidFill>
          </w14:textFill>
        </w:rPr>
        <w:tab/>
      </w:r>
      <w:r>
        <w:rPr>
          <w:rFonts w:ascii="Times New Roman" w:eastAsia="宋体"/>
          <w:color w:val="000000" w:themeColor="text1"/>
          <w:sz w:val="24"/>
          <w:szCs w:val="24"/>
          <w14:textFill>
            <w14:solidFill>
              <w14:schemeClr w14:val="tx1"/>
            </w14:solidFill>
          </w14:textFill>
        </w:rPr>
        <w:fldChar w:fldCharType="begin"/>
      </w:r>
      <w:r>
        <w:rPr>
          <w:rFonts w:ascii="Times New Roman" w:eastAsia="宋体"/>
          <w:color w:val="000000" w:themeColor="text1"/>
          <w:sz w:val="24"/>
          <w:szCs w:val="24"/>
          <w14:textFill>
            <w14:solidFill>
              <w14:schemeClr w14:val="tx1"/>
            </w14:solidFill>
          </w14:textFill>
        </w:rPr>
        <w:instrText xml:space="preserve"> PAGEREF _Toc112861071 \h </w:instrText>
      </w:r>
      <w:r>
        <w:rPr>
          <w:rFonts w:ascii="Times New Roman" w:eastAsia="宋体"/>
          <w:color w:val="000000" w:themeColor="text1"/>
          <w:sz w:val="24"/>
          <w:szCs w:val="24"/>
          <w14:textFill>
            <w14:solidFill>
              <w14:schemeClr w14:val="tx1"/>
            </w14:solidFill>
          </w14:textFill>
        </w:rPr>
        <w:fldChar w:fldCharType="separate"/>
      </w:r>
      <w:r>
        <w:rPr>
          <w:rFonts w:ascii="Times New Roman" w:eastAsia="宋体"/>
          <w:color w:val="000000" w:themeColor="text1"/>
          <w:sz w:val="24"/>
          <w:szCs w:val="24"/>
          <w14:textFill>
            <w14:solidFill>
              <w14:schemeClr w14:val="tx1"/>
            </w14:solidFill>
          </w14:textFill>
        </w:rPr>
        <w:t>114</w:t>
      </w:r>
      <w:r>
        <w:rPr>
          <w:rFonts w:ascii="Times New Roman" w:eastAsia="宋体"/>
          <w:color w:val="000000" w:themeColor="text1"/>
          <w:sz w:val="24"/>
          <w:szCs w:val="24"/>
          <w14:textFill>
            <w14:solidFill>
              <w14:schemeClr w14:val="tx1"/>
            </w14:solidFill>
          </w14:textFill>
        </w:rPr>
        <w:fldChar w:fldCharType="end"/>
      </w:r>
      <w:r>
        <w:rPr>
          <w:rFonts w:ascii="Times New Roman" w:eastAsia="宋体"/>
          <w:color w:val="000000" w:themeColor="text1"/>
          <w:sz w:val="24"/>
          <w:szCs w:val="24"/>
          <w14:textFill>
            <w14:solidFill>
              <w14:schemeClr w14:val="tx1"/>
            </w14:solidFill>
          </w14:textFill>
        </w:rPr>
        <w:fldChar w:fldCharType="end"/>
      </w:r>
    </w:p>
    <w:p w14:paraId="4319A2EA">
      <w:pPr>
        <w:adjustRightInd w:val="0"/>
        <w:snapToGrid w:val="0"/>
        <w:spacing w:line="420" w:lineRule="exact"/>
        <w:jc w:val="center"/>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fldChar w:fldCharType="end"/>
      </w:r>
    </w:p>
    <w:p w14:paraId="4C3C9066">
      <w:pPr>
        <w:jc w:val="center"/>
        <w:rPr>
          <w:rFonts w:eastAsia="黑体"/>
          <w:b/>
          <w:color w:val="000000" w:themeColor="text1"/>
          <w:sz w:val="56"/>
          <w14:textFill>
            <w14:solidFill>
              <w14:schemeClr w14:val="tx1"/>
            </w14:solidFill>
          </w14:textFill>
        </w:rPr>
      </w:pPr>
    </w:p>
    <w:p w14:paraId="7660AC87">
      <w:pPr>
        <w:jc w:val="center"/>
        <w:rPr>
          <w:rFonts w:eastAsia="黑体"/>
          <w:b/>
          <w:color w:val="000000" w:themeColor="text1"/>
          <w:sz w:val="56"/>
          <w14:textFill>
            <w14:solidFill>
              <w14:schemeClr w14:val="tx1"/>
            </w14:solidFill>
          </w14:textFill>
        </w:rPr>
        <w:sectPr>
          <w:pgSz w:w="11906" w:h="16838"/>
          <w:pgMar w:top="1701" w:right="1701" w:bottom="1701" w:left="1701" w:header="851" w:footer="992" w:gutter="0"/>
          <w:pgNumType w:start="1"/>
          <w:cols w:space="720" w:num="1"/>
          <w:docGrid w:type="linesAndChars" w:linePitch="312" w:charSpace="0"/>
        </w:sectPr>
      </w:pPr>
    </w:p>
    <w:p w14:paraId="4FF560EF">
      <w:pPr>
        <w:pStyle w:val="3"/>
        <w:rPr>
          <w:rFonts w:ascii="Times New Roman" w:hAnsi="Times New Roman"/>
          <w:color w:val="000000" w:themeColor="text1"/>
          <w14:textFill>
            <w14:solidFill>
              <w14:schemeClr w14:val="tx1"/>
            </w14:solidFill>
          </w14:textFill>
        </w:rPr>
      </w:pPr>
      <w:bookmarkStart w:id="0" w:name="_Toc112693840"/>
      <w:bookmarkStart w:id="1" w:name="_Toc112693975"/>
      <w:bookmarkStart w:id="2" w:name="_Toc112861014"/>
      <w:r>
        <w:rPr>
          <w:rFonts w:ascii="Times New Roman" w:hAnsi="Times New Roman"/>
          <w:color w:val="000000" w:themeColor="text1"/>
          <w14:textFill>
            <w14:solidFill>
              <w14:schemeClr w14:val="tx1"/>
            </w14:solidFill>
          </w14:textFill>
        </w:rPr>
        <w:t>总则</w:t>
      </w:r>
      <w:bookmarkEnd w:id="0"/>
      <w:bookmarkEnd w:id="1"/>
      <w:bookmarkEnd w:id="2"/>
    </w:p>
    <w:p w14:paraId="4C87C6ED">
      <w:pPr>
        <w:pStyle w:val="4"/>
        <w:rPr>
          <w:rFonts w:ascii="Times New Roman" w:hAnsi="Times New Roman" w:eastAsiaTheme="minorEastAsia"/>
          <w:color w:val="000000" w:themeColor="text1"/>
          <w14:textFill>
            <w14:solidFill>
              <w14:schemeClr w14:val="tx1"/>
            </w14:solidFill>
          </w14:textFill>
        </w:rPr>
      </w:pPr>
      <w:bookmarkStart w:id="3" w:name="_Toc112693976"/>
      <w:bookmarkStart w:id="4" w:name="_Toc112861015"/>
      <w:bookmarkStart w:id="5" w:name="_Toc112693841"/>
      <w:r>
        <w:rPr>
          <w:rFonts w:hint="eastAsia" w:ascii="宋体" w:hAnsi="宋体" w:eastAsia="宋体" w:cs="宋体"/>
          <w:color w:val="000000" w:themeColor="text1"/>
          <w14:textFill>
            <w14:solidFill>
              <w14:schemeClr w14:val="tx1"/>
            </w14:solidFill>
          </w14:textFill>
        </w:rPr>
        <w:t>实施背景</w:t>
      </w:r>
      <w:bookmarkEnd w:id="3"/>
      <w:bookmarkEnd w:id="4"/>
      <w:bookmarkEnd w:id="5"/>
    </w:p>
    <w:p w14:paraId="75C3E09B">
      <w:pPr>
        <w:pStyle w:val="52"/>
        <w:rPr>
          <w:color w:val="000000" w:themeColor="text1"/>
          <w14:textFill>
            <w14:solidFill>
              <w14:schemeClr w14:val="tx1"/>
            </w14:solidFill>
          </w14:textFill>
        </w:rPr>
      </w:pPr>
      <w:r>
        <w:rPr>
          <w:color w:val="000000" w:themeColor="text1"/>
          <w14:textFill>
            <w14:solidFill>
              <w14:schemeClr w14:val="tx1"/>
            </w14:solidFill>
          </w14:textFill>
        </w:rPr>
        <w:t>污水收集处理是城镇环境基础设施的核心组成，是深入打好污染防治攻坚战的重要抓手，对于改善城镇人居环境，推进城市治理体系和治理能力现代化，加快生态文明建设，推动高质量发展具有重要作用。</w:t>
      </w:r>
    </w:p>
    <w:p w14:paraId="20FB8962">
      <w:pPr>
        <w:pStyle w:val="52"/>
        <w:rPr>
          <w:color w:val="000000" w:themeColor="text1"/>
          <w14:textFill>
            <w14:solidFill>
              <w14:schemeClr w14:val="tx1"/>
            </w14:solidFill>
          </w14:textFill>
        </w:rPr>
      </w:pPr>
      <w:r>
        <w:rPr>
          <w:color w:val="000000" w:themeColor="text1"/>
          <w14:textFill>
            <w14:solidFill>
              <w14:schemeClr w14:val="tx1"/>
            </w14:solidFill>
          </w14:textFill>
        </w:rPr>
        <w:t>为深入贯彻习近平生态文明思想，加强生态环境保护，积极推进城镇污水处理领域补短板、强弱项工作，全面提升污水收集处理及资源化利用能力水平，国家发展改革委、住房城乡建设部商生态环境部研究编制并印发实施《“十四五”城镇污水处理及资源化利用发展规划》(发改环资〔2021〕827号)，并提出了到“到2025年，基本消除城市建成区生活污水直排口和收集处理设施空白区......到2035年，城市生活污水收集管网基本全覆盖，城镇污水处理能力全覆盖”的主要目标及“补齐城镇污水管网短板，提升收集效能、强化城镇污水处理设施弱项，提升处理能力、加强再生利用设施建设，推进污水资源化利用、破解污泥处置难点，实现无害化推进资源化”的建设任务。</w:t>
      </w:r>
    </w:p>
    <w:p w14:paraId="1BAF4BEA">
      <w:pPr>
        <w:pStyle w:val="52"/>
        <w:rPr>
          <w:color w:val="000000" w:themeColor="text1"/>
          <w14:textFill>
            <w14:solidFill>
              <w14:schemeClr w14:val="tx1"/>
            </w14:solidFill>
          </w14:textFill>
        </w:rPr>
      </w:pPr>
      <w:r>
        <w:rPr>
          <w:color w:val="000000" w:themeColor="text1"/>
          <w14:textFill>
            <w14:solidFill>
              <w14:schemeClr w14:val="tx1"/>
            </w14:solidFill>
          </w14:textFill>
        </w:rPr>
        <w:t>省委、省政府历来高度重视乡镇污水治理工作，持续强化污水治理工作部署和推动落实。2021年9月21日，省人民政府办公厅印发实施了《福建省人民政府办公厅关于印发福建省“十四五”城乡基础设施建设专项规划的通知》(闽政办〔2021〕52号)，通知提出，要加快完善配套污水管网，提高生活污水收集处理水平。全面推行以县域为单位，将乡镇生活污水处理设施改造提升、管网铺设和运行管护整体打捆打包进行市场化运营管理。依托县域打包落实建设资金保障和专业化运营，加快推进污水管网建设。到2022年，闽江流域各县（市、区）完成县域“打包”统一实施工作；到2025年，所有县（市、区）完成县域“打包”统一实施工作。</w:t>
      </w:r>
    </w:p>
    <w:p w14:paraId="6D6B920B">
      <w:pPr>
        <w:pStyle w:val="52"/>
        <w:rPr>
          <w:color w:val="000000" w:themeColor="text1"/>
          <w14:textFill>
            <w14:solidFill>
              <w14:schemeClr w14:val="tx1"/>
            </w14:solidFill>
          </w14:textFill>
        </w:rPr>
      </w:pPr>
      <w:r>
        <w:rPr>
          <w:color w:val="000000" w:themeColor="text1"/>
          <w14:textFill>
            <w14:solidFill>
              <w14:schemeClr w14:val="tx1"/>
            </w14:solidFill>
          </w14:textFill>
        </w:rPr>
        <w:t>为贯彻落实《福建省"十四五"城乡基础设施建设专项规划》(闽政办〔2021〕52号)，根据中共中央办公厅国务院办公厅《农村人居环境整治提升五年行动方案(2021-2025年)》、国家发改委住建部《"十四五"城镇污水处理及资源化利用发展规划》(发改环资〔2021〕827号)、生态环境部农业农村部住建部水利部国家乡村振兴局《农业农村污染治理攻坚战行动方案(2021-2025年)》(环土壤〔2022〕8号)，扎实推进我省"十四五"乡镇生活污水治理，福建省住房和城乡建设厅办公室下达《关于扎实推进"十四五"乡镇生活污水治理工作的通知》(闽建办村〔2022〕2号)，《通知》结合我省实际情况提出了：1）编制"十四五”乡镇生活污水处理设施建设运维实施方案，2）全面推进以县域为单位捆绑打包乡镇生活污水治理实施市场化工作，3）按时完成负荷率低于50%乡镇生活污水处理设施的整改，4）加快启动乡镇生活污水处理费征收工作等四项重点任务。</w:t>
      </w:r>
    </w:p>
    <w:p w14:paraId="25AC6417">
      <w:pPr>
        <w:pStyle w:val="52"/>
        <w:rPr>
          <w:color w:val="000000" w:themeColor="text1"/>
          <w14:textFill>
            <w14:solidFill>
              <w14:schemeClr w14:val="tx1"/>
            </w14:solidFill>
          </w14:textFill>
        </w:rPr>
      </w:pPr>
      <w:r>
        <w:rPr>
          <w:color w:val="000000" w:themeColor="text1"/>
          <w14:textFill>
            <w14:solidFill>
              <w14:schemeClr w14:val="tx1"/>
            </w14:solidFill>
          </w14:textFill>
        </w:rPr>
        <w:t>因此，为贯彻落实《关于扎实推进"十四五"乡镇生活污水治理工作的通知》(闽建办村〔2022〕2号)要求，有序、高效、科学、系统推进晋安区北峰山区乡镇生活污水治理，特编制《晋安区北峰山区“十四五”乡镇生活污水处理设施建设运维实施方案》。</w:t>
      </w:r>
    </w:p>
    <w:p w14:paraId="0F8D7761">
      <w:pPr>
        <w:pStyle w:val="4"/>
        <w:rPr>
          <w:rFonts w:ascii="Times New Roman" w:hAnsi="Times New Roman" w:eastAsiaTheme="minorEastAsia"/>
          <w:color w:val="000000" w:themeColor="text1"/>
          <w14:textFill>
            <w14:solidFill>
              <w14:schemeClr w14:val="tx1"/>
            </w14:solidFill>
          </w14:textFill>
        </w:rPr>
      </w:pPr>
      <w:bookmarkStart w:id="6" w:name="_Toc112693977"/>
      <w:bookmarkStart w:id="7" w:name="_Toc112693842"/>
      <w:bookmarkStart w:id="8" w:name="_Toc112861016"/>
      <w:r>
        <w:rPr>
          <w:rFonts w:hint="eastAsia" w:ascii="宋体" w:hAnsi="宋体" w:eastAsia="宋体" w:cs="宋体"/>
          <w:color w:val="000000" w:themeColor="text1"/>
          <w14:textFill>
            <w14:solidFill>
              <w14:schemeClr w14:val="tx1"/>
            </w14:solidFill>
          </w14:textFill>
        </w:rPr>
        <w:t>指导思想</w:t>
      </w:r>
      <w:bookmarkEnd w:id="6"/>
      <w:bookmarkEnd w:id="7"/>
      <w:bookmarkEnd w:id="8"/>
    </w:p>
    <w:p w14:paraId="2F035E8B">
      <w:pPr>
        <w:pStyle w:val="52"/>
        <w:rPr>
          <w:color w:val="000000" w:themeColor="text1"/>
          <w14:textFill>
            <w14:solidFill>
              <w14:schemeClr w14:val="tx1"/>
            </w14:solidFill>
          </w14:textFill>
        </w:rPr>
      </w:pPr>
      <w:r>
        <w:rPr>
          <w:color w:val="000000" w:themeColor="text1"/>
          <w14:textFill>
            <w14:solidFill>
              <w14:schemeClr w14:val="tx1"/>
            </w14:solidFill>
          </w14:textFill>
        </w:rPr>
        <w:t>以习近平新时代中国特色社会主义思想为指导，全面贯彻党的十九大和十九届历次全会精神，深入贯彻落实习近平总书记来闽考察重要讲话精神，按照省委、省政府的部署要求，践行以人民为中心的发展思想，坚持系统观念，以改善水生态环境质量为目标，以提升城镇污水收集处理效能为导向，以污水处理设施及管网补短板强弱项为抓手，统筹谋划、聚焦重点、问题导向、分类施策、强化管护，加快形成布局合理、系统协调、安全高效、节能低碳的城镇污水收集处理及资源化利用新格局，实现污水处理高质量发展、可持续发展，满足人民群众日益增长的优美生态环境需要。</w:t>
      </w:r>
    </w:p>
    <w:p w14:paraId="28ECF366">
      <w:pPr>
        <w:pStyle w:val="4"/>
        <w:rPr>
          <w:rFonts w:ascii="Times New Roman" w:hAnsi="Times New Roman" w:eastAsiaTheme="minorEastAsia"/>
          <w:color w:val="000000" w:themeColor="text1"/>
          <w14:textFill>
            <w14:solidFill>
              <w14:schemeClr w14:val="tx1"/>
            </w14:solidFill>
          </w14:textFill>
        </w:rPr>
      </w:pPr>
      <w:bookmarkStart w:id="9" w:name="_Toc112693843"/>
      <w:bookmarkStart w:id="10" w:name="_Toc112861017"/>
      <w:bookmarkStart w:id="11" w:name="_Toc112693978"/>
      <w:r>
        <w:rPr>
          <w:rFonts w:hint="eastAsia" w:ascii="宋体" w:hAnsi="宋体" w:eastAsia="宋体" w:cs="宋体"/>
          <w:color w:val="000000" w:themeColor="text1"/>
          <w14:textFill>
            <w14:solidFill>
              <w14:schemeClr w14:val="tx1"/>
            </w14:solidFill>
          </w14:textFill>
        </w:rPr>
        <w:t>基本原则</w:t>
      </w:r>
      <w:bookmarkEnd w:id="9"/>
      <w:bookmarkEnd w:id="10"/>
      <w:bookmarkEnd w:id="11"/>
    </w:p>
    <w:p w14:paraId="2C00F8B8">
      <w:pPr>
        <w:pStyle w:val="52"/>
        <w:rPr>
          <w:color w:val="000000" w:themeColor="text1"/>
          <w14:textFill>
            <w14:solidFill>
              <w14:schemeClr w14:val="tx1"/>
            </w14:solidFill>
          </w14:textFill>
        </w:rPr>
      </w:pPr>
      <w:r>
        <w:rPr>
          <w:color w:val="000000" w:themeColor="text1"/>
          <w14:textFill>
            <w14:solidFill>
              <w14:schemeClr w14:val="tx1"/>
            </w14:solidFill>
          </w14:textFill>
        </w:rPr>
        <w:t>结合晋安区实际情况，本方案编制主要遵循科学规划、统筹安排、突出重点、梯次推进等原则，充分调查北峰山区乡镇水环境质量、污水排放现状和治理需求，考虑当地经济社会发展水平、村民生产生活习惯、污水产排情况和周边环境承载水平，综合评估乡镇生活污水治理的环境效益、经济效益和社会效益，因地制宜对现状污水处理提出技术成熟、经济实用、管理方便、运行稳定的实施方案。</w:t>
      </w:r>
    </w:p>
    <w:p w14:paraId="0BEBCE52">
      <w:pPr>
        <w:pStyle w:val="52"/>
        <w:rPr>
          <w:color w:val="000000" w:themeColor="text1"/>
          <w14:textFill>
            <w14:solidFill>
              <w14:schemeClr w14:val="tx1"/>
            </w14:solidFill>
          </w14:textFill>
        </w:rPr>
      </w:pPr>
      <w:r>
        <w:rPr>
          <w:color w:val="000000" w:themeColor="text1"/>
          <w14:textFill>
            <w14:solidFill>
              <w14:schemeClr w14:val="tx1"/>
            </w14:solidFill>
          </w14:textFill>
        </w:rPr>
        <w:t>（1）因村制宜，分类整改。坚持应收尽收、宜散则散，综合考虑集镇区各自然村村庄自然禀赋、经济社会发展、污水产排及处置现状、生态环境敏感程度、受纳水体环境容量等实际情况，综合评判乡镇生活污水治理的环境效益、社会效益和经济效益，因村制宜确定生活污水整改项目。有条件的地方要优先接入集镇污水管网统一处理；确实无条件且居住较为分散、地形地貌复杂的村民，采取就近利用和分散处理的治理模式。</w:t>
      </w:r>
    </w:p>
    <w:p w14:paraId="043FE662">
      <w:pPr>
        <w:pStyle w:val="52"/>
        <w:rPr>
          <w:color w:val="000000" w:themeColor="text1"/>
          <w14:textFill>
            <w14:solidFill>
              <w14:schemeClr w14:val="tx1"/>
            </w14:solidFill>
          </w14:textFill>
        </w:rPr>
      </w:pPr>
      <w:r>
        <w:rPr>
          <w:color w:val="000000" w:themeColor="text1"/>
          <w14:textFill>
            <w14:solidFill>
              <w14:schemeClr w14:val="tx1"/>
            </w14:solidFill>
          </w14:textFill>
        </w:rPr>
        <w:t>（2）突出重点，梯次推进。按照“突出重点、先易后难、全面覆盖”的工作思路，综合现阶段全区经济发展水平、财政投入能力，合理确定治理目标任务和推进时序，不搞“一刀切”、“齐步走”。</w:t>
      </w:r>
    </w:p>
    <w:p w14:paraId="77340602">
      <w:pPr>
        <w:pStyle w:val="52"/>
        <w:rPr>
          <w:color w:val="000000" w:themeColor="text1"/>
          <w14:textFill>
            <w14:solidFill>
              <w14:schemeClr w14:val="tx1"/>
            </w14:solidFill>
          </w14:textFill>
        </w:rPr>
      </w:pPr>
      <w:r>
        <w:rPr>
          <w:color w:val="000000" w:themeColor="text1"/>
          <w14:textFill>
            <w14:solidFill>
              <w14:schemeClr w14:val="tx1"/>
            </w14:solidFill>
          </w14:textFill>
        </w:rPr>
        <w:t>（3）建管并重，长效运行。坚持以县级行政区域为单元实行北峰山区乡镇生活污水处理统一运行、统一管理，提高乡镇生活污水设施运营专业化、社会化、智慧化，完善乡镇生活污水运维绩效考核体系，确保污水处理设施和配套管网长期稳定正常运行。</w:t>
      </w:r>
    </w:p>
    <w:p w14:paraId="5E2A46D3">
      <w:pPr>
        <w:pStyle w:val="52"/>
        <w:rPr>
          <w:color w:val="000000" w:themeColor="text1"/>
          <w14:textFill>
            <w14:solidFill>
              <w14:schemeClr w14:val="tx1"/>
            </w14:solidFill>
          </w14:textFill>
        </w:rPr>
      </w:pPr>
      <w:r>
        <w:rPr>
          <w:color w:val="000000" w:themeColor="text1"/>
          <w14:textFill>
            <w14:solidFill>
              <w14:schemeClr w14:val="tx1"/>
            </w14:solidFill>
          </w14:textFill>
        </w:rPr>
        <w:t>（4）政府主导，社会参与。强化地方政府主体责任，加大财政资金投入力度，加强部门资源和力量整合，加强宣传引导，提高村民主人翁意识，引导群众参与建设和运维管理。</w:t>
      </w:r>
    </w:p>
    <w:p w14:paraId="4DBCF744">
      <w:pPr>
        <w:pStyle w:val="4"/>
        <w:rPr>
          <w:rFonts w:ascii="Times New Roman" w:hAnsi="Times New Roman" w:eastAsiaTheme="minorEastAsia"/>
          <w:color w:val="000000" w:themeColor="text1"/>
          <w14:textFill>
            <w14:solidFill>
              <w14:schemeClr w14:val="tx1"/>
            </w14:solidFill>
          </w14:textFill>
        </w:rPr>
      </w:pPr>
      <w:bookmarkStart w:id="12" w:name="_Toc112861018"/>
      <w:bookmarkStart w:id="13" w:name="_Toc112693844"/>
      <w:bookmarkStart w:id="14" w:name="_Toc112693979"/>
      <w:r>
        <w:rPr>
          <w:rFonts w:hint="eastAsia" w:ascii="宋体" w:hAnsi="宋体" w:eastAsia="宋体" w:cs="宋体"/>
          <w:color w:val="000000" w:themeColor="text1"/>
          <w14:textFill>
            <w14:solidFill>
              <w14:schemeClr w14:val="tx1"/>
            </w14:solidFill>
          </w14:textFill>
        </w:rPr>
        <w:t>工程范围</w:t>
      </w:r>
      <w:bookmarkEnd w:id="12"/>
      <w:bookmarkEnd w:id="13"/>
      <w:bookmarkEnd w:id="14"/>
    </w:p>
    <w:p w14:paraId="7313B1D4">
      <w:pPr>
        <w:pStyle w:val="5"/>
        <w:spacing w:line="360" w:lineRule="auto"/>
        <w:ind w:firstLine="480" w:firstLineChars="200"/>
        <w:rPr>
          <w:color w:val="000000" w:themeColor="text1"/>
          <w:sz w:val="24"/>
          <w:szCs w:val="28"/>
          <w:lang w:bidi="ar"/>
          <w14:textFill>
            <w14:solidFill>
              <w14:schemeClr w14:val="tx1"/>
            </w14:solidFill>
          </w14:textFill>
        </w:rPr>
      </w:pPr>
      <w:r>
        <w:rPr>
          <w:color w:val="000000" w:themeColor="text1"/>
          <w:sz w:val="24"/>
          <w:szCs w:val="28"/>
          <w:lang w:bidi="ar"/>
          <w14:textFill>
            <w14:solidFill>
              <w14:schemeClr w14:val="tx1"/>
            </w14:solidFill>
          </w14:textFill>
        </w:rPr>
        <w:t>覆盖晋安区北峰山区3个乡镇集镇区范围。具体乡镇目录见表1.4-1。</w:t>
      </w:r>
    </w:p>
    <w:p w14:paraId="6EFCF145">
      <w:pPr>
        <w:pStyle w:val="442"/>
        <w:adjustRightInd w:val="0"/>
        <w:snapToGrid w:val="0"/>
        <w:rPr>
          <w:color w:val="000000" w:themeColor="text1"/>
          <w:lang w:bidi="ar"/>
          <w14:textFill>
            <w14:solidFill>
              <w14:schemeClr w14:val="tx1"/>
            </w14:solidFill>
          </w14:textFill>
        </w:rPr>
      </w:pPr>
      <w:r>
        <w:rPr>
          <w:color w:val="000000" w:themeColor="text1"/>
          <w:lang w:bidi="ar"/>
          <w14:textFill>
            <w14:solidFill>
              <w14:schemeClr w14:val="tx1"/>
            </w14:solidFill>
          </w14:textFill>
        </w:rPr>
        <w:t>表1.4-1本工程涉及村庄汇总表</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40"/>
        <w:gridCol w:w="876"/>
        <w:gridCol w:w="888"/>
        <w:gridCol w:w="1048"/>
        <w:gridCol w:w="1048"/>
        <w:gridCol w:w="1048"/>
        <w:gridCol w:w="1033"/>
        <w:gridCol w:w="1003"/>
        <w:gridCol w:w="1034"/>
      </w:tblGrid>
      <w:tr w14:paraId="471C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1" w:type="pct"/>
            <w:tcBorders>
              <w:top w:val="single" w:color="auto" w:sz="4" w:space="0"/>
              <w:left w:val="single" w:color="auto" w:sz="4" w:space="0"/>
              <w:bottom w:val="single" w:color="auto" w:sz="4" w:space="0"/>
              <w:right w:val="single" w:color="auto" w:sz="4" w:space="0"/>
            </w:tcBorders>
            <w:shd w:val="clear" w:color="auto" w:fill="auto"/>
            <w:vAlign w:val="center"/>
          </w:tcPr>
          <w:p w14:paraId="09AE5BD8">
            <w:pPr>
              <w:autoSpaceDE w:val="0"/>
              <w:autoSpaceDN w:val="0"/>
              <w:adjustRightInd w:val="0"/>
              <w:snapToGrid w:val="0"/>
              <w:jc w:val="center"/>
              <w:rPr>
                <w:b/>
                <w:color w:val="000000" w:themeColor="text1"/>
                <w:kern w:val="0"/>
                <w14:textFill>
                  <w14:solidFill>
                    <w14:schemeClr w14:val="tx1"/>
                  </w14:solidFill>
                </w14:textFill>
              </w:rPr>
            </w:pPr>
            <w:r>
              <w:rPr>
                <w:b/>
                <w:color w:val="000000" w:themeColor="text1"/>
                <w:kern w:val="0"/>
                <w:lang w:bidi="ar"/>
                <w14:textFill>
                  <w14:solidFill>
                    <w14:schemeClr w14:val="tx1"/>
                  </w14:solidFill>
                </w14:textFill>
              </w:rPr>
              <w:t>序号</w:t>
            </w:r>
          </w:p>
        </w:tc>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7CD64674">
            <w:pPr>
              <w:autoSpaceDE w:val="0"/>
              <w:autoSpaceDN w:val="0"/>
              <w:adjustRightInd w:val="0"/>
              <w:snapToGrid w:val="0"/>
              <w:jc w:val="center"/>
              <w:rPr>
                <w:b/>
                <w:color w:val="000000" w:themeColor="text1"/>
                <w:kern w:val="0"/>
                <w14:textFill>
                  <w14:solidFill>
                    <w14:schemeClr w14:val="tx1"/>
                  </w14:solidFill>
                </w14:textFill>
              </w:rPr>
            </w:pPr>
            <w:r>
              <w:rPr>
                <w:b/>
                <w:color w:val="000000" w:themeColor="text1"/>
                <w:kern w:val="0"/>
                <w:lang w:bidi="ar"/>
                <w14:textFill>
                  <w14:solidFill>
                    <w14:schemeClr w14:val="tx1"/>
                  </w14:solidFill>
                </w14:textFill>
              </w:rPr>
              <w:t>乡镇名称</w:t>
            </w:r>
          </w:p>
        </w:tc>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266E3870">
            <w:pPr>
              <w:autoSpaceDE w:val="0"/>
              <w:autoSpaceDN w:val="0"/>
              <w:adjustRightInd w:val="0"/>
              <w:snapToGrid w:val="0"/>
              <w:jc w:val="center"/>
              <w:rPr>
                <w:b/>
                <w:color w:val="000000" w:themeColor="text1"/>
                <w:kern w:val="0"/>
                <w14:textFill>
                  <w14:solidFill>
                    <w14:schemeClr w14:val="tx1"/>
                  </w14:solidFill>
                </w14:textFill>
              </w:rPr>
            </w:pPr>
            <w:r>
              <w:rPr>
                <w:b/>
                <w:color w:val="000000" w:themeColor="text1"/>
                <w:kern w:val="0"/>
                <w:lang w:bidi="ar"/>
                <w14:textFill>
                  <w14:solidFill>
                    <w14:schemeClr w14:val="tx1"/>
                  </w14:solidFill>
                </w14:textFill>
              </w:rPr>
              <w:t>村庄名称</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07F85D05">
            <w:pPr>
              <w:adjustRightInd w:val="0"/>
              <w:snapToGrid w:val="0"/>
              <w:jc w:val="center"/>
              <w:rPr>
                <w:b/>
                <w:color w:val="000000" w:themeColor="text1"/>
                <w14:textFill>
                  <w14:solidFill>
                    <w14:schemeClr w14:val="tx1"/>
                  </w14:solidFill>
                </w14:textFill>
              </w:rPr>
            </w:pPr>
            <w:r>
              <w:rPr>
                <w:b/>
                <w:color w:val="000000" w:themeColor="text1"/>
                <w:lang w:bidi="ar"/>
                <w14:textFill>
                  <w14:solidFill>
                    <w14:schemeClr w14:val="tx1"/>
                  </w14:solidFill>
                </w14:textFill>
              </w:rPr>
              <w:t>户籍户数/户</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6B6E1BA9">
            <w:pPr>
              <w:adjustRightInd w:val="0"/>
              <w:snapToGrid w:val="0"/>
              <w:jc w:val="center"/>
              <w:rPr>
                <w:b/>
                <w:color w:val="000000" w:themeColor="text1"/>
                <w14:textFill>
                  <w14:solidFill>
                    <w14:schemeClr w14:val="tx1"/>
                  </w14:solidFill>
                </w14:textFill>
              </w:rPr>
            </w:pPr>
            <w:r>
              <w:rPr>
                <w:b/>
                <w:color w:val="000000" w:themeColor="text1"/>
                <w:lang w:bidi="ar"/>
                <w14:textFill>
                  <w14:solidFill>
                    <w14:schemeClr w14:val="tx1"/>
                  </w14:solidFill>
                </w14:textFill>
              </w:rPr>
              <w:t>户籍人口/人</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21F13EA3">
            <w:pPr>
              <w:adjustRightInd w:val="0"/>
              <w:snapToGrid w:val="0"/>
              <w:jc w:val="center"/>
              <w:rPr>
                <w:b/>
                <w:color w:val="000000" w:themeColor="text1"/>
                <w14:textFill>
                  <w14:solidFill>
                    <w14:schemeClr w14:val="tx1"/>
                  </w14:solidFill>
                </w14:textFill>
              </w:rPr>
            </w:pPr>
            <w:r>
              <w:rPr>
                <w:b/>
                <w:color w:val="000000" w:themeColor="text1"/>
                <w:lang w:bidi="ar"/>
                <w14:textFill>
                  <w14:solidFill>
                    <w14:schemeClr w14:val="tx1"/>
                  </w14:solidFill>
                </w14:textFill>
              </w:rPr>
              <w:t>常住户数/户</w:t>
            </w:r>
          </w:p>
        </w:tc>
        <w:tc>
          <w:tcPr>
            <w:tcW w:w="599" w:type="pct"/>
            <w:tcBorders>
              <w:top w:val="single" w:color="auto" w:sz="4" w:space="0"/>
              <w:left w:val="single" w:color="auto" w:sz="4" w:space="0"/>
              <w:bottom w:val="single" w:color="auto" w:sz="4" w:space="0"/>
              <w:right w:val="single" w:color="auto" w:sz="4" w:space="0"/>
            </w:tcBorders>
            <w:shd w:val="clear" w:color="auto" w:fill="auto"/>
            <w:vAlign w:val="center"/>
          </w:tcPr>
          <w:p w14:paraId="268DB450">
            <w:pPr>
              <w:adjustRightInd w:val="0"/>
              <w:snapToGrid w:val="0"/>
              <w:jc w:val="center"/>
              <w:rPr>
                <w:b/>
                <w:color w:val="000000" w:themeColor="text1"/>
                <w14:textFill>
                  <w14:solidFill>
                    <w14:schemeClr w14:val="tx1"/>
                  </w14:solidFill>
                </w14:textFill>
              </w:rPr>
            </w:pPr>
            <w:r>
              <w:rPr>
                <w:b/>
                <w:color w:val="000000" w:themeColor="text1"/>
                <w:lang w:bidi="ar"/>
                <w14:textFill>
                  <w14:solidFill>
                    <w14:schemeClr w14:val="tx1"/>
                  </w14:solidFill>
                </w14:textFill>
              </w:rPr>
              <w:t>常住户籍人口/人</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4B886462">
            <w:pPr>
              <w:adjustRightInd w:val="0"/>
              <w:snapToGrid w:val="0"/>
              <w:jc w:val="center"/>
              <w:rPr>
                <w:b/>
                <w:color w:val="000000" w:themeColor="text1"/>
                <w14:textFill>
                  <w14:solidFill>
                    <w14:schemeClr w14:val="tx1"/>
                  </w14:solidFill>
                </w14:textFill>
              </w:rPr>
            </w:pPr>
            <w:r>
              <w:rPr>
                <w:b/>
                <w:color w:val="000000" w:themeColor="text1"/>
                <w:lang w:bidi="ar"/>
                <w14:textFill>
                  <w14:solidFill>
                    <w14:schemeClr w14:val="tx1"/>
                  </w14:solidFill>
                </w14:textFill>
              </w:rPr>
              <w:t>日均流动人口</w:t>
            </w:r>
          </w:p>
        </w:tc>
        <w:tc>
          <w:tcPr>
            <w:tcW w:w="600" w:type="pct"/>
            <w:tcBorders>
              <w:top w:val="single" w:color="auto" w:sz="4" w:space="0"/>
              <w:left w:val="single" w:color="auto" w:sz="4" w:space="0"/>
              <w:bottom w:val="single" w:color="auto" w:sz="4" w:space="0"/>
              <w:right w:val="single" w:color="auto" w:sz="4" w:space="0"/>
            </w:tcBorders>
            <w:shd w:val="clear" w:color="auto" w:fill="auto"/>
            <w:vAlign w:val="center"/>
          </w:tcPr>
          <w:p w14:paraId="20717A62">
            <w:pPr>
              <w:adjustRightInd w:val="0"/>
              <w:snapToGrid w:val="0"/>
              <w:jc w:val="center"/>
              <w:rPr>
                <w:b/>
                <w:color w:val="000000" w:themeColor="text1"/>
                <w14:textFill>
                  <w14:solidFill>
                    <w14:schemeClr w14:val="tx1"/>
                  </w14:solidFill>
                </w14:textFill>
              </w:rPr>
            </w:pPr>
            <w:r>
              <w:rPr>
                <w:b/>
                <w:color w:val="000000" w:themeColor="text1"/>
                <w:lang w:bidi="ar"/>
                <w14:textFill>
                  <w14:solidFill>
                    <w14:schemeClr w14:val="tx1"/>
                  </w14:solidFill>
                </w14:textFill>
              </w:rPr>
              <w:t>其他</w:t>
            </w:r>
          </w:p>
        </w:tc>
      </w:tr>
      <w:tr w14:paraId="4FA7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1" w:type="pct"/>
            <w:tcBorders>
              <w:top w:val="single" w:color="auto" w:sz="4" w:space="0"/>
              <w:left w:val="single" w:color="auto" w:sz="4" w:space="0"/>
              <w:bottom w:val="single" w:color="auto" w:sz="4" w:space="0"/>
              <w:right w:val="single" w:color="auto" w:sz="4" w:space="0"/>
            </w:tcBorders>
            <w:shd w:val="clear" w:color="auto" w:fill="auto"/>
            <w:vAlign w:val="center"/>
          </w:tcPr>
          <w:p w14:paraId="7366F215">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lang w:bidi="ar"/>
                <w14:textFill>
                  <w14:solidFill>
                    <w14:schemeClr w14:val="tx1"/>
                  </w14:solidFill>
                </w14:textFill>
              </w:rPr>
              <w:t>1</w:t>
            </w:r>
          </w:p>
        </w:tc>
        <w:tc>
          <w:tcPr>
            <w:tcW w:w="50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35AA47">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lang w:bidi="ar"/>
                <w14:textFill>
                  <w14:solidFill>
                    <w14:schemeClr w14:val="tx1"/>
                  </w14:solidFill>
                </w14:textFill>
              </w:rPr>
              <w:t>宦溪镇</w:t>
            </w:r>
          </w:p>
        </w:tc>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09F2BEC7">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lang w:bidi="ar"/>
                <w14:textFill>
                  <w14:solidFill>
                    <w14:schemeClr w14:val="tx1"/>
                  </w14:solidFill>
                </w14:textFill>
              </w:rPr>
              <w:t>宦溪村</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21F738AD">
            <w:pPr>
              <w:widowControl/>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170</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294156B4">
            <w:pPr>
              <w:widowControl/>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580</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7DED7496">
            <w:pPr>
              <w:widowControl/>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160</w:t>
            </w:r>
          </w:p>
        </w:tc>
        <w:tc>
          <w:tcPr>
            <w:tcW w:w="599" w:type="pct"/>
            <w:tcBorders>
              <w:top w:val="single" w:color="auto" w:sz="4" w:space="0"/>
              <w:left w:val="single" w:color="auto" w:sz="4" w:space="0"/>
              <w:bottom w:val="single" w:color="auto" w:sz="4" w:space="0"/>
              <w:right w:val="single" w:color="auto" w:sz="4" w:space="0"/>
            </w:tcBorders>
            <w:shd w:val="clear" w:color="auto" w:fill="auto"/>
            <w:vAlign w:val="center"/>
          </w:tcPr>
          <w:p w14:paraId="57C406B5">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320</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26A7217D">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1000</w:t>
            </w:r>
          </w:p>
        </w:tc>
        <w:tc>
          <w:tcPr>
            <w:tcW w:w="600" w:type="pct"/>
            <w:tcBorders>
              <w:top w:val="single" w:color="auto" w:sz="4" w:space="0"/>
              <w:left w:val="single" w:color="auto" w:sz="4" w:space="0"/>
              <w:bottom w:val="single" w:color="auto" w:sz="4" w:space="0"/>
              <w:right w:val="single" w:color="auto" w:sz="4" w:space="0"/>
            </w:tcBorders>
            <w:shd w:val="clear" w:color="auto" w:fill="auto"/>
            <w:vAlign w:val="center"/>
          </w:tcPr>
          <w:p w14:paraId="1F8F2CCC">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宦溪商贸学校约3000人</w:t>
            </w:r>
          </w:p>
        </w:tc>
      </w:tr>
      <w:tr w14:paraId="6E12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1" w:type="pct"/>
            <w:tcBorders>
              <w:top w:val="single" w:color="auto" w:sz="4" w:space="0"/>
              <w:left w:val="single" w:color="auto" w:sz="4" w:space="0"/>
              <w:bottom w:val="single" w:color="auto" w:sz="4" w:space="0"/>
              <w:right w:val="single" w:color="auto" w:sz="4" w:space="0"/>
            </w:tcBorders>
            <w:shd w:val="clear" w:color="auto" w:fill="auto"/>
            <w:vAlign w:val="center"/>
          </w:tcPr>
          <w:p w14:paraId="0E45332A">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lang w:bidi="ar"/>
                <w14:textFill>
                  <w14:solidFill>
                    <w14:schemeClr w14:val="tx1"/>
                  </w14:solidFill>
                </w14:textFill>
              </w:rPr>
              <w:t>2</w:t>
            </w:r>
          </w:p>
        </w:tc>
        <w:tc>
          <w:tcPr>
            <w:tcW w:w="50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107BE1">
            <w:pPr>
              <w:rPr>
                <w:color w:val="000000" w:themeColor="text1"/>
                <w:sz w:val="20"/>
                <w:szCs w:val="20"/>
                <w14:textFill>
                  <w14:solidFill>
                    <w14:schemeClr w14:val="tx1"/>
                  </w14:solidFill>
                </w14:textFill>
              </w:rPr>
            </w:pPr>
          </w:p>
        </w:tc>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5ADE5A8E">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lang w:bidi="ar"/>
                <w14:textFill>
                  <w14:solidFill>
                    <w14:schemeClr w14:val="tx1"/>
                  </w14:solidFill>
                </w14:textFill>
              </w:rPr>
              <w:t>牛项村</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68DE6F23">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12</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10CAA5C6">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60</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1FC858E6">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12</w:t>
            </w:r>
          </w:p>
        </w:tc>
        <w:tc>
          <w:tcPr>
            <w:tcW w:w="599" w:type="pct"/>
            <w:tcBorders>
              <w:top w:val="single" w:color="auto" w:sz="4" w:space="0"/>
              <w:left w:val="single" w:color="auto" w:sz="4" w:space="0"/>
              <w:bottom w:val="single" w:color="auto" w:sz="4" w:space="0"/>
              <w:right w:val="single" w:color="auto" w:sz="4" w:space="0"/>
            </w:tcBorders>
            <w:shd w:val="clear" w:color="auto" w:fill="auto"/>
            <w:vAlign w:val="center"/>
          </w:tcPr>
          <w:p w14:paraId="48F32E11">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60</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1859EC3A">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w:t>
            </w:r>
          </w:p>
        </w:tc>
        <w:tc>
          <w:tcPr>
            <w:tcW w:w="600" w:type="pct"/>
            <w:tcBorders>
              <w:top w:val="single" w:color="auto" w:sz="4" w:space="0"/>
              <w:left w:val="single" w:color="auto" w:sz="4" w:space="0"/>
              <w:bottom w:val="single" w:color="auto" w:sz="4" w:space="0"/>
              <w:right w:val="single" w:color="auto" w:sz="4" w:space="0"/>
            </w:tcBorders>
            <w:shd w:val="clear" w:color="auto" w:fill="auto"/>
            <w:vAlign w:val="center"/>
          </w:tcPr>
          <w:p w14:paraId="37CCACAA">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w:t>
            </w:r>
          </w:p>
        </w:tc>
      </w:tr>
      <w:tr w14:paraId="213D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1" w:type="pct"/>
            <w:tcBorders>
              <w:top w:val="single" w:color="auto" w:sz="4" w:space="0"/>
              <w:left w:val="single" w:color="auto" w:sz="4" w:space="0"/>
              <w:bottom w:val="single" w:color="auto" w:sz="4" w:space="0"/>
              <w:right w:val="single" w:color="auto" w:sz="4" w:space="0"/>
            </w:tcBorders>
            <w:shd w:val="clear" w:color="auto" w:fill="auto"/>
            <w:vAlign w:val="center"/>
          </w:tcPr>
          <w:p w14:paraId="14F7B94A">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lang w:bidi="ar"/>
                <w14:textFill>
                  <w14:solidFill>
                    <w14:schemeClr w14:val="tx1"/>
                  </w14:solidFill>
                </w14:textFill>
              </w:rPr>
              <w:t>3</w:t>
            </w:r>
          </w:p>
        </w:tc>
        <w:tc>
          <w:tcPr>
            <w:tcW w:w="50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4CDDBF">
            <w:pPr>
              <w:rPr>
                <w:color w:val="000000" w:themeColor="text1"/>
                <w:sz w:val="20"/>
                <w:szCs w:val="20"/>
                <w14:textFill>
                  <w14:solidFill>
                    <w14:schemeClr w14:val="tx1"/>
                  </w14:solidFill>
                </w14:textFill>
              </w:rPr>
            </w:pPr>
          </w:p>
        </w:tc>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3F771D65">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lang w:bidi="ar"/>
                <w14:textFill>
                  <w14:solidFill>
                    <w14:schemeClr w14:val="tx1"/>
                  </w14:solidFill>
                </w14:textFill>
              </w:rPr>
              <w:t>亥由村</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257F1327">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10</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0466AE73">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60</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70C2DCAF">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10</w:t>
            </w:r>
          </w:p>
        </w:tc>
        <w:tc>
          <w:tcPr>
            <w:tcW w:w="599" w:type="pct"/>
            <w:tcBorders>
              <w:top w:val="single" w:color="auto" w:sz="4" w:space="0"/>
              <w:left w:val="single" w:color="auto" w:sz="4" w:space="0"/>
              <w:bottom w:val="single" w:color="auto" w:sz="4" w:space="0"/>
              <w:right w:val="single" w:color="auto" w:sz="4" w:space="0"/>
            </w:tcBorders>
            <w:shd w:val="clear" w:color="auto" w:fill="auto"/>
            <w:vAlign w:val="center"/>
          </w:tcPr>
          <w:p w14:paraId="6786B024">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60</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1B68E12A">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w:t>
            </w:r>
          </w:p>
        </w:tc>
        <w:tc>
          <w:tcPr>
            <w:tcW w:w="600" w:type="pct"/>
            <w:tcBorders>
              <w:top w:val="single" w:color="auto" w:sz="4" w:space="0"/>
              <w:left w:val="single" w:color="auto" w:sz="4" w:space="0"/>
              <w:bottom w:val="single" w:color="auto" w:sz="4" w:space="0"/>
              <w:right w:val="single" w:color="auto" w:sz="4" w:space="0"/>
            </w:tcBorders>
            <w:shd w:val="clear" w:color="auto" w:fill="auto"/>
            <w:vAlign w:val="center"/>
          </w:tcPr>
          <w:p w14:paraId="60A8B95C">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宦溪工业园区约500人</w:t>
            </w:r>
          </w:p>
        </w:tc>
      </w:tr>
      <w:tr w14:paraId="66F9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1" w:type="pct"/>
            <w:tcBorders>
              <w:top w:val="single" w:color="auto" w:sz="4" w:space="0"/>
              <w:left w:val="single" w:color="auto" w:sz="4" w:space="0"/>
              <w:bottom w:val="single" w:color="auto" w:sz="4" w:space="0"/>
              <w:right w:val="single" w:color="auto" w:sz="4" w:space="0"/>
            </w:tcBorders>
            <w:shd w:val="clear" w:color="auto" w:fill="auto"/>
            <w:vAlign w:val="center"/>
          </w:tcPr>
          <w:p w14:paraId="12B06598">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4</w:t>
            </w:r>
          </w:p>
        </w:tc>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55E8FBB9">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lang w:bidi="ar"/>
                <w14:textFill>
                  <w14:solidFill>
                    <w14:schemeClr w14:val="tx1"/>
                  </w14:solidFill>
                </w14:textFill>
              </w:rPr>
              <w:t>寿山乡</w:t>
            </w:r>
          </w:p>
        </w:tc>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0F0D9FF5">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lang w:bidi="ar"/>
                <w14:textFill>
                  <w14:solidFill>
                    <w14:schemeClr w14:val="tx1"/>
                  </w14:solidFill>
                </w14:textFill>
              </w:rPr>
              <w:t>岭头村</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2C4291C2">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125</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1FDF0E9D">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432</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78D24BE2">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125</w:t>
            </w:r>
          </w:p>
        </w:tc>
        <w:tc>
          <w:tcPr>
            <w:tcW w:w="599" w:type="pct"/>
            <w:tcBorders>
              <w:top w:val="single" w:color="auto" w:sz="4" w:space="0"/>
              <w:left w:val="single" w:color="auto" w:sz="4" w:space="0"/>
              <w:bottom w:val="single" w:color="auto" w:sz="4" w:space="0"/>
              <w:right w:val="single" w:color="auto" w:sz="4" w:space="0"/>
            </w:tcBorders>
            <w:shd w:val="clear" w:color="auto" w:fill="auto"/>
            <w:vAlign w:val="center"/>
          </w:tcPr>
          <w:p w14:paraId="166B0A84">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299</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7AD5F088">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500</w:t>
            </w:r>
          </w:p>
        </w:tc>
        <w:tc>
          <w:tcPr>
            <w:tcW w:w="600" w:type="pct"/>
            <w:tcBorders>
              <w:top w:val="single" w:color="auto" w:sz="4" w:space="0"/>
              <w:left w:val="single" w:color="auto" w:sz="4" w:space="0"/>
              <w:bottom w:val="single" w:color="auto" w:sz="4" w:space="0"/>
              <w:right w:val="single" w:color="auto" w:sz="4" w:space="0"/>
            </w:tcBorders>
            <w:shd w:val="clear" w:color="auto" w:fill="auto"/>
            <w:vAlign w:val="center"/>
          </w:tcPr>
          <w:p w14:paraId="151740CF">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融信有墅小区规划8000人</w:t>
            </w:r>
          </w:p>
        </w:tc>
      </w:tr>
      <w:tr w14:paraId="39C0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1" w:type="pct"/>
            <w:tcBorders>
              <w:top w:val="single" w:color="auto" w:sz="4" w:space="0"/>
              <w:left w:val="single" w:color="auto" w:sz="4" w:space="0"/>
              <w:bottom w:val="single" w:color="auto" w:sz="4" w:space="0"/>
              <w:right w:val="single" w:color="auto" w:sz="4" w:space="0"/>
            </w:tcBorders>
            <w:shd w:val="clear" w:color="auto" w:fill="auto"/>
            <w:vAlign w:val="center"/>
          </w:tcPr>
          <w:p w14:paraId="07669407">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5</w:t>
            </w:r>
          </w:p>
        </w:tc>
        <w:tc>
          <w:tcPr>
            <w:tcW w:w="508" w:type="pct"/>
            <w:tcBorders>
              <w:top w:val="single" w:color="auto" w:sz="4" w:space="0"/>
              <w:left w:val="single" w:color="auto" w:sz="4" w:space="0"/>
              <w:bottom w:val="single" w:color="auto" w:sz="4" w:space="0"/>
              <w:right w:val="single" w:color="auto" w:sz="4" w:space="0"/>
            </w:tcBorders>
            <w:shd w:val="clear" w:color="auto" w:fill="auto"/>
            <w:vAlign w:val="center"/>
          </w:tcPr>
          <w:p w14:paraId="309D0474">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lang w:bidi="ar"/>
                <w14:textFill>
                  <w14:solidFill>
                    <w14:schemeClr w14:val="tx1"/>
                  </w14:solidFill>
                </w14:textFill>
              </w:rPr>
              <w:t>日溪乡</w:t>
            </w:r>
          </w:p>
        </w:tc>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475084FC">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lang w:bidi="ar"/>
                <w14:textFill>
                  <w14:solidFill>
                    <w14:schemeClr w14:val="tx1"/>
                  </w14:solidFill>
                </w14:textFill>
              </w:rPr>
              <w:t>日溪村</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54DE9493">
            <w:pPr>
              <w:widowControl/>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253</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495CDB69">
            <w:pPr>
              <w:widowControl/>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862</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0A0F5A14">
            <w:pPr>
              <w:widowControl/>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205</w:t>
            </w:r>
          </w:p>
        </w:tc>
        <w:tc>
          <w:tcPr>
            <w:tcW w:w="599" w:type="pct"/>
            <w:tcBorders>
              <w:top w:val="single" w:color="auto" w:sz="4" w:space="0"/>
              <w:left w:val="single" w:color="auto" w:sz="4" w:space="0"/>
              <w:bottom w:val="single" w:color="auto" w:sz="4" w:space="0"/>
              <w:right w:val="single" w:color="auto" w:sz="4" w:space="0"/>
            </w:tcBorders>
            <w:shd w:val="clear" w:color="auto" w:fill="auto"/>
            <w:vAlign w:val="center"/>
          </w:tcPr>
          <w:p w14:paraId="12F0D0AA">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486</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7D52466C">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200</w:t>
            </w:r>
          </w:p>
        </w:tc>
        <w:tc>
          <w:tcPr>
            <w:tcW w:w="600" w:type="pct"/>
            <w:tcBorders>
              <w:top w:val="single" w:color="auto" w:sz="4" w:space="0"/>
              <w:left w:val="single" w:color="auto" w:sz="4" w:space="0"/>
              <w:bottom w:val="single" w:color="auto" w:sz="4" w:space="0"/>
              <w:right w:val="single" w:color="auto" w:sz="4" w:space="0"/>
            </w:tcBorders>
            <w:shd w:val="clear" w:color="auto" w:fill="auto"/>
            <w:vAlign w:val="center"/>
          </w:tcPr>
          <w:p w14:paraId="4CA427CE">
            <w:pPr>
              <w:snapToGrid w:val="0"/>
              <w:jc w:val="center"/>
              <w:rPr>
                <w:color w:val="000000" w:themeColor="text1"/>
                <w14:textFill>
                  <w14:solidFill>
                    <w14:schemeClr w14:val="tx1"/>
                  </w14:solidFill>
                </w14:textFill>
              </w:rPr>
            </w:pPr>
            <w:r>
              <w:rPr>
                <w:color w:val="000000" w:themeColor="text1"/>
                <w:lang w:bidi="ar"/>
                <w14:textFill>
                  <w14:solidFill>
                    <w14:schemeClr w14:val="tx1"/>
                  </w14:solidFill>
                </w14:textFill>
              </w:rPr>
              <w:t>—</w:t>
            </w:r>
          </w:p>
        </w:tc>
      </w:tr>
    </w:tbl>
    <w:p w14:paraId="64374581">
      <w:pPr>
        <w:pStyle w:val="4"/>
        <w:rPr>
          <w:rFonts w:ascii="Times New Roman" w:hAnsi="Times New Roman" w:eastAsiaTheme="minorEastAsia"/>
          <w:color w:val="000000" w:themeColor="text1"/>
          <w14:textFill>
            <w14:solidFill>
              <w14:schemeClr w14:val="tx1"/>
            </w14:solidFill>
          </w14:textFill>
        </w:rPr>
      </w:pPr>
      <w:bookmarkStart w:id="15" w:name="_Toc112693980"/>
      <w:bookmarkStart w:id="16" w:name="_Toc112693845"/>
      <w:bookmarkStart w:id="17" w:name="_Toc112861019"/>
      <w:r>
        <w:rPr>
          <w:rFonts w:hint="eastAsia" w:ascii="宋体" w:hAnsi="宋体" w:eastAsia="宋体" w:cs="宋体"/>
          <w:color w:val="000000" w:themeColor="text1"/>
          <w14:textFill>
            <w14:solidFill>
              <w14:schemeClr w14:val="tx1"/>
            </w14:solidFill>
          </w14:textFill>
        </w:rPr>
        <w:t>实施期限及目标</w:t>
      </w:r>
      <w:bookmarkEnd w:id="15"/>
      <w:bookmarkEnd w:id="16"/>
      <w:bookmarkEnd w:id="17"/>
    </w:p>
    <w:p w14:paraId="5FB43941">
      <w:pPr>
        <w:pStyle w:val="52"/>
        <w:rPr>
          <w:color w:val="000000" w:themeColor="text1"/>
          <w14:textFill>
            <w14:solidFill>
              <w14:schemeClr w14:val="tx1"/>
            </w14:solidFill>
          </w14:textFill>
        </w:rPr>
      </w:pPr>
      <w:r>
        <w:rPr>
          <w:color w:val="000000" w:themeColor="text1"/>
          <w14:textFill>
            <w14:solidFill>
              <w14:schemeClr w14:val="tx1"/>
            </w14:solidFill>
          </w14:textFill>
        </w:rPr>
        <w:t>实施年限为2021-2025年。</w:t>
      </w:r>
    </w:p>
    <w:p w14:paraId="5E7245F1">
      <w:pPr>
        <w:pStyle w:val="52"/>
        <w:rPr>
          <w:color w:val="000000" w:themeColor="text1"/>
          <w14:textFill>
            <w14:solidFill>
              <w14:schemeClr w14:val="tx1"/>
            </w14:solidFill>
          </w14:textFill>
        </w:rPr>
      </w:pPr>
      <w:r>
        <w:rPr>
          <w:color w:val="000000" w:themeColor="text1"/>
          <w14:textFill>
            <w14:solidFill>
              <w14:schemeClr w14:val="tx1"/>
            </w14:solidFill>
          </w14:textFill>
        </w:rPr>
        <w:t>2021年下半年已启动乡镇污水处理设施及管网提升改造工作，"十四五"末各乡镇生活污水处理率达75%以上，并于远期2035年基本实现集镇建成区污水全收集全处理。</w:t>
      </w:r>
    </w:p>
    <w:p w14:paraId="30C4A031">
      <w:pPr>
        <w:pStyle w:val="52"/>
        <w:rPr>
          <w:color w:val="000000" w:themeColor="text1"/>
          <w14:textFill>
            <w14:solidFill>
              <w14:schemeClr w14:val="tx1"/>
            </w14:solidFill>
          </w14:textFill>
        </w:rPr>
      </w:pPr>
      <w:r>
        <w:rPr>
          <w:color w:val="000000" w:themeColor="text1"/>
          <w14:textFill>
            <w14:solidFill>
              <w14:schemeClr w14:val="tx1"/>
            </w14:solidFill>
          </w14:textFill>
        </w:rPr>
        <w:t>出台收费文件、启动乡镇生活污水处理费征收工作；</w:t>
      </w:r>
    </w:p>
    <w:p w14:paraId="0B21AD0C">
      <w:pPr>
        <w:pStyle w:val="52"/>
        <w:rPr>
          <w:color w:val="000000" w:themeColor="text1"/>
          <w14:textFill>
            <w14:solidFill>
              <w14:schemeClr w14:val="tx1"/>
            </w14:solidFill>
          </w14:textFill>
        </w:rPr>
      </w:pPr>
      <w:r>
        <w:rPr>
          <w:color w:val="000000" w:themeColor="text1"/>
          <w14:textFill>
            <w14:solidFill>
              <w14:schemeClr w14:val="tx1"/>
            </w14:solidFill>
          </w14:textFill>
        </w:rPr>
        <w:t>持续完善乡镇生活污水社会化运营绩效考核体系建设。</w:t>
      </w:r>
    </w:p>
    <w:p w14:paraId="02B8AABA">
      <w:pPr>
        <w:pStyle w:val="4"/>
        <w:rPr>
          <w:rFonts w:ascii="Times New Roman" w:hAnsi="Times New Roman"/>
          <w:color w:val="000000" w:themeColor="text1"/>
          <w14:textFill>
            <w14:solidFill>
              <w14:schemeClr w14:val="tx1"/>
            </w14:solidFill>
          </w14:textFill>
        </w:rPr>
      </w:pPr>
      <w:bookmarkStart w:id="18" w:name="_Toc112693981"/>
      <w:bookmarkStart w:id="19" w:name="_Toc112861020"/>
      <w:bookmarkStart w:id="20" w:name="_Toc112693846"/>
      <w:r>
        <w:rPr>
          <w:rFonts w:hint="eastAsia" w:ascii="宋体" w:hAnsi="宋体" w:eastAsia="宋体" w:cs="宋体"/>
          <w:color w:val="000000" w:themeColor="text1"/>
          <w14:textFill>
            <w14:solidFill>
              <w14:schemeClr w14:val="tx1"/>
            </w14:solidFill>
          </w14:textFill>
        </w:rPr>
        <w:t>编制内容</w:t>
      </w:r>
      <w:bookmarkEnd w:id="18"/>
      <w:bookmarkEnd w:id="19"/>
      <w:bookmarkEnd w:id="20"/>
    </w:p>
    <w:p w14:paraId="20710228">
      <w:pPr>
        <w:pStyle w:val="52"/>
        <w:rPr>
          <w:color w:val="000000" w:themeColor="text1"/>
          <w14:textFill>
            <w14:solidFill>
              <w14:schemeClr w14:val="tx1"/>
            </w14:solidFill>
          </w14:textFill>
        </w:rPr>
      </w:pPr>
      <w:r>
        <w:rPr>
          <w:color w:val="000000" w:themeColor="text1"/>
          <w14:textFill>
            <w14:solidFill>
              <w14:schemeClr w14:val="tx1"/>
            </w14:solidFill>
          </w14:textFill>
        </w:rPr>
        <w:t>（1）结合资料收集与现场调查，阐述当前污水治理现状，分析存在问题；</w:t>
      </w:r>
    </w:p>
    <w:p w14:paraId="0152D383">
      <w:pPr>
        <w:pStyle w:val="52"/>
        <w:rPr>
          <w:color w:val="000000" w:themeColor="text1"/>
          <w14:textFill>
            <w14:solidFill>
              <w14:schemeClr w14:val="tx1"/>
            </w14:solidFill>
          </w14:textFill>
        </w:rPr>
      </w:pPr>
      <w:r>
        <w:rPr>
          <w:color w:val="000000" w:themeColor="text1"/>
          <w14:textFill>
            <w14:solidFill>
              <w14:schemeClr w14:val="tx1"/>
            </w14:solidFill>
          </w14:textFill>
        </w:rPr>
        <w:t>（2）提出“十四五”污水治理总体方案，明确治理目标与治理要求；</w:t>
      </w:r>
    </w:p>
    <w:p w14:paraId="2FCB8267">
      <w:pPr>
        <w:pStyle w:val="52"/>
        <w:rPr>
          <w:color w:val="000000" w:themeColor="text1"/>
          <w14:textFill>
            <w14:solidFill>
              <w14:schemeClr w14:val="tx1"/>
            </w14:solidFill>
          </w14:textFill>
        </w:rPr>
      </w:pPr>
      <w:r>
        <w:rPr>
          <w:color w:val="000000" w:themeColor="text1"/>
          <w14:textFill>
            <w14:solidFill>
              <w14:schemeClr w14:val="tx1"/>
            </w14:solidFill>
          </w14:textFill>
        </w:rPr>
        <w:t>（3）提出污水处理设施及配套管网建设改造方案及进度安排，逐年明确工程量、资金需求；</w:t>
      </w:r>
    </w:p>
    <w:p w14:paraId="2BFB5C1A">
      <w:pPr>
        <w:pStyle w:val="52"/>
        <w:rPr>
          <w:color w:val="000000" w:themeColor="text1"/>
          <w14:textFill>
            <w14:solidFill>
              <w14:schemeClr w14:val="tx1"/>
            </w14:solidFill>
          </w14:textFill>
        </w:rPr>
      </w:pPr>
      <w:r>
        <w:rPr>
          <w:color w:val="000000" w:themeColor="text1"/>
          <w14:textFill>
            <w14:solidFill>
              <w14:schemeClr w14:val="tx1"/>
            </w14:solidFill>
          </w14:textFill>
        </w:rPr>
        <w:t>（4）提出设施与管网运维管理方案，并估算所需运维费用；</w:t>
      </w:r>
    </w:p>
    <w:p w14:paraId="24E6EE4A">
      <w:pPr>
        <w:pStyle w:val="52"/>
        <w:rPr>
          <w:color w:val="000000" w:themeColor="text1"/>
          <w14:textFill>
            <w14:solidFill>
              <w14:schemeClr w14:val="tx1"/>
            </w14:solidFill>
          </w14:textFill>
        </w:rPr>
      </w:pPr>
      <w:r>
        <w:rPr>
          <w:color w:val="000000" w:themeColor="text1"/>
          <w14:textFill>
            <w14:solidFill>
              <w14:schemeClr w14:val="tx1"/>
            </w14:solidFill>
          </w14:textFill>
        </w:rPr>
        <w:t>（5）提出污水治理组织、资金、技术等保障措施；</w:t>
      </w:r>
    </w:p>
    <w:p w14:paraId="6A082CE6">
      <w:pPr>
        <w:pStyle w:val="52"/>
        <w:rPr>
          <w:color w:val="000000" w:themeColor="text1"/>
          <w14:textFill>
            <w14:solidFill>
              <w14:schemeClr w14:val="tx1"/>
            </w14:solidFill>
          </w14:textFill>
        </w:rPr>
      </w:pPr>
      <w:r>
        <w:rPr>
          <w:color w:val="000000" w:themeColor="text1"/>
          <w14:textFill>
            <w14:solidFill>
              <w14:schemeClr w14:val="tx1"/>
            </w14:solidFill>
          </w14:textFill>
        </w:rPr>
        <w:t>（6）其他内容论述。</w:t>
      </w:r>
    </w:p>
    <w:p w14:paraId="3B1B8DCE">
      <w:pPr>
        <w:pStyle w:val="4"/>
        <w:rPr>
          <w:rFonts w:ascii="Times New Roman" w:hAnsi="Times New Roman" w:eastAsiaTheme="minorEastAsia"/>
          <w:color w:val="000000" w:themeColor="text1"/>
          <w14:textFill>
            <w14:solidFill>
              <w14:schemeClr w14:val="tx1"/>
            </w14:solidFill>
          </w14:textFill>
        </w:rPr>
      </w:pPr>
      <w:bookmarkStart w:id="21" w:name="_Toc112861021"/>
      <w:bookmarkStart w:id="22" w:name="_Toc112693982"/>
      <w:bookmarkStart w:id="23" w:name="_Toc112693847"/>
      <w:r>
        <w:rPr>
          <w:rFonts w:hint="eastAsia" w:ascii="宋体" w:hAnsi="宋体" w:eastAsia="宋体" w:cs="宋体"/>
          <w:color w:val="000000" w:themeColor="text1"/>
          <w14:textFill>
            <w14:solidFill>
              <w14:schemeClr w14:val="tx1"/>
            </w14:solidFill>
          </w14:textFill>
        </w:rPr>
        <w:t>编制依据</w:t>
      </w:r>
      <w:bookmarkEnd w:id="21"/>
      <w:bookmarkEnd w:id="22"/>
      <w:bookmarkEnd w:id="23"/>
    </w:p>
    <w:p w14:paraId="33F9E8E0">
      <w:pPr>
        <w:pStyle w:val="6"/>
        <w:rPr>
          <w:color w:val="000000" w:themeColor="text1"/>
          <w14:textFill>
            <w14:solidFill>
              <w14:schemeClr w14:val="tx1"/>
            </w14:solidFill>
          </w14:textFill>
        </w:rPr>
      </w:pPr>
      <w:bookmarkStart w:id="24" w:name="_Toc112693983"/>
      <w:bookmarkStart w:id="25" w:name="_Toc112693848"/>
      <w:bookmarkStart w:id="26" w:name="_Toc112692550"/>
      <w:r>
        <w:rPr>
          <w:color w:val="000000" w:themeColor="text1"/>
          <w14:textFill>
            <w14:solidFill>
              <w14:schemeClr w14:val="tx1"/>
            </w14:solidFill>
          </w14:textFill>
        </w:rPr>
        <w:t>法律法规</w:t>
      </w:r>
      <w:bookmarkEnd w:id="24"/>
      <w:bookmarkEnd w:id="25"/>
      <w:bookmarkEnd w:id="26"/>
    </w:p>
    <w:p w14:paraId="2A8CC2D9">
      <w:pPr>
        <w:pStyle w:val="52"/>
        <w:rPr>
          <w:color w:val="000000" w:themeColor="text1"/>
          <w14:textFill>
            <w14:solidFill>
              <w14:schemeClr w14:val="tx1"/>
            </w14:solidFill>
          </w14:textFill>
        </w:rPr>
      </w:pPr>
      <w:r>
        <w:rPr>
          <w:color w:val="000000" w:themeColor="text1"/>
          <w14:textFill>
            <w14:solidFill>
              <w14:schemeClr w14:val="tx1"/>
            </w14:solidFill>
          </w14:textFill>
        </w:rPr>
        <w:t>（1）《中华人民共和国环境保护法》(2016年修订版)；</w:t>
      </w:r>
    </w:p>
    <w:p w14:paraId="350BF0B0">
      <w:pPr>
        <w:pStyle w:val="52"/>
        <w:rPr>
          <w:color w:val="000000" w:themeColor="text1"/>
          <w14:textFill>
            <w14:solidFill>
              <w14:schemeClr w14:val="tx1"/>
            </w14:solidFill>
          </w14:textFill>
        </w:rPr>
      </w:pPr>
      <w:r>
        <w:rPr>
          <w:color w:val="000000" w:themeColor="text1"/>
          <w14:textFill>
            <w14:solidFill>
              <w14:schemeClr w14:val="tx1"/>
            </w14:solidFill>
          </w14:textFill>
        </w:rPr>
        <w:t>（2）《中华人民共和国水法》(2016年修正)；</w:t>
      </w:r>
    </w:p>
    <w:p w14:paraId="0A4A1611">
      <w:pPr>
        <w:pStyle w:val="52"/>
        <w:rPr>
          <w:color w:val="000000" w:themeColor="text1"/>
          <w14:textFill>
            <w14:solidFill>
              <w14:schemeClr w14:val="tx1"/>
            </w14:solidFill>
          </w14:textFill>
        </w:rPr>
      </w:pPr>
      <w:r>
        <w:rPr>
          <w:color w:val="000000" w:themeColor="text1"/>
          <w14:textFill>
            <w14:solidFill>
              <w14:schemeClr w14:val="tx1"/>
            </w14:solidFill>
          </w14:textFill>
        </w:rPr>
        <w:t>（3）《中华人民共和国水土保持法》(2010年修订)；</w:t>
      </w:r>
    </w:p>
    <w:p w14:paraId="1CE26158">
      <w:pPr>
        <w:pStyle w:val="52"/>
        <w:rPr>
          <w:color w:val="000000" w:themeColor="text1"/>
          <w14:textFill>
            <w14:solidFill>
              <w14:schemeClr w14:val="tx1"/>
            </w14:solidFill>
          </w14:textFill>
        </w:rPr>
      </w:pPr>
      <w:r>
        <w:rPr>
          <w:color w:val="000000" w:themeColor="text1"/>
          <w14:textFill>
            <w14:solidFill>
              <w14:schemeClr w14:val="tx1"/>
            </w14:solidFill>
          </w14:textFill>
        </w:rPr>
        <w:t>（4）《中华人民共和国城乡规划法》(2015年修订)；</w:t>
      </w:r>
    </w:p>
    <w:p w14:paraId="674FED3D">
      <w:pPr>
        <w:pStyle w:val="52"/>
        <w:rPr>
          <w:color w:val="000000" w:themeColor="text1"/>
          <w14:textFill>
            <w14:solidFill>
              <w14:schemeClr w14:val="tx1"/>
            </w14:solidFill>
          </w14:textFill>
        </w:rPr>
      </w:pPr>
      <w:r>
        <w:rPr>
          <w:color w:val="000000" w:themeColor="text1"/>
          <w14:textFill>
            <w14:solidFill>
              <w14:schemeClr w14:val="tx1"/>
            </w14:solidFill>
          </w14:textFill>
        </w:rPr>
        <w:t>（5）《中华人民共和国水污染防治法》(2017年修订)；</w:t>
      </w:r>
    </w:p>
    <w:p w14:paraId="2D287279">
      <w:pPr>
        <w:pStyle w:val="52"/>
        <w:rPr>
          <w:color w:val="000000" w:themeColor="text1"/>
          <w14:textFill>
            <w14:solidFill>
              <w14:schemeClr w14:val="tx1"/>
            </w14:solidFill>
          </w14:textFill>
        </w:rPr>
      </w:pPr>
      <w:r>
        <w:rPr>
          <w:color w:val="000000" w:themeColor="text1"/>
          <w14:textFill>
            <w14:solidFill>
              <w14:schemeClr w14:val="tx1"/>
            </w14:solidFill>
          </w14:textFill>
        </w:rPr>
        <w:t>（6）《中华人民共和国水污染防治法实施细则》(2000年)；</w:t>
      </w:r>
    </w:p>
    <w:p w14:paraId="164363BC">
      <w:pPr>
        <w:pStyle w:val="52"/>
        <w:rPr>
          <w:color w:val="000000" w:themeColor="text1"/>
          <w14:textFill>
            <w14:solidFill>
              <w14:schemeClr w14:val="tx1"/>
            </w14:solidFill>
          </w14:textFill>
        </w:rPr>
      </w:pPr>
      <w:r>
        <w:rPr>
          <w:color w:val="000000" w:themeColor="text1"/>
          <w14:textFill>
            <w14:solidFill>
              <w14:schemeClr w14:val="tx1"/>
            </w14:solidFill>
          </w14:textFill>
        </w:rPr>
        <w:t>（7）《全国生态环境保护纲要》(国发[2000]38号)；</w:t>
      </w:r>
    </w:p>
    <w:p w14:paraId="68B078F3">
      <w:pPr>
        <w:pStyle w:val="52"/>
        <w:rPr>
          <w:color w:val="000000" w:themeColor="text1"/>
          <w14:textFill>
            <w14:solidFill>
              <w14:schemeClr w14:val="tx1"/>
            </w14:solidFill>
          </w14:textFill>
        </w:rPr>
      </w:pPr>
      <w:r>
        <w:rPr>
          <w:color w:val="000000" w:themeColor="text1"/>
          <w14:textFill>
            <w14:solidFill>
              <w14:schemeClr w14:val="tx1"/>
            </w14:solidFill>
          </w14:textFill>
        </w:rPr>
        <w:t>（8）《农村生活污染防治技术政策》(环发[2010]20号)。</w:t>
      </w:r>
    </w:p>
    <w:p w14:paraId="4F3D11E3">
      <w:pPr>
        <w:pStyle w:val="6"/>
        <w:rPr>
          <w:color w:val="000000" w:themeColor="text1"/>
          <w14:textFill>
            <w14:solidFill>
              <w14:schemeClr w14:val="tx1"/>
            </w14:solidFill>
          </w14:textFill>
        </w:rPr>
      </w:pPr>
      <w:bookmarkStart w:id="27" w:name="_Toc112692551"/>
      <w:bookmarkStart w:id="28" w:name="_Toc112693849"/>
      <w:bookmarkStart w:id="29" w:name="_Toc112693984"/>
      <w:r>
        <w:rPr>
          <w:color w:val="000000" w:themeColor="text1"/>
          <w14:textFill>
            <w14:solidFill>
              <w14:schemeClr w14:val="tx1"/>
            </w14:solidFill>
          </w14:textFill>
        </w:rPr>
        <w:t>设计标准</w:t>
      </w:r>
      <w:bookmarkEnd w:id="27"/>
      <w:bookmarkEnd w:id="28"/>
      <w:bookmarkEnd w:id="29"/>
    </w:p>
    <w:p w14:paraId="3FC3B081">
      <w:pPr>
        <w:pStyle w:val="52"/>
        <w:rPr>
          <w:color w:val="000000" w:themeColor="text1"/>
          <w14:textFill>
            <w14:solidFill>
              <w14:schemeClr w14:val="tx1"/>
            </w14:solidFill>
          </w14:textFill>
        </w:rPr>
      </w:pPr>
      <w:r>
        <w:rPr>
          <w:color w:val="000000" w:themeColor="text1"/>
          <w14:textFill>
            <w14:solidFill>
              <w14:schemeClr w14:val="tx1"/>
            </w14:solidFill>
          </w14:textFill>
        </w:rPr>
        <w:t>（1）《室外排水设计标准》(GB50014-2021)；</w:t>
      </w:r>
    </w:p>
    <w:p w14:paraId="628E8BEF">
      <w:pPr>
        <w:pStyle w:val="52"/>
        <w:rPr>
          <w:color w:val="000000" w:themeColor="text1"/>
          <w14:textFill>
            <w14:solidFill>
              <w14:schemeClr w14:val="tx1"/>
            </w14:solidFill>
          </w14:textFill>
        </w:rPr>
      </w:pPr>
      <w:r>
        <w:rPr>
          <w:color w:val="000000" w:themeColor="text1"/>
          <w14:textFill>
            <w14:solidFill>
              <w14:schemeClr w14:val="tx1"/>
            </w14:solidFill>
          </w14:textFill>
        </w:rPr>
        <w:t>（2）《污水综合排放标准》(GB8978-1996)；</w:t>
      </w:r>
    </w:p>
    <w:p w14:paraId="1674FED6">
      <w:pPr>
        <w:pStyle w:val="52"/>
        <w:rPr>
          <w:color w:val="000000" w:themeColor="text1"/>
          <w14:textFill>
            <w14:solidFill>
              <w14:schemeClr w14:val="tx1"/>
            </w14:solidFill>
          </w14:textFill>
        </w:rPr>
      </w:pPr>
      <w:r>
        <w:rPr>
          <w:color w:val="000000" w:themeColor="text1"/>
          <w14:textFill>
            <w14:solidFill>
              <w14:schemeClr w14:val="tx1"/>
            </w14:solidFill>
          </w14:textFill>
        </w:rPr>
        <w:t>（3）《城镇污水处理厂污染物排放标准》(GB18918-2002)；</w:t>
      </w:r>
    </w:p>
    <w:p w14:paraId="0221F4A9">
      <w:pPr>
        <w:pStyle w:val="52"/>
        <w:rPr>
          <w:color w:val="000000" w:themeColor="text1"/>
          <w14:textFill>
            <w14:solidFill>
              <w14:schemeClr w14:val="tx1"/>
            </w14:solidFill>
          </w14:textFill>
        </w:rPr>
      </w:pPr>
      <w:r>
        <w:rPr>
          <w:color w:val="000000" w:themeColor="text1"/>
          <w14:textFill>
            <w14:solidFill>
              <w14:schemeClr w14:val="tx1"/>
            </w14:solidFill>
          </w14:textFill>
        </w:rPr>
        <w:t>（4）《污水排入城镇下水道水质标准》(GB/T31962-2015)；</w:t>
      </w:r>
    </w:p>
    <w:p w14:paraId="6329A093">
      <w:pPr>
        <w:pStyle w:val="52"/>
        <w:rPr>
          <w:color w:val="000000" w:themeColor="text1"/>
          <w14:textFill>
            <w14:solidFill>
              <w14:schemeClr w14:val="tx1"/>
            </w14:solidFill>
          </w14:textFill>
        </w:rPr>
      </w:pPr>
      <w:r>
        <w:rPr>
          <w:color w:val="000000" w:themeColor="text1"/>
          <w14:textFill>
            <w14:solidFill>
              <w14:schemeClr w14:val="tx1"/>
            </w14:solidFill>
          </w14:textFill>
        </w:rPr>
        <w:t>（5）《福建省城市用水量标准》(DBJ/T13-127-2010)；</w:t>
      </w:r>
    </w:p>
    <w:p w14:paraId="08304B5B">
      <w:pPr>
        <w:pStyle w:val="52"/>
        <w:rPr>
          <w:color w:val="000000" w:themeColor="text1"/>
          <w14:textFill>
            <w14:solidFill>
              <w14:schemeClr w14:val="tx1"/>
            </w14:solidFill>
          </w14:textFill>
        </w:rPr>
      </w:pPr>
      <w:r>
        <w:rPr>
          <w:color w:val="000000" w:themeColor="text1"/>
          <w14:textFill>
            <w14:solidFill>
              <w14:schemeClr w14:val="tx1"/>
            </w14:solidFill>
          </w14:textFill>
        </w:rPr>
        <w:t>（6）《福建省城镇排水系统规划导则（试行）》2014；</w:t>
      </w:r>
    </w:p>
    <w:p w14:paraId="6BE53E77">
      <w:pPr>
        <w:pStyle w:val="52"/>
        <w:rPr>
          <w:color w:val="000000" w:themeColor="text1"/>
          <w14:textFill>
            <w14:solidFill>
              <w14:schemeClr w14:val="tx1"/>
            </w14:solidFill>
          </w14:textFill>
        </w:rPr>
      </w:pPr>
      <w:r>
        <w:rPr>
          <w:color w:val="000000" w:themeColor="text1"/>
          <w14:textFill>
            <w14:solidFill>
              <w14:schemeClr w14:val="tx1"/>
            </w14:solidFill>
          </w14:textFill>
        </w:rPr>
        <w:t>（7）《福建省乡镇生活污水处理技术指南（试行）》2015；</w:t>
      </w:r>
    </w:p>
    <w:p w14:paraId="5761680A">
      <w:pPr>
        <w:pStyle w:val="52"/>
        <w:rPr>
          <w:color w:val="000000" w:themeColor="text1"/>
          <w14:textFill>
            <w14:solidFill>
              <w14:schemeClr w14:val="tx1"/>
            </w14:solidFill>
          </w14:textFill>
        </w:rPr>
      </w:pPr>
      <w:r>
        <w:rPr>
          <w:color w:val="000000" w:themeColor="text1"/>
          <w14:textFill>
            <w14:solidFill>
              <w14:schemeClr w14:val="tx1"/>
            </w14:solidFill>
          </w14:textFill>
        </w:rPr>
        <w:t>（8）《地表水环境质量标准》(GB3838-2002)；</w:t>
      </w:r>
    </w:p>
    <w:p w14:paraId="6E2CD912">
      <w:pPr>
        <w:pStyle w:val="52"/>
        <w:rPr>
          <w:color w:val="000000" w:themeColor="text1"/>
          <w14:textFill>
            <w14:solidFill>
              <w14:schemeClr w14:val="tx1"/>
            </w14:solidFill>
          </w14:textFill>
        </w:rPr>
      </w:pPr>
      <w:r>
        <w:rPr>
          <w:color w:val="000000" w:themeColor="text1"/>
          <w14:textFill>
            <w14:solidFill>
              <w14:schemeClr w14:val="tx1"/>
            </w14:solidFill>
          </w14:textFill>
        </w:rPr>
        <w:t>（9）《城市污水处理工程项目建设标准》(建标198-2022)；</w:t>
      </w:r>
    </w:p>
    <w:p w14:paraId="1A645227">
      <w:pPr>
        <w:pStyle w:val="52"/>
        <w:rPr>
          <w:color w:val="000000" w:themeColor="text1"/>
          <w14:textFill>
            <w14:solidFill>
              <w14:schemeClr w14:val="tx1"/>
            </w14:solidFill>
          </w14:textFill>
        </w:rPr>
      </w:pPr>
      <w:r>
        <w:rPr>
          <w:color w:val="000000" w:themeColor="text1"/>
          <w14:textFill>
            <w14:solidFill>
              <w14:schemeClr w14:val="tx1"/>
            </w14:solidFill>
          </w14:textFill>
        </w:rPr>
        <w:t>（10）《泵站设计规范》(GB50265-2010)；</w:t>
      </w:r>
    </w:p>
    <w:p w14:paraId="462B41BE">
      <w:pPr>
        <w:pStyle w:val="52"/>
        <w:rPr>
          <w:color w:val="000000" w:themeColor="text1"/>
          <w14:textFill>
            <w14:solidFill>
              <w14:schemeClr w14:val="tx1"/>
            </w14:solidFill>
          </w14:textFill>
        </w:rPr>
      </w:pPr>
      <w:r>
        <w:rPr>
          <w:color w:val="000000" w:themeColor="text1"/>
          <w14:textFill>
            <w14:solidFill>
              <w14:schemeClr w14:val="tx1"/>
            </w14:solidFill>
          </w14:textFill>
        </w:rPr>
        <w:t>（11）《水域纳污能力计算规程》(GBT25173-2010)；</w:t>
      </w:r>
    </w:p>
    <w:p w14:paraId="0157CC9B">
      <w:pPr>
        <w:pStyle w:val="52"/>
        <w:rPr>
          <w:color w:val="000000" w:themeColor="text1"/>
          <w14:textFill>
            <w14:solidFill>
              <w14:schemeClr w14:val="tx1"/>
            </w14:solidFill>
          </w14:textFill>
        </w:rPr>
      </w:pPr>
      <w:r>
        <w:rPr>
          <w:color w:val="000000" w:themeColor="text1"/>
          <w14:textFill>
            <w14:solidFill>
              <w14:schemeClr w14:val="tx1"/>
            </w14:solidFill>
          </w14:textFill>
        </w:rPr>
        <w:t>（12）《城市工程管线综合规划标准》(GB50289-98)；</w:t>
      </w:r>
    </w:p>
    <w:p w14:paraId="4A2E7BB7">
      <w:pPr>
        <w:pStyle w:val="52"/>
        <w:rPr>
          <w:color w:val="000000" w:themeColor="text1"/>
          <w14:textFill>
            <w14:solidFill>
              <w14:schemeClr w14:val="tx1"/>
            </w14:solidFill>
          </w14:textFill>
        </w:rPr>
      </w:pPr>
      <w:r>
        <w:rPr>
          <w:color w:val="000000" w:themeColor="text1"/>
          <w14:textFill>
            <w14:solidFill>
              <w14:schemeClr w14:val="tx1"/>
            </w14:solidFill>
          </w14:textFill>
        </w:rPr>
        <w:t>（13）《村庄整治技术规范》(GB50445-2008)；</w:t>
      </w:r>
    </w:p>
    <w:p w14:paraId="7F29B520">
      <w:pPr>
        <w:pStyle w:val="52"/>
        <w:rPr>
          <w:color w:val="000000" w:themeColor="text1"/>
          <w14:textFill>
            <w14:solidFill>
              <w14:schemeClr w14:val="tx1"/>
            </w14:solidFill>
          </w14:textFill>
        </w:rPr>
      </w:pPr>
      <w:r>
        <w:rPr>
          <w:color w:val="000000" w:themeColor="text1"/>
          <w14:textFill>
            <w14:solidFill>
              <w14:schemeClr w14:val="tx1"/>
            </w14:solidFill>
          </w14:textFill>
        </w:rPr>
        <w:t>（14）《镇（乡）村排水工程技术规程》(CJJ124-2008)；</w:t>
      </w:r>
    </w:p>
    <w:p w14:paraId="389FB5A8">
      <w:pPr>
        <w:pStyle w:val="52"/>
        <w:rPr>
          <w:color w:val="000000" w:themeColor="text1"/>
          <w14:textFill>
            <w14:solidFill>
              <w14:schemeClr w14:val="tx1"/>
            </w14:solidFill>
          </w14:textFill>
        </w:rPr>
      </w:pPr>
      <w:r>
        <w:rPr>
          <w:color w:val="000000" w:themeColor="text1"/>
          <w14:textFill>
            <w14:solidFill>
              <w14:schemeClr w14:val="tx1"/>
            </w14:solidFill>
          </w14:textFill>
        </w:rPr>
        <w:t>（15）《农村户厕卫生规范》(GB19379-2012)；</w:t>
      </w:r>
    </w:p>
    <w:p w14:paraId="7FFB6CEF">
      <w:pPr>
        <w:pStyle w:val="52"/>
        <w:rPr>
          <w:color w:val="000000" w:themeColor="text1"/>
          <w14:textFill>
            <w14:solidFill>
              <w14:schemeClr w14:val="tx1"/>
            </w14:solidFill>
          </w14:textFill>
        </w:rPr>
      </w:pPr>
      <w:r>
        <w:rPr>
          <w:color w:val="000000" w:themeColor="text1"/>
          <w14:textFill>
            <w14:solidFill>
              <w14:schemeClr w14:val="tx1"/>
            </w14:solidFill>
          </w14:textFill>
        </w:rPr>
        <w:t>（16）《粪便无害化卫生标准》(GB7959-2012)。</w:t>
      </w:r>
    </w:p>
    <w:p w14:paraId="33C3DA26">
      <w:pPr>
        <w:pStyle w:val="6"/>
        <w:rPr>
          <w:color w:val="000000" w:themeColor="text1"/>
          <w14:textFill>
            <w14:solidFill>
              <w14:schemeClr w14:val="tx1"/>
            </w14:solidFill>
          </w14:textFill>
        </w:rPr>
      </w:pPr>
      <w:bookmarkStart w:id="30" w:name="_Toc112692552"/>
      <w:bookmarkStart w:id="31" w:name="_Toc112693850"/>
      <w:bookmarkStart w:id="32" w:name="_Toc112693985"/>
      <w:r>
        <w:rPr>
          <w:color w:val="000000" w:themeColor="text1"/>
          <w14:textFill>
            <w14:solidFill>
              <w14:schemeClr w14:val="tx1"/>
            </w14:solidFill>
          </w14:textFill>
        </w:rPr>
        <w:t>其他相关文件</w:t>
      </w:r>
      <w:bookmarkEnd w:id="30"/>
      <w:bookmarkEnd w:id="31"/>
      <w:bookmarkEnd w:id="32"/>
    </w:p>
    <w:p w14:paraId="6B5BDFA0">
      <w:pPr>
        <w:pStyle w:val="52"/>
        <w:rPr>
          <w:color w:val="000000" w:themeColor="text1"/>
          <w14:textFill>
            <w14:solidFill>
              <w14:schemeClr w14:val="tx1"/>
            </w14:solidFill>
          </w14:textFill>
        </w:rPr>
      </w:pPr>
      <w:r>
        <w:rPr>
          <w:color w:val="000000" w:themeColor="text1"/>
          <w14:textFill>
            <w14:solidFill>
              <w14:schemeClr w14:val="tx1"/>
            </w14:solidFill>
          </w14:textFill>
        </w:rPr>
        <w:t>（1）《2018福州市水资源公报》；</w:t>
      </w:r>
    </w:p>
    <w:p w14:paraId="2678FA0E">
      <w:pPr>
        <w:pStyle w:val="52"/>
        <w:rPr>
          <w:color w:val="000000" w:themeColor="text1"/>
          <w14:textFill>
            <w14:solidFill>
              <w14:schemeClr w14:val="tx1"/>
            </w14:solidFill>
          </w14:textFill>
        </w:rPr>
      </w:pPr>
      <w:r>
        <w:rPr>
          <w:color w:val="000000" w:themeColor="text1"/>
          <w14:textFill>
            <w14:solidFill>
              <w14:schemeClr w14:val="tx1"/>
            </w14:solidFill>
          </w14:textFill>
        </w:rPr>
        <w:t>（2）《晋安区农村生活污水处理工程（一期）PPP项目实施方案》（2017年8月）；</w:t>
      </w:r>
    </w:p>
    <w:p w14:paraId="1D5744AF">
      <w:pPr>
        <w:pStyle w:val="52"/>
        <w:rPr>
          <w:color w:val="000000" w:themeColor="text1"/>
          <w14:textFill>
            <w14:solidFill>
              <w14:schemeClr w14:val="tx1"/>
            </w14:solidFill>
          </w14:textFill>
        </w:rPr>
      </w:pPr>
      <w:r>
        <w:rPr>
          <w:color w:val="000000" w:themeColor="text1"/>
          <w14:textFill>
            <w14:solidFill>
              <w14:schemeClr w14:val="tx1"/>
            </w14:solidFill>
          </w14:textFill>
        </w:rPr>
        <w:t>（3）《晋安区农村生活污水处理工程可行性研究报告》（2017年7月）；</w:t>
      </w:r>
    </w:p>
    <w:p w14:paraId="700F56F4">
      <w:pPr>
        <w:pStyle w:val="52"/>
        <w:rPr>
          <w:color w:val="000000" w:themeColor="text1"/>
          <w14:textFill>
            <w14:solidFill>
              <w14:schemeClr w14:val="tx1"/>
            </w14:solidFill>
          </w14:textFill>
        </w:rPr>
      </w:pPr>
      <w:r>
        <w:rPr>
          <w:color w:val="000000" w:themeColor="text1"/>
          <w14:textFill>
            <w14:solidFill>
              <w14:schemeClr w14:val="tx1"/>
            </w14:solidFill>
          </w14:textFill>
        </w:rPr>
        <w:t>（4）福建省农村户厕情况摸底调查汇总表（晋安区）；</w:t>
      </w:r>
    </w:p>
    <w:p w14:paraId="6970A8B1">
      <w:pPr>
        <w:pStyle w:val="52"/>
        <w:rPr>
          <w:color w:val="000000" w:themeColor="text1"/>
          <w14:textFill>
            <w14:solidFill>
              <w14:schemeClr w14:val="tx1"/>
            </w14:solidFill>
          </w14:textFill>
        </w:rPr>
      </w:pPr>
      <w:r>
        <w:rPr>
          <w:color w:val="000000" w:themeColor="text1"/>
          <w14:textFill>
            <w14:solidFill>
              <w14:schemeClr w14:val="tx1"/>
            </w14:solidFill>
          </w14:textFill>
        </w:rPr>
        <w:t>（5）《福建省人民政府关于晋安区宦溪镇等54个乡镇生活饮用水地表水源保护区划定方案的批复》（闽政文〔2007〕212号）；</w:t>
      </w:r>
    </w:p>
    <w:p w14:paraId="3EB11598">
      <w:pPr>
        <w:pStyle w:val="52"/>
        <w:rPr>
          <w:color w:val="000000" w:themeColor="text1"/>
          <w14:textFill>
            <w14:solidFill>
              <w14:schemeClr w14:val="tx1"/>
            </w14:solidFill>
          </w14:textFill>
        </w:rPr>
      </w:pPr>
      <w:r>
        <w:rPr>
          <w:color w:val="000000" w:themeColor="text1"/>
          <w14:textFill>
            <w14:solidFill>
              <w14:schemeClr w14:val="tx1"/>
            </w14:solidFill>
          </w14:textFill>
        </w:rPr>
        <w:t>（6）《晋安区寿山乡生活饮用水地表水源保护区划定方案》；</w:t>
      </w:r>
    </w:p>
    <w:p w14:paraId="67476196">
      <w:pPr>
        <w:pStyle w:val="52"/>
        <w:rPr>
          <w:color w:val="000000" w:themeColor="text1"/>
          <w14:textFill>
            <w14:solidFill>
              <w14:schemeClr w14:val="tx1"/>
            </w14:solidFill>
          </w14:textFill>
        </w:rPr>
      </w:pPr>
      <w:r>
        <w:rPr>
          <w:color w:val="000000" w:themeColor="text1"/>
          <w14:textFill>
            <w14:solidFill>
              <w14:schemeClr w14:val="tx1"/>
            </w14:solidFill>
          </w14:textFill>
        </w:rPr>
        <w:t>（7）《晋安区日溪乡生活饮用水地表水源保护区划定方案》；</w:t>
      </w:r>
    </w:p>
    <w:p w14:paraId="6F6D913C">
      <w:pPr>
        <w:pStyle w:val="52"/>
        <w:rPr>
          <w:color w:val="000000" w:themeColor="text1"/>
          <w14:textFill>
            <w14:solidFill>
              <w14:schemeClr w14:val="tx1"/>
            </w14:solidFill>
          </w14:textFill>
        </w:rPr>
      </w:pPr>
      <w:r>
        <w:rPr>
          <w:color w:val="000000" w:themeColor="text1"/>
          <w14:textFill>
            <w14:solidFill>
              <w14:schemeClr w14:val="tx1"/>
            </w14:solidFill>
          </w14:textFill>
        </w:rPr>
        <w:t>（8）《宦溪集镇污水处理厂厂外管网新（改）建项目一期工程设计方案》；</w:t>
      </w:r>
    </w:p>
    <w:p w14:paraId="06AA3F98">
      <w:pPr>
        <w:pStyle w:val="52"/>
        <w:rPr>
          <w:color w:val="000000" w:themeColor="text1"/>
          <w14:textFill>
            <w14:solidFill>
              <w14:schemeClr w14:val="tx1"/>
            </w14:solidFill>
          </w14:textFill>
        </w:rPr>
      </w:pPr>
      <w:r>
        <w:rPr>
          <w:color w:val="000000" w:themeColor="text1"/>
          <w14:textFill>
            <w14:solidFill>
              <w14:schemeClr w14:val="tx1"/>
            </w14:solidFill>
          </w14:textFill>
        </w:rPr>
        <w:t>（9）《寿山乡农村生活污水治理设施提标改造实施方案》；</w:t>
      </w:r>
    </w:p>
    <w:p w14:paraId="4A713C53">
      <w:pPr>
        <w:pStyle w:val="52"/>
        <w:rPr>
          <w:color w:val="000000" w:themeColor="text1"/>
          <w14:textFill>
            <w14:solidFill>
              <w14:schemeClr w14:val="tx1"/>
            </w14:solidFill>
          </w14:textFill>
        </w:rPr>
      </w:pPr>
      <w:r>
        <w:rPr>
          <w:color w:val="000000" w:themeColor="text1"/>
          <w14:textFill>
            <w14:solidFill>
              <w14:schemeClr w14:val="tx1"/>
            </w14:solidFill>
          </w14:textFill>
        </w:rPr>
        <w:t>（10）《日溪乡集镇污水处理厂新（改）建项目（初设文本）》。</w:t>
      </w:r>
    </w:p>
    <w:p w14:paraId="0F15418D">
      <w:pPr>
        <w:widowControl/>
        <w:jc w:val="left"/>
        <w:rPr>
          <w:color w:val="000000" w:themeColor="text1"/>
          <w:sz w:val="24"/>
          <w:szCs w:val="32"/>
          <w14:textFill>
            <w14:solidFill>
              <w14:schemeClr w14:val="tx1"/>
            </w14:solidFill>
          </w14:textFill>
        </w:rPr>
      </w:pPr>
      <w:r>
        <w:rPr>
          <w:color w:val="000000" w:themeColor="text1"/>
          <w14:textFill>
            <w14:solidFill>
              <w14:schemeClr w14:val="tx1"/>
            </w14:solidFill>
          </w14:textFill>
        </w:rPr>
        <w:br w:type="page"/>
      </w:r>
    </w:p>
    <w:p w14:paraId="3F57DB26">
      <w:pPr>
        <w:pStyle w:val="3"/>
        <w:rPr>
          <w:rFonts w:ascii="Times New Roman" w:hAnsi="Times New Roman"/>
          <w:color w:val="000000" w:themeColor="text1"/>
          <w14:textFill>
            <w14:solidFill>
              <w14:schemeClr w14:val="tx1"/>
            </w14:solidFill>
          </w14:textFill>
        </w:rPr>
      </w:pPr>
      <w:bookmarkStart w:id="33" w:name="_Toc112693851"/>
      <w:bookmarkStart w:id="34" w:name="_Toc112693986"/>
      <w:bookmarkStart w:id="35" w:name="_Toc112861022"/>
      <w:r>
        <w:rPr>
          <w:rFonts w:ascii="Times New Roman" w:hAnsi="Times New Roman"/>
          <w:color w:val="000000" w:themeColor="text1"/>
          <w14:textFill>
            <w14:solidFill>
              <w14:schemeClr w14:val="tx1"/>
            </w14:solidFill>
          </w14:textFill>
        </w:rPr>
        <w:t>区域概况</w:t>
      </w:r>
      <w:bookmarkEnd w:id="33"/>
      <w:bookmarkEnd w:id="34"/>
      <w:bookmarkEnd w:id="35"/>
    </w:p>
    <w:p w14:paraId="3575FECE">
      <w:pPr>
        <w:pStyle w:val="4"/>
        <w:rPr>
          <w:rFonts w:ascii="Times New Roman" w:hAnsi="Times New Roman" w:eastAsiaTheme="minorEastAsia"/>
          <w:color w:val="000000" w:themeColor="text1"/>
          <w14:textFill>
            <w14:solidFill>
              <w14:schemeClr w14:val="tx1"/>
            </w14:solidFill>
          </w14:textFill>
        </w:rPr>
      </w:pPr>
      <w:bookmarkStart w:id="36" w:name="_Toc112693852"/>
      <w:bookmarkStart w:id="37" w:name="_Toc112693987"/>
      <w:bookmarkStart w:id="38" w:name="_Toc112861023"/>
      <w:r>
        <w:rPr>
          <w:rFonts w:hint="eastAsia" w:ascii="宋体" w:hAnsi="宋体" w:eastAsia="宋体" w:cs="宋体"/>
          <w:color w:val="000000" w:themeColor="text1"/>
          <w14:textFill>
            <w14:solidFill>
              <w14:schemeClr w14:val="tx1"/>
            </w14:solidFill>
          </w14:textFill>
        </w:rPr>
        <w:t>区位条件</w:t>
      </w:r>
      <w:bookmarkEnd w:id="36"/>
      <w:bookmarkEnd w:id="37"/>
      <w:bookmarkEnd w:id="38"/>
    </w:p>
    <w:p w14:paraId="7EF1DFDB">
      <w:pPr>
        <w:pStyle w:val="52"/>
        <w:rPr>
          <w:color w:val="000000" w:themeColor="text1"/>
          <w14:textFill>
            <w14:solidFill>
              <w14:schemeClr w14:val="tx1"/>
            </w14:solidFill>
          </w14:textFill>
        </w:rPr>
      </w:pPr>
      <w:r>
        <w:rPr>
          <w:color w:val="000000" w:themeColor="text1"/>
          <w14:textFill>
            <w14:solidFill>
              <w14:schemeClr w14:val="tx1"/>
            </w14:solidFill>
          </w14:textFill>
        </w:rPr>
        <w:t>晋安区位于福州市区北部，东与连江县相连，西以晋安河与鼓楼区为界，西北与闽侯接壤，北与晋安毗邻，东南与马尾区相邻，南隔闽江与仓山区相望。区域界于北纬25°57′16″～26°24′49″，东经119°11′7″～119°41′，面积926平方公里。晋安区下辖鼓山镇、新店镇、岳峰镇、宦溪镇、茶园街道、王庄街道、象园街道、寿山乡、日溪乡等9个乡镇（街道），有114个行政村、75个社区，常住人口85.6万人。</w:t>
      </w:r>
    </w:p>
    <w:p w14:paraId="7AC47683">
      <w:pPr>
        <w:pStyle w:val="5"/>
        <w:ind w:firstLine="0"/>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drawing>
          <wp:inline distT="0" distB="0" distL="0" distR="0">
            <wp:extent cx="5334000" cy="4489450"/>
            <wp:effectExtent l="0" t="0" r="0" b="6350"/>
            <wp:docPr id="1" name="图片 1" descr="https://bkimg.cdn.bcebos.com/pic/71cf3bc79f3df8dc7490a1e8cf11728b4710281d?x-bce-process=image/watermark,g_7,image_d2F0ZXIvYmFpa2U5Mg==,xp_5,yp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bkimg.cdn.bcebos.com/pic/71cf3bc79f3df8dc7490a1e8cf11728b4710281d?x-bce-process=image/watermark,g_7,image_d2F0ZXIvYmFpa2U5Mg==,xp_5,yp_5"/>
                    <pic:cNvPicPr>
                      <a:picLocks noChangeAspect="1" noChangeArrowheads="1"/>
                    </pic:cNvPicPr>
                  </pic:nvPicPr>
                  <pic:blipFill>
                    <a:blip r:embed="rId6" cstate="email"/>
                    <a:srcRect/>
                    <a:stretch>
                      <a:fillRect/>
                    </a:stretch>
                  </pic:blipFill>
                  <pic:spPr>
                    <a:xfrm>
                      <a:off x="0" y="0"/>
                      <a:ext cx="5343162" cy="4497281"/>
                    </a:xfrm>
                    <a:prstGeom prst="rect">
                      <a:avLst/>
                    </a:prstGeom>
                    <a:noFill/>
                    <a:ln>
                      <a:noFill/>
                    </a:ln>
                  </pic:spPr>
                </pic:pic>
              </a:graphicData>
            </a:graphic>
          </wp:inline>
        </w:drawing>
      </w:r>
    </w:p>
    <w:p w14:paraId="3ABF7E18">
      <w:pPr>
        <w:pStyle w:val="442"/>
        <w:rPr>
          <w:color w:val="000000" w:themeColor="text1"/>
          <w14:textFill>
            <w14:solidFill>
              <w14:schemeClr w14:val="tx1"/>
            </w14:solidFill>
          </w14:textFill>
        </w:rPr>
      </w:pPr>
      <w:r>
        <w:rPr>
          <w:color w:val="000000" w:themeColor="text1"/>
          <w14:textFill>
            <w14:solidFill>
              <w14:schemeClr w14:val="tx1"/>
            </w14:solidFill>
          </w14:textFill>
        </w:rPr>
        <w:t>图2.1-1晋安区地理位置图</w:t>
      </w:r>
    </w:p>
    <w:p w14:paraId="30654F36">
      <w:pPr>
        <w:pStyle w:val="4"/>
        <w:rPr>
          <w:rFonts w:ascii="Times New Roman" w:hAnsi="Times New Roman" w:eastAsiaTheme="minorEastAsia"/>
          <w:color w:val="000000" w:themeColor="text1"/>
          <w14:textFill>
            <w14:solidFill>
              <w14:schemeClr w14:val="tx1"/>
            </w14:solidFill>
          </w14:textFill>
        </w:rPr>
      </w:pPr>
      <w:bookmarkStart w:id="39" w:name="_Toc112693853"/>
      <w:bookmarkStart w:id="40" w:name="_Toc112693988"/>
      <w:bookmarkStart w:id="41" w:name="_Toc112861024"/>
      <w:r>
        <w:rPr>
          <w:rFonts w:hint="eastAsia" w:ascii="宋体" w:hAnsi="宋体" w:eastAsia="宋体" w:cs="宋体"/>
          <w:color w:val="000000" w:themeColor="text1"/>
          <w14:textFill>
            <w14:solidFill>
              <w14:schemeClr w14:val="tx1"/>
            </w14:solidFill>
          </w14:textFill>
        </w:rPr>
        <w:t>自然条件</w:t>
      </w:r>
      <w:bookmarkEnd w:id="39"/>
      <w:bookmarkEnd w:id="40"/>
      <w:bookmarkEnd w:id="41"/>
    </w:p>
    <w:p w14:paraId="0FB9AA75">
      <w:pPr>
        <w:pStyle w:val="6"/>
        <w:rPr>
          <w:color w:val="000000" w:themeColor="text1"/>
          <w14:textFill>
            <w14:solidFill>
              <w14:schemeClr w14:val="tx1"/>
            </w14:solidFill>
          </w14:textFill>
        </w:rPr>
      </w:pPr>
      <w:bookmarkStart w:id="42" w:name="_Toc112692556"/>
      <w:bookmarkStart w:id="43" w:name="_Toc112693854"/>
      <w:bookmarkStart w:id="44" w:name="_Toc112693989"/>
      <w:r>
        <w:rPr>
          <w:color w:val="000000" w:themeColor="text1"/>
          <w14:textFill>
            <w14:solidFill>
              <w14:schemeClr w14:val="tx1"/>
            </w14:solidFill>
          </w14:textFill>
        </w:rPr>
        <w:t>气候条件</w:t>
      </w:r>
      <w:bookmarkEnd w:id="42"/>
      <w:bookmarkEnd w:id="43"/>
      <w:bookmarkEnd w:id="44"/>
    </w:p>
    <w:p w14:paraId="6CCF4203">
      <w:pPr>
        <w:pStyle w:val="52"/>
        <w:rPr>
          <w:color w:val="000000" w:themeColor="text1"/>
          <w14:textFill>
            <w14:solidFill>
              <w14:schemeClr w14:val="tx1"/>
            </w14:solidFill>
          </w14:textFill>
        </w:rPr>
      </w:pPr>
      <w:r>
        <w:rPr>
          <w:color w:val="000000" w:themeColor="text1"/>
          <w14:textFill>
            <w14:solidFill>
              <w14:schemeClr w14:val="tx1"/>
            </w14:solidFill>
          </w14:textFill>
        </w:rPr>
        <w:t>晋安区境内雨量充沛年均温19.6℃，年降水量1342毫米，无霜期312天。晋安区平原地区在1981年前的30年中，年平均气温为19.6℃，变幅为19.1℃～20.1℃。最冷月1月平均为10.5℃，最热月7月平均为28.2℃。1982～1990年9年中，年平均气温提高为20℃，变幅为19.4℃～20.5℃，气温渐有升高趋势。20世纪以来，极端最高气温为41.1℃，出现在1950年7月19日；极端最低气温为-4℃，出现在1940年1月25日。山区（北峰、鼓岭）年平均气温为17℃，变幅为15.9℃～18℃。1月平均为5.9℃，7月平均为24℃(1951～1976年资料)。沿海（琅岐）年平均气温为18.5℃，变幅为18℃～19℃。</w:t>
      </w:r>
    </w:p>
    <w:p w14:paraId="201EB834">
      <w:pPr>
        <w:pStyle w:val="52"/>
        <w:rPr>
          <w:color w:val="000000" w:themeColor="text1"/>
          <w14:textFill>
            <w14:solidFill>
              <w14:schemeClr w14:val="tx1"/>
            </w14:solidFill>
          </w14:textFill>
        </w:rPr>
      </w:pPr>
      <w:r>
        <w:rPr>
          <w:color w:val="000000" w:themeColor="text1"/>
          <w14:textFill>
            <w14:solidFill>
              <w14:schemeClr w14:val="tx1"/>
            </w14:solidFill>
          </w14:textFill>
        </w:rPr>
        <w:t>福州属典型的亚热带季风气候，气温适宜，温暖湿润，四季常青，阳光充足，雨量充沛，霜少无雪，夏长冬短，无霜期达326天。年平均日照数为1700~1980小时；年平均降水量为900~2100毫米；年平均气温为20~25℃，最冷月1~2月，平均气温达6~10℃；最热月7~8月，平均气温为33~37℃。极端气温最高42.3℃，最低-2.5℃。年相对湿度约77%。主导风向为东北风，夏季以偏南风为主。</w:t>
      </w:r>
    </w:p>
    <w:p w14:paraId="09962728">
      <w:pPr>
        <w:pStyle w:val="6"/>
        <w:rPr>
          <w:color w:val="000000" w:themeColor="text1"/>
          <w14:textFill>
            <w14:solidFill>
              <w14:schemeClr w14:val="tx1"/>
            </w14:solidFill>
          </w14:textFill>
        </w:rPr>
      </w:pPr>
      <w:bookmarkStart w:id="45" w:name="_Toc112692557"/>
      <w:bookmarkStart w:id="46" w:name="_Toc112693855"/>
      <w:bookmarkStart w:id="47" w:name="_Toc112693990"/>
      <w:r>
        <w:rPr>
          <w:color w:val="000000" w:themeColor="text1"/>
          <w14:textFill>
            <w14:solidFill>
              <w14:schemeClr w14:val="tx1"/>
            </w14:solidFill>
          </w14:textFill>
        </w:rPr>
        <w:t>地形地貌</w:t>
      </w:r>
      <w:bookmarkEnd w:id="45"/>
      <w:bookmarkEnd w:id="46"/>
      <w:bookmarkEnd w:id="47"/>
    </w:p>
    <w:p w14:paraId="176FF290">
      <w:pPr>
        <w:pStyle w:val="52"/>
        <w:rPr>
          <w:color w:val="000000" w:themeColor="text1"/>
          <w14:textFill>
            <w14:solidFill>
              <w14:schemeClr w14:val="tx1"/>
            </w14:solidFill>
          </w14:textFill>
        </w:rPr>
      </w:pPr>
      <w:r>
        <w:rPr>
          <w:color w:val="000000" w:themeColor="text1"/>
          <w14:textFill>
            <w14:solidFill>
              <w14:schemeClr w14:val="tx1"/>
            </w14:solidFill>
          </w14:textFill>
        </w:rPr>
        <w:t>晋安区地处福州盆地的北面和东北面，地势东北高西南低。晋安区内平原山区各占一半，北部是福州盆地的外围北峰山区，南部为福州盆地的北半部。</w:t>
      </w:r>
    </w:p>
    <w:p w14:paraId="5C365B99">
      <w:pPr>
        <w:pStyle w:val="52"/>
        <w:rPr>
          <w:color w:val="000000" w:themeColor="text1"/>
          <w14:textFill>
            <w14:solidFill>
              <w14:schemeClr w14:val="tx1"/>
            </w14:solidFill>
          </w14:textFill>
        </w:rPr>
      </w:pPr>
      <w:r>
        <w:rPr>
          <w:color w:val="000000" w:themeColor="text1"/>
          <w14:textFill>
            <w14:solidFill>
              <w14:schemeClr w14:val="tx1"/>
            </w14:solidFill>
          </w14:textFill>
        </w:rPr>
        <w:t>晋安区的中部、西南部处于福州盆地的北半部；北部和东部的大部分地区处于福州盆地的北面和东北面。鹫峰山第三支脉由西北部入境，向东南部展布，成阶梯状下降，属中山地貌：第一层级为北部中山山区，有日溪、寿山2个乡和宦溪镇；第二层级为低山丘陵地带，散布在北部山区的前沿，有新店、鼓山、岳峰3个镇的靠山地区；第三层级为平原区，包括上述3个镇的主要区域和茶园、王庄、象园3个街道。境内主要山峰有北面的麒麟山、牛场山和东面的鼓山。最高山峰麒麟山位于日溪乡与寿山乡交界处，海拔1129.3米；最低处为鼓山镇六一村，海拔1.2米。</w:t>
      </w:r>
    </w:p>
    <w:p w14:paraId="5B45E0D0">
      <w:pPr>
        <w:pStyle w:val="52"/>
        <w:rPr>
          <w:color w:val="000000" w:themeColor="text1"/>
          <w14:textFill>
            <w14:solidFill>
              <w14:schemeClr w14:val="tx1"/>
            </w14:solidFill>
          </w14:textFill>
        </w:rPr>
      </w:pPr>
      <w:r>
        <w:rPr>
          <w:color w:val="000000" w:themeColor="text1"/>
          <w14:textFill>
            <w14:solidFill>
              <w14:schemeClr w14:val="tx1"/>
            </w14:solidFill>
          </w14:textFill>
        </w:rPr>
        <w:t>晋安区丘陵分布广泛，一为北部山岭的前沿，一为散布在平原和岛屿中间的山丘。前者有新店的赤星、杨廷、涧田、后山、桂山，岳峰镇的登云，鼓山镇的潭桥、园中、东山、樟林、埠头等；后者有高盖山（202）、黄山（75.6）、金鸡山（85）、浮村山（41.8）、后屿山（25.6）等。</w:t>
      </w:r>
    </w:p>
    <w:p w14:paraId="3802529E">
      <w:pPr>
        <w:pStyle w:val="6"/>
        <w:rPr>
          <w:color w:val="000000" w:themeColor="text1"/>
          <w14:textFill>
            <w14:solidFill>
              <w14:schemeClr w14:val="tx1"/>
            </w14:solidFill>
          </w14:textFill>
        </w:rPr>
      </w:pPr>
      <w:bookmarkStart w:id="48" w:name="_Toc112692558"/>
      <w:bookmarkStart w:id="49" w:name="_Toc112693856"/>
      <w:bookmarkStart w:id="50" w:name="_Toc112693991"/>
      <w:r>
        <w:rPr>
          <w:color w:val="000000" w:themeColor="text1"/>
          <w14:textFill>
            <w14:solidFill>
              <w14:schemeClr w14:val="tx1"/>
            </w14:solidFill>
          </w14:textFill>
        </w:rPr>
        <w:t>地质条件</w:t>
      </w:r>
      <w:bookmarkEnd w:id="48"/>
      <w:bookmarkEnd w:id="49"/>
      <w:bookmarkEnd w:id="50"/>
    </w:p>
    <w:p w14:paraId="54C47DC1">
      <w:pPr>
        <w:pStyle w:val="52"/>
        <w:rPr>
          <w:color w:val="000000" w:themeColor="text1"/>
          <w14:textFill>
            <w14:solidFill>
              <w14:schemeClr w14:val="tx1"/>
            </w14:solidFill>
          </w14:textFill>
        </w:rPr>
      </w:pPr>
      <w:r>
        <w:rPr>
          <w:color w:val="000000" w:themeColor="text1"/>
          <w14:textFill>
            <w14:solidFill>
              <w14:schemeClr w14:val="tx1"/>
            </w14:solidFill>
          </w14:textFill>
        </w:rPr>
        <w:t>福州地区位于欧亚大陆板块的东南缘，大地构造单元上属于闽东火山断坳带，也是已故著名地质学家李四光所指地我国东部第二隆起带的组成部分。中生代中后期的燕山运动时期，在大陆型欧亚板块与大洋型太平洋板块的相互作用下，产生强烈挤压和拉张活动，形成以北北东向和北东东向断裂为主的许多大小不同的断裂，组成区域基本构造格局。沿断裂处有着大规模、强烈的多次火山喷发点和岩浆侵入点，火山岩和侵入岩遍布全境，结合断裂构造格局，形成福州地区的地貌骨架。</w:t>
      </w:r>
    </w:p>
    <w:p w14:paraId="338C7B75">
      <w:pPr>
        <w:pStyle w:val="52"/>
        <w:rPr>
          <w:color w:val="000000" w:themeColor="text1"/>
          <w14:textFill>
            <w14:solidFill>
              <w14:schemeClr w14:val="tx1"/>
            </w14:solidFill>
          </w14:textFill>
        </w:rPr>
      </w:pPr>
      <w:r>
        <w:rPr>
          <w:color w:val="000000" w:themeColor="text1"/>
          <w14:textFill>
            <w14:solidFill>
              <w14:schemeClr w14:val="tx1"/>
            </w14:solidFill>
          </w14:textFill>
        </w:rPr>
        <w:t>第三纪时，福州地区陆域以上升剥蚀为主，故区内地层缺失第三系。</w:t>
      </w:r>
    </w:p>
    <w:p w14:paraId="0BCA70C1">
      <w:pPr>
        <w:pStyle w:val="52"/>
        <w:rPr>
          <w:color w:val="000000" w:themeColor="text1"/>
          <w14:textFill>
            <w14:solidFill>
              <w14:schemeClr w14:val="tx1"/>
            </w14:solidFill>
          </w14:textFill>
        </w:rPr>
      </w:pPr>
      <w:r>
        <w:rPr>
          <w:color w:val="000000" w:themeColor="text1"/>
          <w14:textFill>
            <w14:solidFill>
              <w14:schemeClr w14:val="tx1"/>
            </w14:solidFill>
          </w14:textFill>
        </w:rPr>
        <w:t>第三纪、第四纪仍有断裂活动。区内断裂纵横交错，把地壳分割成为许多大小不一的断块，这时期的断裂活动实质上就是断块活动。断块活动以间歇性的垂直升降活动为主，造成了区内地势高低悬殊和地形起伏不平。第四纪福州地区陆域以间歇性和缓上升为主，第四系相对发育较差。</w:t>
      </w:r>
    </w:p>
    <w:p w14:paraId="71682C02">
      <w:pPr>
        <w:pStyle w:val="6"/>
        <w:rPr>
          <w:color w:val="000000" w:themeColor="text1"/>
          <w14:textFill>
            <w14:solidFill>
              <w14:schemeClr w14:val="tx1"/>
            </w14:solidFill>
          </w14:textFill>
        </w:rPr>
      </w:pPr>
      <w:bookmarkStart w:id="51" w:name="_Toc112693992"/>
      <w:bookmarkStart w:id="52" w:name="_Toc112693857"/>
      <w:bookmarkStart w:id="53" w:name="_Toc112692559"/>
      <w:r>
        <w:rPr>
          <w:color w:val="000000" w:themeColor="text1"/>
          <w14:textFill>
            <w14:solidFill>
              <w14:schemeClr w14:val="tx1"/>
            </w14:solidFill>
          </w14:textFill>
        </w:rPr>
        <w:t>水文水系</w:t>
      </w:r>
      <w:bookmarkEnd w:id="51"/>
      <w:bookmarkEnd w:id="52"/>
      <w:bookmarkEnd w:id="53"/>
    </w:p>
    <w:p w14:paraId="49135073">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闽江从建新镇淮安村入境，为南台岛所隔，分为南北二港，南港称乌龙江，北港称白龙江(也称闽江)。二港均流向东南，至马尾镇汇合，折向东北，在琅岐岛再分二汊汇入东海。闽江在境内流长64.65公里，途中有南流的白马河、晋安河、磨溪、白眉溪等汇入。白马河发源于新店镇大夫岭，流经西湖、西门、黎明等村，从长汀村出台江区义洲后，汇入闽江，全长8公里，境内长5公里。晋安河发源于岭头乡叶洋村，流经新店、台江两镇，在鳌峰洲处汇入闽江，全长15公里。磨溪发源于茶洋山，流经鼓山镇的快洲，汇入闽江，全长7.82公里。白眉溪发源于亭江镇境内的螳螂岗与宦溪镇的蛇岭，经南洋、白眉、前洋、康坂，出闽安镇汇入闽江，全长22.4公里。</w:t>
      </w:r>
    </w:p>
    <w:p w14:paraId="4B1B5DAD">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郊区北峰山区有日溪、桂湖溪两大溪流，自西向东，流入敖江(在连江县境)。日溪，发源</w:t>
      </w:r>
      <w:r>
        <w:rPr>
          <w:color w:val="000000" w:themeColor="text1"/>
          <w:sz w:val="28"/>
          <w:szCs w:val="28"/>
          <w14:textFill>
            <w14:solidFill>
              <w14:schemeClr w14:val="tx1"/>
            </w14:solidFill>
          </w14:textFill>
        </w:rPr>
        <w:t>于</w:t>
      </w:r>
      <w:r>
        <w:rPr>
          <w:color w:val="000000" w:themeColor="text1"/>
          <w14:textFill>
            <w14:solidFill>
              <w14:schemeClr w14:val="tx1"/>
            </w14:solidFill>
          </w14:textFill>
        </w:rPr>
        <w:t>闽侯的牛姆山、岭头后山，经岭下、菜峰流入郊区，由日溪与华龙溪(又称华林溪)两干流汇合于日溪村，经戈潭向东流向连江县入敖江，全长29.4公里，境内长14.4公里。桂湖溪，发源于红寮乡长基村的牛场山、鹞山，曲折向东，沿途有青石溪、东兜溪、红庙溪、月洋溪、溪湾溪等支流汇入后，出连江县贵安，流入敖江，全长30.9公里。</w:t>
      </w:r>
    </w:p>
    <w:p w14:paraId="37011EF6">
      <w:pPr>
        <w:pStyle w:val="6"/>
        <w:rPr>
          <w:color w:val="000000" w:themeColor="text1"/>
          <w14:textFill>
            <w14:solidFill>
              <w14:schemeClr w14:val="tx1"/>
            </w14:solidFill>
          </w14:textFill>
        </w:rPr>
      </w:pPr>
      <w:bookmarkStart w:id="54" w:name="_Toc112693858"/>
      <w:bookmarkStart w:id="55" w:name="_Toc112692560"/>
      <w:bookmarkStart w:id="56" w:name="_Toc112693993"/>
      <w:r>
        <w:rPr>
          <w:color w:val="000000" w:themeColor="text1"/>
          <w14:textFill>
            <w14:solidFill>
              <w14:schemeClr w14:val="tx1"/>
            </w14:solidFill>
          </w14:textFill>
        </w:rPr>
        <w:t>水环境功能区划</w:t>
      </w:r>
      <w:bookmarkEnd w:id="54"/>
      <w:bookmarkEnd w:id="55"/>
      <w:bookmarkEnd w:id="56"/>
    </w:p>
    <w:p w14:paraId="57675996">
      <w:pPr>
        <w:pStyle w:val="52"/>
        <w:rPr>
          <w:color w:val="000000" w:themeColor="text1"/>
          <w14:textFill>
            <w14:solidFill>
              <w14:schemeClr w14:val="tx1"/>
            </w14:solidFill>
          </w14:textFill>
        </w:rPr>
        <w:sectPr>
          <w:footerReference r:id="rId3" w:type="default"/>
          <w:pgSz w:w="11906" w:h="16838"/>
          <w:pgMar w:top="1701" w:right="1701" w:bottom="1701" w:left="1701" w:header="851" w:footer="992" w:gutter="0"/>
          <w:pgNumType w:start="1"/>
          <w:cols w:space="720" w:num="1"/>
          <w:docGrid w:type="linesAndChars" w:linePitch="312" w:charSpace="0"/>
        </w:sectPr>
      </w:pPr>
      <w:r>
        <w:rPr>
          <w:color w:val="000000" w:themeColor="text1"/>
          <w14:textFill>
            <w14:solidFill>
              <w14:schemeClr w14:val="tx1"/>
            </w14:solidFill>
          </w14:textFill>
        </w:rPr>
        <w:t>晋安区内敖江及其支流桂湖溪、宦溪、桃源溪、寿山溪、红庙溪、青石溪、三门溪、华林溪和闽江支流龙潭溪、韦沃溪等。根据《福建省水(环境)功能区划》、《福建省人民政府关于修改&lt;敖江流域水源保护管理方法&gt;的决定》（福建省人民政府令第152号）、《福建省人民政府关于福州市地表水环境功能区划定方案的批复》(榕政综〔2006〕40号)、《福建省人民政府关于晋安区宦溪镇等54个乡镇生活饮用水地表水源保护区划定方案的批复》(闽政文〔2007〕212号)等相关政府批复以及《晋安区寿山乡生活饮用水地表水源保护区划定方案》、《晋安区日溪乡生活饮用水地表水源保护区划定方案》等水源保护区划定方案(具体划分见表2.2-1)判定本项目各集镇污水处理厂及排污口不涉及相关的饮用水源保护区，本项目涉及地表水体相关功能区划详见表2.2-2。</w:t>
      </w:r>
    </w:p>
    <w:p w14:paraId="4AB5D4F3">
      <w:pPr>
        <w:pStyle w:val="52"/>
        <w:spacing w:line="240" w:lineRule="auto"/>
        <w:ind w:firstLine="0" w:firstLineChars="0"/>
        <w:jc w:val="center"/>
        <w:rPr>
          <w:color w:val="000000" w:themeColor="text1"/>
          <w14:textFill>
            <w14:solidFill>
              <w14:schemeClr w14:val="tx1"/>
            </w14:solidFill>
          </w14:textFill>
        </w:rPr>
      </w:pPr>
      <w:r>
        <w:rPr>
          <w:color w:val="000000" w:themeColor="text1"/>
          <w:kern w:val="0"/>
          <w14:textFill>
            <w14:solidFill>
              <w14:schemeClr w14:val="tx1"/>
            </w14:solidFill>
          </w14:textFill>
        </w:rPr>
        <w:drawing>
          <wp:inline distT="0" distB="0" distL="0" distR="0">
            <wp:extent cx="7828280" cy="5074285"/>
            <wp:effectExtent l="0" t="0" r="1270" b="0"/>
            <wp:docPr id="2" name="图片 1" descr="C:\Users\liu\Desktop\图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liu\Desktop\图2.1-1.jpg"/>
                    <pic:cNvPicPr>
                      <a:picLocks noChangeAspect="1" noChangeArrowheads="1"/>
                    </pic:cNvPicPr>
                  </pic:nvPicPr>
                  <pic:blipFill>
                    <a:blip r:embed="rId7"/>
                    <a:srcRect/>
                    <a:stretch>
                      <a:fillRect/>
                    </a:stretch>
                  </pic:blipFill>
                  <pic:spPr>
                    <a:xfrm>
                      <a:off x="0" y="0"/>
                      <a:ext cx="7892356" cy="5116198"/>
                    </a:xfrm>
                    <a:prstGeom prst="rect">
                      <a:avLst/>
                    </a:prstGeom>
                    <a:noFill/>
                    <a:ln w="9525">
                      <a:noFill/>
                      <a:miter lim="800000"/>
                      <a:headEnd/>
                      <a:tailEnd/>
                    </a:ln>
                  </pic:spPr>
                </pic:pic>
              </a:graphicData>
            </a:graphic>
          </wp:inline>
        </w:drawing>
      </w:r>
    </w:p>
    <w:p w14:paraId="484FE097">
      <w:pPr>
        <w:pStyle w:val="442"/>
        <w:rPr>
          <w:color w:val="000000" w:themeColor="text1"/>
          <w14:textFill>
            <w14:solidFill>
              <w14:schemeClr w14:val="tx1"/>
            </w14:solidFill>
          </w14:textFill>
        </w:rPr>
      </w:pPr>
      <w:r>
        <w:rPr>
          <w:color w:val="000000" w:themeColor="text1"/>
          <w14:textFill>
            <w14:solidFill>
              <w14:schemeClr w14:val="tx1"/>
            </w14:solidFill>
          </w14:textFill>
        </w:rPr>
        <w:t>图2.2-1项目区域水系</w:t>
      </w:r>
    </w:p>
    <w:p w14:paraId="766A6D78">
      <w:pPr>
        <w:pStyle w:val="52"/>
        <w:ind w:firstLine="0" w:firstLineChars="0"/>
        <w:jc w:val="center"/>
        <w:rPr>
          <w:color w:val="000000" w:themeColor="text1"/>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1BFEA0D9">
      <w:pPr>
        <w:pStyle w:val="442"/>
        <w:rPr>
          <w:color w:val="000000" w:themeColor="text1"/>
          <w14:textFill>
            <w14:solidFill>
              <w14:schemeClr w14:val="tx1"/>
            </w14:solidFill>
          </w14:textFill>
        </w:rPr>
      </w:pPr>
      <w:r>
        <w:rPr>
          <w:color w:val="000000" w:themeColor="text1"/>
          <w14:textFill>
            <w14:solidFill>
              <w14:schemeClr w14:val="tx1"/>
            </w14:solidFill>
          </w14:textFill>
        </w:rPr>
        <w:t>表2.2-1晋安区水源保护区划定情况表</w:t>
      </w:r>
    </w:p>
    <w:tbl>
      <w:tblPr>
        <w:tblStyle w:val="5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043"/>
        <w:gridCol w:w="2313"/>
        <w:gridCol w:w="3795"/>
        <w:gridCol w:w="4071"/>
        <w:gridCol w:w="1810"/>
      </w:tblGrid>
      <w:tr w14:paraId="4B2B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 w:type="pct"/>
            <w:shd w:val="clear" w:color="auto" w:fill="auto"/>
            <w:vAlign w:val="center"/>
          </w:tcPr>
          <w:p w14:paraId="0A333295">
            <w:pPr>
              <w:adjustRightInd w:val="0"/>
              <w:snapToGrid w:val="0"/>
              <w:jc w:val="center"/>
              <w:rPr>
                <w:b/>
                <w:color w:val="000000" w:themeColor="text1"/>
                <w:kern w:val="0"/>
                <w14:textFill>
                  <w14:solidFill>
                    <w14:schemeClr w14:val="tx1"/>
                  </w14:solidFill>
                </w14:textFill>
              </w:rPr>
            </w:pPr>
            <w:r>
              <w:rPr>
                <w:b/>
                <w:color w:val="000000" w:themeColor="text1"/>
                <w:kern w:val="0"/>
                <w14:textFill>
                  <w14:solidFill>
                    <w14:schemeClr w14:val="tx1"/>
                  </w14:solidFill>
                </w14:textFill>
              </w:rPr>
              <w:t>序号</w:t>
            </w:r>
          </w:p>
        </w:tc>
        <w:tc>
          <w:tcPr>
            <w:tcW w:w="382" w:type="pct"/>
            <w:shd w:val="clear" w:color="auto" w:fill="auto"/>
            <w:vAlign w:val="center"/>
          </w:tcPr>
          <w:p w14:paraId="13F43F26">
            <w:pPr>
              <w:adjustRightInd w:val="0"/>
              <w:snapToGrid w:val="0"/>
              <w:jc w:val="center"/>
              <w:rPr>
                <w:b/>
                <w:color w:val="000000" w:themeColor="text1"/>
                <w:kern w:val="0"/>
                <w14:textFill>
                  <w14:solidFill>
                    <w14:schemeClr w14:val="tx1"/>
                  </w14:solidFill>
                </w14:textFill>
              </w:rPr>
            </w:pPr>
            <w:r>
              <w:rPr>
                <w:b/>
                <w:color w:val="000000" w:themeColor="text1"/>
                <w:kern w:val="0"/>
                <w14:textFill>
                  <w14:solidFill>
                    <w14:schemeClr w14:val="tx1"/>
                  </w14:solidFill>
                </w14:textFill>
              </w:rPr>
              <w:t>河流（段）名称</w:t>
            </w:r>
          </w:p>
        </w:tc>
        <w:tc>
          <w:tcPr>
            <w:tcW w:w="847" w:type="pct"/>
            <w:shd w:val="clear" w:color="auto" w:fill="auto"/>
            <w:vAlign w:val="center"/>
          </w:tcPr>
          <w:p w14:paraId="7EB4D9F9">
            <w:pPr>
              <w:adjustRightInd w:val="0"/>
              <w:snapToGrid w:val="0"/>
              <w:jc w:val="center"/>
              <w:rPr>
                <w:b/>
                <w:color w:val="000000" w:themeColor="text1"/>
                <w:kern w:val="0"/>
                <w14:textFill>
                  <w14:solidFill>
                    <w14:schemeClr w14:val="tx1"/>
                  </w14:solidFill>
                </w14:textFill>
              </w:rPr>
            </w:pPr>
            <w:r>
              <w:rPr>
                <w:b/>
                <w:color w:val="000000" w:themeColor="text1"/>
                <w:kern w:val="0"/>
                <w14:textFill>
                  <w14:solidFill>
                    <w14:schemeClr w14:val="tx1"/>
                  </w14:solidFill>
                </w14:textFill>
              </w:rPr>
              <w:t>水源地名称</w:t>
            </w:r>
          </w:p>
        </w:tc>
        <w:tc>
          <w:tcPr>
            <w:tcW w:w="1390" w:type="pct"/>
            <w:shd w:val="clear" w:color="auto" w:fill="auto"/>
            <w:vAlign w:val="center"/>
          </w:tcPr>
          <w:p w14:paraId="2A3E156F">
            <w:pPr>
              <w:adjustRightInd w:val="0"/>
              <w:snapToGrid w:val="0"/>
              <w:jc w:val="center"/>
              <w:rPr>
                <w:b/>
                <w:color w:val="000000" w:themeColor="text1"/>
                <w:kern w:val="0"/>
                <w14:textFill>
                  <w14:solidFill>
                    <w14:schemeClr w14:val="tx1"/>
                  </w14:solidFill>
                </w14:textFill>
              </w:rPr>
            </w:pPr>
            <w:r>
              <w:rPr>
                <w:b/>
                <w:color w:val="000000" w:themeColor="text1"/>
                <w:kern w:val="0"/>
                <w14:textFill>
                  <w14:solidFill>
                    <w14:schemeClr w14:val="tx1"/>
                  </w14:solidFill>
                </w14:textFill>
              </w:rPr>
              <w:t>一级保护区范围</w:t>
            </w:r>
          </w:p>
        </w:tc>
        <w:tc>
          <w:tcPr>
            <w:tcW w:w="1491" w:type="pct"/>
            <w:shd w:val="clear" w:color="auto" w:fill="auto"/>
            <w:vAlign w:val="center"/>
          </w:tcPr>
          <w:p w14:paraId="53644353">
            <w:pPr>
              <w:adjustRightInd w:val="0"/>
              <w:snapToGrid w:val="0"/>
              <w:jc w:val="center"/>
              <w:rPr>
                <w:b/>
                <w:color w:val="000000" w:themeColor="text1"/>
                <w:kern w:val="0"/>
                <w14:textFill>
                  <w14:solidFill>
                    <w14:schemeClr w14:val="tx1"/>
                  </w14:solidFill>
                </w14:textFill>
              </w:rPr>
            </w:pPr>
            <w:r>
              <w:rPr>
                <w:b/>
                <w:color w:val="000000" w:themeColor="text1"/>
                <w:kern w:val="0"/>
                <w14:textFill>
                  <w14:solidFill>
                    <w14:schemeClr w14:val="tx1"/>
                  </w14:solidFill>
                </w14:textFill>
              </w:rPr>
              <w:t>二级保护区范围</w:t>
            </w:r>
          </w:p>
        </w:tc>
        <w:tc>
          <w:tcPr>
            <w:tcW w:w="663" w:type="pct"/>
            <w:shd w:val="clear" w:color="auto" w:fill="auto"/>
            <w:vAlign w:val="center"/>
          </w:tcPr>
          <w:p w14:paraId="28E218FE">
            <w:pPr>
              <w:adjustRightInd w:val="0"/>
              <w:snapToGrid w:val="0"/>
              <w:jc w:val="center"/>
              <w:rPr>
                <w:b/>
                <w:color w:val="000000" w:themeColor="text1"/>
                <w:kern w:val="0"/>
                <w14:textFill>
                  <w14:solidFill>
                    <w14:schemeClr w14:val="tx1"/>
                  </w14:solidFill>
                </w14:textFill>
              </w:rPr>
            </w:pPr>
            <w:r>
              <w:rPr>
                <w:b/>
                <w:color w:val="000000" w:themeColor="text1"/>
                <w:kern w:val="0"/>
                <w14:textFill>
                  <w14:solidFill>
                    <w14:schemeClr w14:val="tx1"/>
                  </w14:solidFill>
                </w14:textFill>
              </w:rPr>
              <w:t>政府批复文号</w:t>
            </w:r>
          </w:p>
        </w:tc>
      </w:tr>
      <w:tr w14:paraId="0F33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 w:type="pct"/>
            <w:shd w:val="clear" w:color="auto" w:fill="auto"/>
            <w:vAlign w:val="center"/>
          </w:tcPr>
          <w:p w14:paraId="08D1E52C">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1</w:t>
            </w:r>
          </w:p>
        </w:tc>
        <w:tc>
          <w:tcPr>
            <w:tcW w:w="382" w:type="pct"/>
            <w:shd w:val="clear" w:color="auto" w:fill="auto"/>
            <w:vAlign w:val="center"/>
          </w:tcPr>
          <w:p w14:paraId="0B3CAB31">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敖江</w:t>
            </w:r>
          </w:p>
        </w:tc>
        <w:tc>
          <w:tcPr>
            <w:tcW w:w="847" w:type="pct"/>
            <w:shd w:val="clear" w:color="auto" w:fill="auto"/>
            <w:vAlign w:val="center"/>
          </w:tcPr>
          <w:p w14:paraId="3E6E30CF">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敖江流域塘坂、观音阁饮用水保护区</w:t>
            </w:r>
          </w:p>
        </w:tc>
        <w:tc>
          <w:tcPr>
            <w:tcW w:w="1390" w:type="pct"/>
            <w:shd w:val="clear" w:color="auto" w:fill="auto"/>
            <w:vAlign w:val="center"/>
          </w:tcPr>
          <w:p w14:paraId="02CCC355">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山仔水库的傍尾至塘坂水库大坝（包括敖江支流至樟后、半岭、黄竹头、日溪桥、党洋的河段）的水域及其两岸100米以内的陆域和敖江下游连江县江滨路长汀村入村口至已古下游300米处（解放大桥）的水域及其两岸100米内的陆域</w:t>
            </w:r>
          </w:p>
        </w:tc>
        <w:tc>
          <w:tcPr>
            <w:tcW w:w="1491" w:type="pct"/>
            <w:shd w:val="clear" w:color="auto" w:fill="auto"/>
            <w:vAlign w:val="center"/>
          </w:tcPr>
          <w:p w14:paraId="703159FC">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从山仔水库的傍尾至古田鹤塘镇的双洋、苏洋（包括敖江支流至后彰、杉洋、大甲、卓洋、溪坂洋、刘洋、飞竹的河段）的敖江水域及其两岸100米以内的陆域；从塘坂水库大坝至敖江下游连江县江滨路长汀村村口、敖江已古下游300米处（解放大桥）至沈海高速公路桥断面（不含桥）以及日溪桥至福州市晋安区的湖里、坝坑的敖江水域及其两岸100米以内的陆域</w:t>
            </w:r>
          </w:p>
        </w:tc>
        <w:tc>
          <w:tcPr>
            <w:tcW w:w="663" w:type="pct"/>
            <w:shd w:val="clear" w:color="auto" w:fill="auto"/>
            <w:vAlign w:val="center"/>
          </w:tcPr>
          <w:p w14:paraId="06EEE72C">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福建省人民政府令第152号</w:t>
            </w:r>
          </w:p>
        </w:tc>
      </w:tr>
      <w:tr w14:paraId="6D65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 w:type="pct"/>
            <w:shd w:val="clear" w:color="auto" w:fill="auto"/>
            <w:vAlign w:val="center"/>
          </w:tcPr>
          <w:p w14:paraId="62E1F4C8">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2</w:t>
            </w:r>
          </w:p>
        </w:tc>
        <w:tc>
          <w:tcPr>
            <w:tcW w:w="382" w:type="pct"/>
            <w:shd w:val="clear" w:color="auto" w:fill="auto"/>
            <w:vAlign w:val="center"/>
          </w:tcPr>
          <w:p w14:paraId="728FCD36">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敖江</w:t>
            </w:r>
          </w:p>
        </w:tc>
        <w:tc>
          <w:tcPr>
            <w:tcW w:w="847" w:type="pct"/>
            <w:shd w:val="clear" w:color="auto" w:fill="auto"/>
            <w:vAlign w:val="center"/>
          </w:tcPr>
          <w:p w14:paraId="3EA851C7">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寿山乡黄金井水库水源保护区</w:t>
            </w:r>
          </w:p>
        </w:tc>
        <w:tc>
          <w:tcPr>
            <w:tcW w:w="1390" w:type="pct"/>
            <w:shd w:val="clear" w:color="auto" w:fill="auto"/>
            <w:vAlign w:val="center"/>
          </w:tcPr>
          <w:p w14:paraId="05D6D669">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黄金井水库库区水域及其沿岸外延200米范围陆域</w:t>
            </w:r>
          </w:p>
        </w:tc>
        <w:tc>
          <w:tcPr>
            <w:tcW w:w="1491" w:type="pct"/>
            <w:shd w:val="clear" w:color="auto" w:fill="auto"/>
            <w:vAlign w:val="center"/>
          </w:tcPr>
          <w:p w14:paraId="5AECFF60">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黄金井水库的整个汇水流域（以及保护区范围除外）</w:t>
            </w:r>
          </w:p>
        </w:tc>
        <w:tc>
          <w:tcPr>
            <w:tcW w:w="663" w:type="pct"/>
            <w:shd w:val="clear" w:color="auto" w:fill="auto"/>
            <w:vAlign w:val="center"/>
          </w:tcPr>
          <w:p w14:paraId="1B6210F6">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闽政文</w:t>
            </w:r>
            <w:r>
              <w:rPr>
                <w:color w:val="000000" w:themeColor="text1"/>
                <w14:textFill>
                  <w14:solidFill>
                    <w14:schemeClr w14:val="tx1"/>
                  </w14:solidFill>
                </w14:textFill>
              </w:rPr>
              <w:t>〔2012〕</w:t>
            </w:r>
            <w:r>
              <w:rPr>
                <w:color w:val="000000" w:themeColor="text1"/>
                <w:kern w:val="0"/>
                <w14:textFill>
                  <w14:solidFill>
                    <w14:schemeClr w14:val="tx1"/>
                  </w14:solidFill>
                </w14:textFill>
              </w:rPr>
              <w:t>36号</w:t>
            </w:r>
          </w:p>
        </w:tc>
      </w:tr>
      <w:tr w14:paraId="66D2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 w:type="pct"/>
            <w:shd w:val="clear" w:color="auto" w:fill="auto"/>
            <w:vAlign w:val="center"/>
          </w:tcPr>
          <w:p w14:paraId="152B4BA5">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3</w:t>
            </w:r>
          </w:p>
        </w:tc>
        <w:tc>
          <w:tcPr>
            <w:tcW w:w="382" w:type="pct"/>
            <w:shd w:val="clear" w:color="auto" w:fill="auto"/>
            <w:vAlign w:val="center"/>
          </w:tcPr>
          <w:p w14:paraId="0A930C3D">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敖江</w:t>
            </w:r>
          </w:p>
        </w:tc>
        <w:tc>
          <w:tcPr>
            <w:tcW w:w="847" w:type="pct"/>
            <w:shd w:val="clear" w:color="auto" w:fill="auto"/>
            <w:vAlign w:val="center"/>
          </w:tcPr>
          <w:p w14:paraId="36797E0B">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日溪水厂水源保护区</w:t>
            </w:r>
          </w:p>
        </w:tc>
        <w:tc>
          <w:tcPr>
            <w:tcW w:w="1390" w:type="pct"/>
            <w:shd w:val="clear" w:color="auto" w:fill="auto"/>
            <w:vAlign w:val="center"/>
          </w:tcPr>
          <w:p w14:paraId="380BEEC8">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日溪乡水厂取水口上游整个汇水区</w:t>
            </w:r>
          </w:p>
        </w:tc>
        <w:tc>
          <w:tcPr>
            <w:tcW w:w="1491" w:type="pct"/>
            <w:shd w:val="clear" w:color="auto" w:fill="auto"/>
            <w:vAlign w:val="center"/>
          </w:tcPr>
          <w:p w14:paraId="7DCFBB25">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无</w:t>
            </w:r>
          </w:p>
        </w:tc>
        <w:tc>
          <w:tcPr>
            <w:tcW w:w="663" w:type="pct"/>
            <w:shd w:val="clear" w:color="auto" w:fill="auto"/>
            <w:vAlign w:val="center"/>
          </w:tcPr>
          <w:p w14:paraId="268BE2F7">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闽政文</w:t>
            </w:r>
            <w:r>
              <w:rPr>
                <w:color w:val="000000" w:themeColor="text1"/>
                <w14:textFill>
                  <w14:solidFill>
                    <w14:schemeClr w14:val="tx1"/>
                  </w14:solidFill>
                </w14:textFill>
              </w:rPr>
              <w:t>〔2012〕</w:t>
            </w:r>
            <w:r>
              <w:rPr>
                <w:color w:val="000000" w:themeColor="text1"/>
                <w:kern w:val="0"/>
                <w14:textFill>
                  <w14:solidFill>
                    <w14:schemeClr w14:val="tx1"/>
                  </w14:solidFill>
                </w14:textFill>
              </w:rPr>
              <w:t>36号</w:t>
            </w:r>
          </w:p>
        </w:tc>
      </w:tr>
      <w:tr w14:paraId="0B9A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 w:type="pct"/>
            <w:shd w:val="clear" w:color="auto" w:fill="auto"/>
            <w:vAlign w:val="center"/>
          </w:tcPr>
          <w:p w14:paraId="16B1F877">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4</w:t>
            </w:r>
          </w:p>
        </w:tc>
        <w:tc>
          <w:tcPr>
            <w:tcW w:w="382" w:type="pct"/>
            <w:shd w:val="clear" w:color="auto" w:fill="auto"/>
            <w:vAlign w:val="center"/>
          </w:tcPr>
          <w:p w14:paraId="38EC6BC7">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敖江</w:t>
            </w:r>
          </w:p>
        </w:tc>
        <w:tc>
          <w:tcPr>
            <w:tcW w:w="847" w:type="pct"/>
            <w:shd w:val="clear" w:color="auto" w:fill="auto"/>
            <w:vAlign w:val="center"/>
          </w:tcPr>
          <w:p w14:paraId="76C39E7D">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宦溪镇南口水库水源保护区</w:t>
            </w:r>
          </w:p>
        </w:tc>
        <w:tc>
          <w:tcPr>
            <w:tcW w:w="1390" w:type="pct"/>
            <w:shd w:val="clear" w:color="auto" w:fill="auto"/>
            <w:vAlign w:val="center"/>
          </w:tcPr>
          <w:p w14:paraId="5984AA76">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南口水库大坝至上游1200米水域及其沿岸外延至海拔575米等高线范围陆域</w:t>
            </w:r>
          </w:p>
        </w:tc>
        <w:tc>
          <w:tcPr>
            <w:tcW w:w="1491" w:type="pct"/>
            <w:shd w:val="clear" w:color="auto" w:fill="auto"/>
            <w:vAlign w:val="center"/>
          </w:tcPr>
          <w:p w14:paraId="07E91B42">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南口水库的整个汇水流域（一级保护区范围外）</w:t>
            </w:r>
          </w:p>
        </w:tc>
        <w:tc>
          <w:tcPr>
            <w:tcW w:w="663" w:type="pct"/>
            <w:shd w:val="clear" w:color="auto" w:fill="auto"/>
            <w:vAlign w:val="center"/>
          </w:tcPr>
          <w:p w14:paraId="6ABA205D">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闽政文</w:t>
            </w:r>
            <w:r>
              <w:rPr>
                <w:color w:val="000000" w:themeColor="text1"/>
                <w14:textFill>
                  <w14:solidFill>
                    <w14:schemeClr w14:val="tx1"/>
                  </w14:solidFill>
                </w14:textFill>
              </w:rPr>
              <w:t>〔2007〕</w:t>
            </w:r>
            <w:r>
              <w:rPr>
                <w:color w:val="000000" w:themeColor="text1"/>
                <w:kern w:val="0"/>
                <w14:textFill>
                  <w14:solidFill>
                    <w14:schemeClr w14:val="tx1"/>
                  </w14:solidFill>
                </w14:textFill>
              </w:rPr>
              <w:t>212号</w:t>
            </w:r>
          </w:p>
        </w:tc>
      </w:tr>
      <w:tr w14:paraId="0453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 w:type="pct"/>
            <w:shd w:val="clear" w:color="auto" w:fill="auto"/>
            <w:vAlign w:val="center"/>
          </w:tcPr>
          <w:p w14:paraId="57C79D6D">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5</w:t>
            </w:r>
          </w:p>
        </w:tc>
        <w:tc>
          <w:tcPr>
            <w:tcW w:w="382" w:type="pct"/>
            <w:shd w:val="clear" w:color="auto" w:fill="auto"/>
            <w:vAlign w:val="center"/>
          </w:tcPr>
          <w:p w14:paraId="0BF25643">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敖江</w:t>
            </w:r>
          </w:p>
        </w:tc>
        <w:tc>
          <w:tcPr>
            <w:tcW w:w="847" w:type="pct"/>
            <w:shd w:val="clear" w:color="auto" w:fill="auto"/>
            <w:vAlign w:val="center"/>
          </w:tcPr>
          <w:p w14:paraId="0C0370C9">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宦溪镇柯坪水库水源保护区</w:t>
            </w:r>
          </w:p>
        </w:tc>
        <w:tc>
          <w:tcPr>
            <w:tcW w:w="1390" w:type="pct"/>
            <w:shd w:val="clear" w:color="auto" w:fill="auto"/>
            <w:vAlign w:val="center"/>
          </w:tcPr>
          <w:p w14:paraId="6B07D02E">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柯坪水库库区水域及其沿岸外延至海拔700米等高线范围陆域</w:t>
            </w:r>
          </w:p>
        </w:tc>
        <w:tc>
          <w:tcPr>
            <w:tcW w:w="1491" w:type="pct"/>
            <w:shd w:val="clear" w:color="auto" w:fill="auto"/>
            <w:vAlign w:val="center"/>
          </w:tcPr>
          <w:p w14:paraId="54EE6413">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柯坪水库的整个汇水流域（一级保护区范围除外）</w:t>
            </w:r>
          </w:p>
        </w:tc>
        <w:tc>
          <w:tcPr>
            <w:tcW w:w="663" w:type="pct"/>
            <w:shd w:val="clear" w:color="auto" w:fill="auto"/>
            <w:vAlign w:val="center"/>
          </w:tcPr>
          <w:p w14:paraId="6347702E">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闽政文</w:t>
            </w:r>
            <w:r>
              <w:rPr>
                <w:color w:val="000000" w:themeColor="text1"/>
                <w14:textFill>
                  <w14:solidFill>
                    <w14:schemeClr w14:val="tx1"/>
                  </w14:solidFill>
                </w14:textFill>
              </w:rPr>
              <w:t>〔2007〕</w:t>
            </w:r>
            <w:r>
              <w:rPr>
                <w:color w:val="000000" w:themeColor="text1"/>
                <w:kern w:val="0"/>
                <w14:textFill>
                  <w14:solidFill>
                    <w14:schemeClr w14:val="tx1"/>
                  </w14:solidFill>
                </w14:textFill>
              </w:rPr>
              <w:t>212号</w:t>
            </w:r>
          </w:p>
        </w:tc>
      </w:tr>
    </w:tbl>
    <w:p w14:paraId="7087A5FF">
      <w:pPr>
        <w:pStyle w:val="52"/>
        <w:ind w:firstLine="0" w:firstLineChars="0"/>
        <w:rPr>
          <w:color w:val="000000" w:themeColor="text1"/>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054A34F4">
      <w:pPr>
        <w:pStyle w:val="442"/>
        <w:rPr>
          <w:color w:val="000000" w:themeColor="text1"/>
          <w14:textFill>
            <w14:solidFill>
              <w14:schemeClr w14:val="tx1"/>
            </w14:solidFill>
          </w14:textFill>
        </w:rPr>
      </w:pPr>
      <w:r>
        <w:rPr>
          <w:color w:val="000000" w:themeColor="text1"/>
          <w14:textFill>
            <w14:solidFill>
              <w14:schemeClr w14:val="tx1"/>
            </w14:solidFill>
          </w14:textFill>
        </w:rPr>
        <w:t>表2.2-2晋安区流域各河段水功能区划一览表</w:t>
      </w:r>
    </w:p>
    <w:tbl>
      <w:tblPr>
        <w:tblStyle w:val="5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2124"/>
        <w:gridCol w:w="2599"/>
        <w:gridCol w:w="1966"/>
        <w:gridCol w:w="4186"/>
        <w:gridCol w:w="1712"/>
      </w:tblGrid>
      <w:tr w14:paraId="2DF0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390" w:type="pct"/>
            <w:shd w:val="clear" w:color="auto" w:fill="auto"/>
            <w:vAlign w:val="center"/>
          </w:tcPr>
          <w:p w14:paraId="549527D9">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水系</w:t>
            </w:r>
          </w:p>
        </w:tc>
        <w:tc>
          <w:tcPr>
            <w:tcW w:w="778" w:type="pct"/>
            <w:shd w:val="clear" w:color="auto" w:fill="auto"/>
            <w:vAlign w:val="center"/>
          </w:tcPr>
          <w:p w14:paraId="6ED94D6E">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水体</w:t>
            </w:r>
          </w:p>
        </w:tc>
        <w:tc>
          <w:tcPr>
            <w:tcW w:w="952" w:type="pct"/>
            <w:shd w:val="clear" w:color="auto" w:fill="auto"/>
            <w:vAlign w:val="center"/>
          </w:tcPr>
          <w:p w14:paraId="0D56C7C3">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涉及的村庄</w:t>
            </w:r>
          </w:p>
        </w:tc>
        <w:tc>
          <w:tcPr>
            <w:tcW w:w="720" w:type="pct"/>
            <w:shd w:val="clear" w:color="auto" w:fill="auto"/>
            <w:vAlign w:val="center"/>
          </w:tcPr>
          <w:p w14:paraId="53A958C9">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水域范围</w:t>
            </w:r>
          </w:p>
        </w:tc>
        <w:tc>
          <w:tcPr>
            <w:tcW w:w="1533" w:type="pct"/>
            <w:shd w:val="clear" w:color="auto" w:fill="auto"/>
            <w:vAlign w:val="center"/>
          </w:tcPr>
          <w:p w14:paraId="31701531">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水体主要功能</w:t>
            </w:r>
          </w:p>
        </w:tc>
        <w:tc>
          <w:tcPr>
            <w:tcW w:w="627" w:type="pct"/>
            <w:shd w:val="clear" w:color="auto" w:fill="auto"/>
            <w:vAlign w:val="center"/>
          </w:tcPr>
          <w:p w14:paraId="29B197D4">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环境功</w:t>
            </w:r>
          </w:p>
          <w:p w14:paraId="422B80BD">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能类别</w:t>
            </w:r>
          </w:p>
        </w:tc>
      </w:tr>
      <w:tr w14:paraId="574F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 w:type="pct"/>
            <w:shd w:val="clear" w:color="auto" w:fill="auto"/>
            <w:vAlign w:val="center"/>
          </w:tcPr>
          <w:p w14:paraId="0E4EA09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闽江</w:t>
            </w:r>
          </w:p>
        </w:tc>
        <w:tc>
          <w:tcPr>
            <w:tcW w:w="778" w:type="pct"/>
            <w:shd w:val="clear" w:color="auto" w:fill="auto"/>
            <w:vAlign w:val="center"/>
          </w:tcPr>
          <w:p w14:paraId="08B1501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龙潭溪</w:t>
            </w:r>
          </w:p>
        </w:tc>
        <w:tc>
          <w:tcPr>
            <w:tcW w:w="952" w:type="pct"/>
            <w:vAlign w:val="center"/>
          </w:tcPr>
          <w:p w14:paraId="6A65A7B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叶洋村</w:t>
            </w:r>
          </w:p>
        </w:tc>
        <w:tc>
          <w:tcPr>
            <w:tcW w:w="720" w:type="pct"/>
            <w:shd w:val="clear" w:color="auto" w:fill="auto"/>
            <w:vAlign w:val="center"/>
          </w:tcPr>
          <w:p w14:paraId="56298CB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533" w:type="pct"/>
            <w:shd w:val="clear" w:color="auto" w:fill="auto"/>
            <w:vAlign w:val="center"/>
          </w:tcPr>
          <w:p w14:paraId="404C6B7C">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627" w:type="pct"/>
            <w:shd w:val="clear" w:color="auto" w:fill="auto"/>
            <w:vAlign w:val="center"/>
          </w:tcPr>
          <w:p w14:paraId="08736E0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Ⅲ</w:t>
            </w:r>
          </w:p>
        </w:tc>
      </w:tr>
      <w:tr w14:paraId="3713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 w:type="pct"/>
            <w:shd w:val="clear" w:color="auto" w:fill="auto"/>
            <w:vAlign w:val="center"/>
          </w:tcPr>
          <w:p w14:paraId="53E92B4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闽江</w:t>
            </w:r>
          </w:p>
        </w:tc>
        <w:tc>
          <w:tcPr>
            <w:tcW w:w="778" w:type="pct"/>
            <w:shd w:val="clear" w:color="auto" w:fill="auto"/>
            <w:vAlign w:val="center"/>
          </w:tcPr>
          <w:p w14:paraId="1600573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韦沃溪</w:t>
            </w:r>
          </w:p>
        </w:tc>
        <w:tc>
          <w:tcPr>
            <w:tcW w:w="952" w:type="pct"/>
            <w:vAlign w:val="center"/>
          </w:tcPr>
          <w:p w14:paraId="79A9B6E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胜利村</w:t>
            </w:r>
          </w:p>
        </w:tc>
        <w:tc>
          <w:tcPr>
            <w:tcW w:w="720" w:type="pct"/>
            <w:shd w:val="clear" w:color="auto" w:fill="auto"/>
            <w:vAlign w:val="center"/>
          </w:tcPr>
          <w:p w14:paraId="7B503C2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533" w:type="pct"/>
            <w:shd w:val="clear" w:color="auto" w:fill="auto"/>
            <w:vAlign w:val="center"/>
          </w:tcPr>
          <w:p w14:paraId="36568DF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627" w:type="pct"/>
            <w:shd w:val="clear" w:color="auto" w:fill="auto"/>
            <w:vAlign w:val="center"/>
          </w:tcPr>
          <w:p w14:paraId="1B2C405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Ⅲ</w:t>
            </w:r>
          </w:p>
        </w:tc>
      </w:tr>
      <w:tr w14:paraId="0E49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 w:type="pct"/>
            <w:shd w:val="clear" w:color="auto" w:fill="auto"/>
            <w:vAlign w:val="center"/>
          </w:tcPr>
          <w:p w14:paraId="0C6F8A31">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敖江</w:t>
            </w:r>
          </w:p>
        </w:tc>
        <w:tc>
          <w:tcPr>
            <w:tcW w:w="778" w:type="pct"/>
            <w:shd w:val="clear" w:color="auto" w:fill="auto"/>
            <w:vAlign w:val="center"/>
          </w:tcPr>
          <w:p w14:paraId="4E83B5E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宦溪</w:t>
            </w:r>
          </w:p>
        </w:tc>
        <w:tc>
          <w:tcPr>
            <w:tcW w:w="952" w:type="pct"/>
            <w:vAlign w:val="center"/>
          </w:tcPr>
          <w:p w14:paraId="3567585F">
            <w:pPr>
              <w:adjustRightInd w:val="0"/>
              <w:snapToGrid w:val="0"/>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亥由村、牛项村</w:t>
            </w:r>
          </w:p>
        </w:tc>
        <w:tc>
          <w:tcPr>
            <w:tcW w:w="720" w:type="pct"/>
            <w:shd w:val="clear" w:color="auto" w:fill="auto"/>
            <w:vAlign w:val="center"/>
          </w:tcPr>
          <w:p w14:paraId="4985FDD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全河段</w:t>
            </w:r>
          </w:p>
        </w:tc>
        <w:tc>
          <w:tcPr>
            <w:tcW w:w="1533" w:type="pct"/>
            <w:shd w:val="clear" w:color="auto" w:fill="auto"/>
            <w:vAlign w:val="center"/>
          </w:tcPr>
          <w:p w14:paraId="2BFDF11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渔业用水、工业用水、农业用水</w:t>
            </w:r>
          </w:p>
        </w:tc>
        <w:tc>
          <w:tcPr>
            <w:tcW w:w="627" w:type="pct"/>
            <w:shd w:val="clear" w:color="auto" w:fill="auto"/>
            <w:vAlign w:val="center"/>
          </w:tcPr>
          <w:p w14:paraId="6805314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Ⅲ</w:t>
            </w:r>
          </w:p>
        </w:tc>
      </w:tr>
      <w:tr w14:paraId="0153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 w:type="pct"/>
            <w:shd w:val="clear" w:color="auto" w:fill="auto"/>
            <w:vAlign w:val="center"/>
          </w:tcPr>
          <w:p w14:paraId="203CBE4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敖江</w:t>
            </w:r>
          </w:p>
        </w:tc>
        <w:tc>
          <w:tcPr>
            <w:tcW w:w="778" w:type="pct"/>
            <w:shd w:val="clear" w:color="auto" w:fill="auto"/>
            <w:vAlign w:val="center"/>
          </w:tcPr>
          <w:p w14:paraId="4C8CA8D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红庙溪</w:t>
            </w:r>
          </w:p>
        </w:tc>
        <w:tc>
          <w:tcPr>
            <w:tcW w:w="952" w:type="pct"/>
            <w:vAlign w:val="center"/>
          </w:tcPr>
          <w:p w14:paraId="4050D5D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红庙村</w:t>
            </w:r>
          </w:p>
        </w:tc>
        <w:tc>
          <w:tcPr>
            <w:tcW w:w="720" w:type="pct"/>
            <w:shd w:val="clear" w:color="auto" w:fill="auto"/>
            <w:vAlign w:val="center"/>
          </w:tcPr>
          <w:p w14:paraId="1946ABC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全河段</w:t>
            </w:r>
          </w:p>
        </w:tc>
        <w:tc>
          <w:tcPr>
            <w:tcW w:w="1533" w:type="pct"/>
            <w:shd w:val="clear" w:color="auto" w:fill="auto"/>
            <w:vAlign w:val="center"/>
          </w:tcPr>
          <w:p w14:paraId="50154DFC">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渔业用水、工业用水、农业用水</w:t>
            </w:r>
          </w:p>
        </w:tc>
        <w:tc>
          <w:tcPr>
            <w:tcW w:w="627" w:type="pct"/>
            <w:shd w:val="clear" w:color="auto" w:fill="auto"/>
            <w:vAlign w:val="center"/>
          </w:tcPr>
          <w:p w14:paraId="31B1EFA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Ⅴ</w:t>
            </w:r>
          </w:p>
        </w:tc>
      </w:tr>
      <w:tr w14:paraId="4AE0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 w:type="pct"/>
            <w:shd w:val="clear" w:color="auto" w:fill="auto"/>
            <w:vAlign w:val="center"/>
          </w:tcPr>
          <w:p w14:paraId="5283299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敖江</w:t>
            </w:r>
          </w:p>
        </w:tc>
        <w:tc>
          <w:tcPr>
            <w:tcW w:w="778" w:type="pct"/>
            <w:shd w:val="clear" w:color="auto" w:fill="auto"/>
            <w:vAlign w:val="center"/>
          </w:tcPr>
          <w:p w14:paraId="7826917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上寮溪</w:t>
            </w:r>
          </w:p>
        </w:tc>
        <w:tc>
          <w:tcPr>
            <w:tcW w:w="952" w:type="pct"/>
            <w:vAlign w:val="center"/>
          </w:tcPr>
          <w:p w14:paraId="0CEA217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优山村、长基村</w:t>
            </w:r>
          </w:p>
        </w:tc>
        <w:tc>
          <w:tcPr>
            <w:tcW w:w="720" w:type="pct"/>
            <w:shd w:val="clear" w:color="auto" w:fill="auto"/>
            <w:vAlign w:val="center"/>
          </w:tcPr>
          <w:p w14:paraId="1251FE6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533" w:type="pct"/>
            <w:shd w:val="clear" w:color="auto" w:fill="auto"/>
            <w:vAlign w:val="center"/>
          </w:tcPr>
          <w:p w14:paraId="2CDF9171">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627" w:type="pct"/>
            <w:shd w:val="clear" w:color="auto" w:fill="auto"/>
            <w:vAlign w:val="center"/>
          </w:tcPr>
          <w:p w14:paraId="19E4365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Ⅲ</w:t>
            </w:r>
          </w:p>
        </w:tc>
      </w:tr>
      <w:tr w14:paraId="19CC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 w:type="pct"/>
            <w:shd w:val="clear" w:color="auto" w:fill="auto"/>
            <w:vAlign w:val="center"/>
          </w:tcPr>
          <w:p w14:paraId="18986D1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敖江</w:t>
            </w:r>
          </w:p>
        </w:tc>
        <w:tc>
          <w:tcPr>
            <w:tcW w:w="778" w:type="pct"/>
            <w:shd w:val="clear" w:color="auto" w:fill="auto"/>
            <w:vAlign w:val="center"/>
          </w:tcPr>
          <w:p w14:paraId="2388C73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青石溪</w:t>
            </w:r>
          </w:p>
        </w:tc>
        <w:tc>
          <w:tcPr>
            <w:tcW w:w="952" w:type="pct"/>
            <w:vAlign w:val="center"/>
          </w:tcPr>
          <w:p w14:paraId="5971C6A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吾洋村</w:t>
            </w:r>
          </w:p>
        </w:tc>
        <w:tc>
          <w:tcPr>
            <w:tcW w:w="720" w:type="pct"/>
            <w:shd w:val="clear" w:color="auto" w:fill="auto"/>
            <w:vAlign w:val="center"/>
          </w:tcPr>
          <w:p w14:paraId="7369A06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533" w:type="pct"/>
            <w:shd w:val="clear" w:color="auto" w:fill="auto"/>
            <w:vAlign w:val="center"/>
          </w:tcPr>
          <w:p w14:paraId="01A67D4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627" w:type="pct"/>
            <w:shd w:val="clear" w:color="auto" w:fill="auto"/>
            <w:vAlign w:val="center"/>
          </w:tcPr>
          <w:p w14:paraId="4B48407C">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Ⅲ</w:t>
            </w:r>
          </w:p>
        </w:tc>
      </w:tr>
      <w:tr w14:paraId="74ED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 w:type="pct"/>
            <w:shd w:val="clear" w:color="auto" w:fill="auto"/>
            <w:vAlign w:val="center"/>
          </w:tcPr>
          <w:p w14:paraId="2B21C971">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敖江</w:t>
            </w:r>
          </w:p>
        </w:tc>
        <w:tc>
          <w:tcPr>
            <w:tcW w:w="778" w:type="pct"/>
            <w:shd w:val="clear" w:color="auto" w:fill="auto"/>
            <w:vAlign w:val="center"/>
          </w:tcPr>
          <w:p w14:paraId="640CA0E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桃源溪</w:t>
            </w:r>
          </w:p>
        </w:tc>
        <w:tc>
          <w:tcPr>
            <w:tcW w:w="952" w:type="pct"/>
            <w:vAlign w:val="center"/>
          </w:tcPr>
          <w:p w14:paraId="66FAAD3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铁坑村</w:t>
            </w:r>
          </w:p>
        </w:tc>
        <w:tc>
          <w:tcPr>
            <w:tcW w:w="720" w:type="pct"/>
            <w:shd w:val="clear" w:color="auto" w:fill="auto"/>
            <w:vAlign w:val="center"/>
          </w:tcPr>
          <w:p w14:paraId="75C9F7D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533" w:type="pct"/>
            <w:shd w:val="clear" w:color="auto" w:fill="auto"/>
            <w:vAlign w:val="center"/>
          </w:tcPr>
          <w:p w14:paraId="321761D5">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627" w:type="pct"/>
            <w:shd w:val="clear" w:color="auto" w:fill="auto"/>
            <w:vAlign w:val="center"/>
          </w:tcPr>
          <w:p w14:paraId="053FAAE1">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Ⅲ</w:t>
            </w:r>
          </w:p>
        </w:tc>
      </w:tr>
      <w:tr w14:paraId="4F8F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 w:type="pct"/>
            <w:shd w:val="clear" w:color="auto" w:fill="auto"/>
            <w:vAlign w:val="center"/>
          </w:tcPr>
          <w:p w14:paraId="3A11641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敖江</w:t>
            </w:r>
          </w:p>
        </w:tc>
        <w:tc>
          <w:tcPr>
            <w:tcW w:w="778" w:type="pct"/>
            <w:shd w:val="clear" w:color="auto" w:fill="auto"/>
            <w:vAlign w:val="center"/>
          </w:tcPr>
          <w:p w14:paraId="76116CB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寿山溪</w:t>
            </w:r>
          </w:p>
        </w:tc>
        <w:tc>
          <w:tcPr>
            <w:tcW w:w="952" w:type="pct"/>
            <w:vAlign w:val="center"/>
          </w:tcPr>
          <w:p w14:paraId="406B05B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菜岭村</w:t>
            </w:r>
          </w:p>
        </w:tc>
        <w:tc>
          <w:tcPr>
            <w:tcW w:w="720" w:type="pct"/>
            <w:shd w:val="clear" w:color="auto" w:fill="auto"/>
            <w:vAlign w:val="center"/>
          </w:tcPr>
          <w:p w14:paraId="412C541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533" w:type="pct"/>
            <w:shd w:val="clear" w:color="auto" w:fill="auto"/>
            <w:vAlign w:val="center"/>
          </w:tcPr>
          <w:p w14:paraId="4AAAB50C">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627" w:type="pct"/>
            <w:shd w:val="clear" w:color="auto" w:fill="auto"/>
            <w:vAlign w:val="center"/>
          </w:tcPr>
          <w:p w14:paraId="6709CAD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Ⅲ</w:t>
            </w:r>
          </w:p>
        </w:tc>
      </w:tr>
      <w:tr w14:paraId="0635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 w:type="pct"/>
            <w:shd w:val="clear" w:color="auto" w:fill="auto"/>
            <w:vAlign w:val="center"/>
          </w:tcPr>
          <w:p w14:paraId="4DBCBC7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敖江</w:t>
            </w:r>
          </w:p>
        </w:tc>
        <w:tc>
          <w:tcPr>
            <w:tcW w:w="778" w:type="pct"/>
            <w:shd w:val="clear" w:color="auto" w:fill="auto"/>
            <w:vAlign w:val="center"/>
          </w:tcPr>
          <w:p w14:paraId="5155F8F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三门溪</w:t>
            </w:r>
          </w:p>
        </w:tc>
        <w:tc>
          <w:tcPr>
            <w:tcW w:w="952" w:type="pct"/>
            <w:vAlign w:val="center"/>
          </w:tcPr>
          <w:p w14:paraId="36CB229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增楼村</w:t>
            </w:r>
          </w:p>
        </w:tc>
        <w:tc>
          <w:tcPr>
            <w:tcW w:w="720" w:type="pct"/>
            <w:shd w:val="clear" w:color="auto" w:fill="auto"/>
            <w:vAlign w:val="center"/>
          </w:tcPr>
          <w:p w14:paraId="4737876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533" w:type="pct"/>
            <w:shd w:val="clear" w:color="auto" w:fill="auto"/>
            <w:vAlign w:val="center"/>
          </w:tcPr>
          <w:p w14:paraId="52E73C6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627" w:type="pct"/>
            <w:shd w:val="clear" w:color="auto" w:fill="auto"/>
            <w:vAlign w:val="center"/>
          </w:tcPr>
          <w:p w14:paraId="1887637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Ⅲ</w:t>
            </w:r>
          </w:p>
        </w:tc>
      </w:tr>
      <w:tr w14:paraId="1013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 w:type="pct"/>
            <w:shd w:val="clear" w:color="auto" w:fill="auto"/>
            <w:vAlign w:val="center"/>
          </w:tcPr>
          <w:p w14:paraId="5FF8298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敖江</w:t>
            </w:r>
          </w:p>
        </w:tc>
        <w:tc>
          <w:tcPr>
            <w:tcW w:w="778" w:type="pct"/>
            <w:shd w:val="clear" w:color="auto" w:fill="auto"/>
            <w:vAlign w:val="center"/>
          </w:tcPr>
          <w:p w14:paraId="1E74C11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华林溪</w:t>
            </w:r>
          </w:p>
        </w:tc>
        <w:tc>
          <w:tcPr>
            <w:tcW w:w="952" w:type="pct"/>
            <w:vAlign w:val="center"/>
          </w:tcPr>
          <w:p w14:paraId="5EDBAC6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汶石村</w:t>
            </w:r>
          </w:p>
        </w:tc>
        <w:tc>
          <w:tcPr>
            <w:tcW w:w="720" w:type="pct"/>
            <w:shd w:val="clear" w:color="auto" w:fill="auto"/>
            <w:vAlign w:val="center"/>
          </w:tcPr>
          <w:p w14:paraId="59830C95">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533" w:type="pct"/>
            <w:shd w:val="clear" w:color="auto" w:fill="auto"/>
            <w:vAlign w:val="center"/>
          </w:tcPr>
          <w:p w14:paraId="5DAA60A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627" w:type="pct"/>
            <w:shd w:val="clear" w:color="auto" w:fill="auto"/>
            <w:vAlign w:val="center"/>
          </w:tcPr>
          <w:p w14:paraId="1BFBACA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Ⅲ</w:t>
            </w:r>
          </w:p>
        </w:tc>
      </w:tr>
      <w:tr w14:paraId="77CF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 w:type="pct"/>
            <w:shd w:val="clear" w:color="auto" w:fill="auto"/>
            <w:vAlign w:val="center"/>
          </w:tcPr>
          <w:p w14:paraId="31C53E5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敖江</w:t>
            </w:r>
          </w:p>
        </w:tc>
        <w:tc>
          <w:tcPr>
            <w:tcW w:w="778" w:type="pct"/>
            <w:shd w:val="clear" w:color="auto" w:fill="auto"/>
            <w:vAlign w:val="center"/>
          </w:tcPr>
          <w:p w14:paraId="6F5B004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桂湖溪</w:t>
            </w:r>
          </w:p>
        </w:tc>
        <w:tc>
          <w:tcPr>
            <w:tcW w:w="952" w:type="pct"/>
            <w:vAlign w:val="center"/>
          </w:tcPr>
          <w:p w14:paraId="034974A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江南竹村、山头顶村和峨眉村</w:t>
            </w:r>
          </w:p>
        </w:tc>
        <w:tc>
          <w:tcPr>
            <w:tcW w:w="720" w:type="pct"/>
            <w:shd w:val="clear" w:color="auto" w:fill="auto"/>
            <w:vAlign w:val="center"/>
          </w:tcPr>
          <w:p w14:paraId="20635C6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533" w:type="pct"/>
            <w:shd w:val="clear" w:color="auto" w:fill="auto"/>
            <w:vAlign w:val="center"/>
          </w:tcPr>
          <w:p w14:paraId="1102A70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627" w:type="pct"/>
            <w:shd w:val="clear" w:color="auto" w:fill="auto"/>
            <w:vAlign w:val="center"/>
          </w:tcPr>
          <w:p w14:paraId="459A4AB1">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Ⅲ</w:t>
            </w:r>
          </w:p>
        </w:tc>
      </w:tr>
    </w:tbl>
    <w:p w14:paraId="02E64E8F">
      <w:pPr>
        <w:pStyle w:val="52"/>
        <w:ind w:firstLine="0" w:firstLineChars="0"/>
        <w:rPr>
          <w:color w:val="000000" w:themeColor="text1"/>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064A395E">
      <w:pPr>
        <w:pStyle w:val="442"/>
        <w:rPr>
          <w:color w:val="000000" w:themeColor="text1"/>
          <w14:textFill>
            <w14:solidFill>
              <w14:schemeClr w14:val="tx1"/>
            </w14:solidFill>
          </w14:textFill>
        </w:rPr>
      </w:pPr>
      <w:r>
        <w:rPr>
          <w:color w:val="000000" w:themeColor="text1"/>
          <w14:textFill>
            <w14:solidFill>
              <w14:schemeClr w14:val="tx1"/>
            </w14:solidFill>
          </w14:textFill>
        </w:rPr>
        <w:t>表2.3-1本规划涉及5个村庄常住人口统计表（常住户数和人口数为2020年5-6月入村调查数据）</w:t>
      </w:r>
    </w:p>
    <w:tbl>
      <w:tblPr>
        <w:tblStyle w:val="56"/>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578"/>
        <w:gridCol w:w="483"/>
        <w:gridCol w:w="1236"/>
        <w:gridCol w:w="1647"/>
        <w:gridCol w:w="3196"/>
        <w:gridCol w:w="3285"/>
        <w:gridCol w:w="1620"/>
        <w:gridCol w:w="1444"/>
      </w:tblGrid>
      <w:tr w14:paraId="74174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tblHeader/>
          <w:jc w:val="center"/>
        </w:trPr>
        <w:tc>
          <w:tcPr>
            <w:tcW w:w="214" w:type="pct"/>
            <w:shd w:val="clear" w:color="auto" w:fill="auto"/>
            <w:vAlign w:val="center"/>
          </w:tcPr>
          <w:p w14:paraId="69A0210F">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79" w:type="pct"/>
            <w:shd w:val="clear" w:color="auto" w:fill="auto"/>
            <w:vAlign w:val="center"/>
          </w:tcPr>
          <w:p w14:paraId="7559C8C9">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乡镇</w:t>
            </w:r>
          </w:p>
        </w:tc>
        <w:tc>
          <w:tcPr>
            <w:tcW w:w="458" w:type="pct"/>
            <w:shd w:val="clear" w:color="auto" w:fill="auto"/>
            <w:vAlign w:val="center"/>
          </w:tcPr>
          <w:p w14:paraId="4793450A">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村庄名称</w:t>
            </w:r>
          </w:p>
        </w:tc>
        <w:tc>
          <w:tcPr>
            <w:tcW w:w="610" w:type="pct"/>
            <w:shd w:val="clear" w:color="auto" w:fill="auto"/>
            <w:vAlign w:val="center"/>
          </w:tcPr>
          <w:p w14:paraId="2A91966C">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自然村名称</w:t>
            </w:r>
          </w:p>
        </w:tc>
        <w:tc>
          <w:tcPr>
            <w:tcW w:w="1184" w:type="pct"/>
            <w:shd w:val="clear" w:color="auto" w:fill="auto"/>
            <w:vAlign w:val="center"/>
          </w:tcPr>
          <w:p w14:paraId="3CC99681">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是否沿溪（湖、库）</w:t>
            </w:r>
          </w:p>
        </w:tc>
        <w:tc>
          <w:tcPr>
            <w:tcW w:w="1217" w:type="pct"/>
            <w:shd w:val="clear" w:color="auto" w:fill="auto"/>
            <w:vAlign w:val="center"/>
          </w:tcPr>
          <w:p w14:paraId="64ECE046">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是否位于保护区</w:t>
            </w:r>
          </w:p>
        </w:tc>
        <w:tc>
          <w:tcPr>
            <w:tcW w:w="600" w:type="pct"/>
            <w:shd w:val="clear" w:color="auto" w:fill="auto"/>
            <w:vAlign w:val="center"/>
          </w:tcPr>
          <w:p w14:paraId="2796937B">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常住户数（户）</w:t>
            </w:r>
          </w:p>
        </w:tc>
        <w:tc>
          <w:tcPr>
            <w:tcW w:w="535" w:type="pct"/>
            <w:shd w:val="clear" w:color="auto" w:fill="auto"/>
            <w:vAlign w:val="center"/>
          </w:tcPr>
          <w:p w14:paraId="02DD5738">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常住人口（人）</w:t>
            </w:r>
          </w:p>
        </w:tc>
      </w:tr>
      <w:tr w14:paraId="3A4EF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restart"/>
            <w:vAlign w:val="center"/>
          </w:tcPr>
          <w:p w14:paraId="0274B442">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79" w:type="pct"/>
            <w:vMerge w:val="restart"/>
            <w:vAlign w:val="center"/>
          </w:tcPr>
          <w:p w14:paraId="6388F445">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宦溪镇</w:t>
            </w:r>
          </w:p>
        </w:tc>
        <w:tc>
          <w:tcPr>
            <w:tcW w:w="458" w:type="pct"/>
            <w:vMerge w:val="restart"/>
            <w:vAlign w:val="center"/>
          </w:tcPr>
          <w:p w14:paraId="01C63DC4">
            <w:pPr>
              <w:widowControl/>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宦溪村</w:t>
            </w:r>
          </w:p>
        </w:tc>
        <w:tc>
          <w:tcPr>
            <w:tcW w:w="610" w:type="pct"/>
            <w:vAlign w:val="center"/>
          </w:tcPr>
          <w:p w14:paraId="2581B4FD">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茶山村</w:t>
            </w:r>
          </w:p>
        </w:tc>
        <w:tc>
          <w:tcPr>
            <w:tcW w:w="1184" w:type="pct"/>
            <w:vAlign w:val="center"/>
          </w:tcPr>
          <w:p w14:paraId="312DC070">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1217" w:type="pct"/>
            <w:vAlign w:val="center"/>
          </w:tcPr>
          <w:p w14:paraId="64F33F56">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26832ABA">
            <w:pPr>
              <w:widowControl/>
              <w:jc w:val="center"/>
              <w:rPr>
                <w:color w:val="000000" w:themeColor="text1"/>
                <w:kern w:val="0"/>
                <w14:textFill>
                  <w14:solidFill>
                    <w14:schemeClr w14:val="tx1"/>
                  </w14:solidFill>
                </w14:textFill>
              </w:rPr>
            </w:pPr>
            <w:r>
              <w:rPr>
                <w:color w:val="000000" w:themeColor="text1"/>
                <w14:textFill>
                  <w14:solidFill>
                    <w14:schemeClr w14:val="tx1"/>
                  </w14:solidFill>
                </w14:textFill>
              </w:rPr>
              <w:t>73</w:t>
            </w:r>
          </w:p>
        </w:tc>
        <w:tc>
          <w:tcPr>
            <w:tcW w:w="535" w:type="pct"/>
            <w:vAlign w:val="center"/>
          </w:tcPr>
          <w:p w14:paraId="7AA3A017">
            <w:pPr>
              <w:jc w:val="center"/>
              <w:rPr>
                <w:color w:val="000000" w:themeColor="text1"/>
                <w14:textFill>
                  <w14:solidFill>
                    <w14:schemeClr w14:val="tx1"/>
                  </w14:solidFill>
                </w14:textFill>
              </w:rPr>
            </w:pPr>
            <w:r>
              <w:rPr>
                <w:color w:val="000000" w:themeColor="text1"/>
                <w14:textFill>
                  <w14:solidFill>
                    <w14:schemeClr w14:val="tx1"/>
                  </w14:solidFill>
                </w14:textFill>
              </w:rPr>
              <w:t>102</w:t>
            </w:r>
          </w:p>
        </w:tc>
      </w:tr>
      <w:tr w14:paraId="5BFA6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continue"/>
            <w:vAlign w:val="center"/>
          </w:tcPr>
          <w:p w14:paraId="0F85A628">
            <w:pPr>
              <w:adjustRightInd w:val="0"/>
              <w:snapToGrid w:val="0"/>
              <w:jc w:val="center"/>
              <w:rPr>
                <w:color w:val="000000" w:themeColor="text1"/>
                <w14:textFill>
                  <w14:solidFill>
                    <w14:schemeClr w14:val="tx1"/>
                  </w14:solidFill>
                </w14:textFill>
              </w:rPr>
            </w:pPr>
          </w:p>
        </w:tc>
        <w:tc>
          <w:tcPr>
            <w:tcW w:w="179" w:type="pct"/>
            <w:vMerge w:val="continue"/>
            <w:vAlign w:val="center"/>
          </w:tcPr>
          <w:p w14:paraId="62139450">
            <w:pPr>
              <w:adjustRightInd w:val="0"/>
              <w:snapToGrid w:val="0"/>
              <w:jc w:val="center"/>
              <w:rPr>
                <w:color w:val="000000" w:themeColor="text1"/>
                <w14:textFill>
                  <w14:solidFill>
                    <w14:schemeClr w14:val="tx1"/>
                  </w14:solidFill>
                </w14:textFill>
              </w:rPr>
            </w:pPr>
          </w:p>
        </w:tc>
        <w:tc>
          <w:tcPr>
            <w:tcW w:w="458" w:type="pct"/>
            <w:vMerge w:val="continue"/>
            <w:vAlign w:val="center"/>
          </w:tcPr>
          <w:p w14:paraId="186CB143">
            <w:pPr>
              <w:widowControl/>
              <w:snapToGrid w:val="0"/>
              <w:jc w:val="center"/>
              <w:rPr>
                <w:color w:val="000000" w:themeColor="text1"/>
                <w14:textFill>
                  <w14:solidFill>
                    <w14:schemeClr w14:val="tx1"/>
                  </w14:solidFill>
                </w14:textFill>
              </w:rPr>
            </w:pPr>
          </w:p>
        </w:tc>
        <w:tc>
          <w:tcPr>
            <w:tcW w:w="610" w:type="pct"/>
            <w:vAlign w:val="center"/>
          </w:tcPr>
          <w:p w14:paraId="3EB6D18B">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定安园</w:t>
            </w:r>
          </w:p>
        </w:tc>
        <w:tc>
          <w:tcPr>
            <w:tcW w:w="1184" w:type="pct"/>
            <w:vAlign w:val="center"/>
          </w:tcPr>
          <w:p w14:paraId="01E02CCD">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1217" w:type="pct"/>
            <w:vAlign w:val="center"/>
          </w:tcPr>
          <w:p w14:paraId="43A28EC1">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0D89FF68">
            <w:pPr>
              <w:jc w:val="center"/>
              <w:rPr>
                <w:color w:val="000000" w:themeColor="text1"/>
                <w14:textFill>
                  <w14:solidFill>
                    <w14:schemeClr w14:val="tx1"/>
                  </w14:solidFill>
                </w14:textFill>
              </w:rPr>
            </w:pPr>
            <w:r>
              <w:rPr>
                <w:color w:val="000000" w:themeColor="text1"/>
                <w14:textFill>
                  <w14:solidFill>
                    <w14:schemeClr w14:val="tx1"/>
                  </w14:solidFill>
                </w14:textFill>
              </w:rPr>
              <w:t>76</w:t>
            </w:r>
          </w:p>
        </w:tc>
        <w:tc>
          <w:tcPr>
            <w:tcW w:w="535" w:type="pct"/>
            <w:vAlign w:val="center"/>
          </w:tcPr>
          <w:p w14:paraId="44945D47">
            <w:pPr>
              <w:jc w:val="center"/>
              <w:rPr>
                <w:color w:val="000000" w:themeColor="text1"/>
                <w14:textFill>
                  <w14:solidFill>
                    <w14:schemeClr w14:val="tx1"/>
                  </w14:solidFill>
                </w14:textFill>
              </w:rPr>
            </w:pPr>
            <w:r>
              <w:rPr>
                <w:color w:val="000000" w:themeColor="text1"/>
                <w14:textFill>
                  <w14:solidFill>
                    <w14:schemeClr w14:val="tx1"/>
                  </w14:solidFill>
                </w14:textFill>
              </w:rPr>
              <w:t>127</w:t>
            </w:r>
          </w:p>
        </w:tc>
      </w:tr>
      <w:tr w14:paraId="1E8D4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continue"/>
            <w:vAlign w:val="center"/>
          </w:tcPr>
          <w:p w14:paraId="7B8E571A">
            <w:pPr>
              <w:adjustRightInd w:val="0"/>
              <w:snapToGrid w:val="0"/>
              <w:jc w:val="center"/>
              <w:rPr>
                <w:color w:val="000000" w:themeColor="text1"/>
                <w14:textFill>
                  <w14:solidFill>
                    <w14:schemeClr w14:val="tx1"/>
                  </w14:solidFill>
                </w14:textFill>
              </w:rPr>
            </w:pPr>
          </w:p>
        </w:tc>
        <w:tc>
          <w:tcPr>
            <w:tcW w:w="179" w:type="pct"/>
            <w:vMerge w:val="continue"/>
            <w:vAlign w:val="center"/>
          </w:tcPr>
          <w:p w14:paraId="59C1F25E">
            <w:pPr>
              <w:adjustRightInd w:val="0"/>
              <w:snapToGrid w:val="0"/>
              <w:jc w:val="center"/>
              <w:rPr>
                <w:color w:val="000000" w:themeColor="text1"/>
                <w14:textFill>
                  <w14:solidFill>
                    <w14:schemeClr w14:val="tx1"/>
                  </w14:solidFill>
                </w14:textFill>
              </w:rPr>
            </w:pPr>
          </w:p>
        </w:tc>
        <w:tc>
          <w:tcPr>
            <w:tcW w:w="458" w:type="pct"/>
            <w:vMerge w:val="continue"/>
            <w:vAlign w:val="center"/>
          </w:tcPr>
          <w:p w14:paraId="6571E489">
            <w:pPr>
              <w:widowControl/>
              <w:snapToGrid w:val="0"/>
              <w:jc w:val="center"/>
              <w:rPr>
                <w:color w:val="000000" w:themeColor="text1"/>
                <w14:textFill>
                  <w14:solidFill>
                    <w14:schemeClr w14:val="tx1"/>
                  </w14:solidFill>
                </w14:textFill>
              </w:rPr>
            </w:pPr>
          </w:p>
        </w:tc>
        <w:tc>
          <w:tcPr>
            <w:tcW w:w="610" w:type="pct"/>
            <w:vAlign w:val="center"/>
          </w:tcPr>
          <w:p w14:paraId="3CF6E042">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麻垅</w:t>
            </w:r>
          </w:p>
        </w:tc>
        <w:tc>
          <w:tcPr>
            <w:tcW w:w="1184" w:type="pct"/>
            <w:vAlign w:val="center"/>
          </w:tcPr>
          <w:p w14:paraId="4B85917E">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1217" w:type="pct"/>
            <w:vAlign w:val="center"/>
          </w:tcPr>
          <w:p w14:paraId="3B21EACF">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26C064F8">
            <w:pPr>
              <w:jc w:val="center"/>
              <w:rPr>
                <w:color w:val="000000" w:themeColor="text1"/>
                <w14:textFill>
                  <w14:solidFill>
                    <w14:schemeClr w14:val="tx1"/>
                  </w14:solidFill>
                </w14:textFill>
              </w:rPr>
            </w:pPr>
            <w:r>
              <w:rPr>
                <w:color w:val="000000" w:themeColor="text1"/>
                <w14:textFill>
                  <w14:solidFill>
                    <w14:schemeClr w14:val="tx1"/>
                  </w14:solidFill>
                </w14:textFill>
              </w:rPr>
              <w:t>35</w:t>
            </w:r>
          </w:p>
        </w:tc>
        <w:tc>
          <w:tcPr>
            <w:tcW w:w="535" w:type="pct"/>
            <w:vAlign w:val="center"/>
          </w:tcPr>
          <w:p w14:paraId="0846D0E5">
            <w:pPr>
              <w:jc w:val="center"/>
              <w:rPr>
                <w:color w:val="000000" w:themeColor="text1"/>
                <w14:textFill>
                  <w14:solidFill>
                    <w14:schemeClr w14:val="tx1"/>
                  </w14:solidFill>
                </w14:textFill>
              </w:rPr>
            </w:pPr>
            <w:r>
              <w:rPr>
                <w:color w:val="000000" w:themeColor="text1"/>
                <w14:textFill>
                  <w14:solidFill>
                    <w14:schemeClr w14:val="tx1"/>
                  </w14:solidFill>
                </w14:textFill>
              </w:rPr>
              <w:t>56</w:t>
            </w:r>
          </w:p>
        </w:tc>
      </w:tr>
      <w:tr w14:paraId="43B87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continue"/>
            <w:vAlign w:val="center"/>
          </w:tcPr>
          <w:p w14:paraId="73E92B84">
            <w:pPr>
              <w:adjustRightInd w:val="0"/>
              <w:snapToGrid w:val="0"/>
              <w:jc w:val="center"/>
              <w:rPr>
                <w:color w:val="000000" w:themeColor="text1"/>
                <w14:textFill>
                  <w14:solidFill>
                    <w14:schemeClr w14:val="tx1"/>
                  </w14:solidFill>
                </w14:textFill>
              </w:rPr>
            </w:pPr>
          </w:p>
        </w:tc>
        <w:tc>
          <w:tcPr>
            <w:tcW w:w="179" w:type="pct"/>
            <w:vMerge w:val="continue"/>
            <w:vAlign w:val="center"/>
          </w:tcPr>
          <w:p w14:paraId="4667C98E">
            <w:pPr>
              <w:adjustRightInd w:val="0"/>
              <w:snapToGrid w:val="0"/>
              <w:jc w:val="center"/>
              <w:rPr>
                <w:color w:val="000000" w:themeColor="text1"/>
                <w14:textFill>
                  <w14:solidFill>
                    <w14:schemeClr w14:val="tx1"/>
                  </w14:solidFill>
                </w14:textFill>
              </w:rPr>
            </w:pPr>
          </w:p>
        </w:tc>
        <w:tc>
          <w:tcPr>
            <w:tcW w:w="458" w:type="pct"/>
            <w:vMerge w:val="continue"/>
            <w:vAlign w:val="center"/>
          </w:tcPr>
          <w:p w14:paraId="0E60CE23">
            <w:pPr>
              <w:widowControl/>
              <w:snapToGrid w:val="0"/>
              <w:jc w:val="center"/>
              <w:rPr>
                <w:color w:val="000000" w:themeColor="text1"/>
                <w14:textFill>
                  <w14:solidFill>
                    <w14:schemeClr w14:val="tx1"/>
                  </w14:solidFill>
                </w14:textFill>
              </w:rPr>
            </w:pPr>
          </w:p>
        </w:tc>
        <w:tc>
          <w:tcPr>
            <w:tcW w:w="610" w:type="pct"/>
            <w:vAlign w:val="center"/>
          </w:tcPr>
          <w:p w14:paraId="150DD230">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钱厝里</w:t>
            </w:r>
          </w:p>
        </w:tc>
        <w:tc>
          <w:tcPr>
            <w:tcW w:w="1184" w:type="pct"/>
            <w:vAlign w:val="center"/>
          </w:tcPr>
          <w:p w14:paraId="4ECE01D7">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1217" w:type="pct"/>
            <w:vAlign w:val="center"/>
          </w:tcPr>
          <w:p w14:paraId="48AF0141">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67510AA3">
            <w:pPr>
              <w:jc w:val="center"/>
              <w:rPr>
                <w:color w:val="000000" w:themeColor="text1"/>
                <w14:textFill>
                  <w14:solidFill>
                    <w14:schemeClr w14:val="tx1"/>
                  </w14:solidFill>
                </w14:textFill>
              </w:rPr>
            </w:pPr>
            <w:r>
              <w:rPr>
                <w:color w:val="000000" w:themeColor="text1"/>
                <w14:textFill>
                  <w14:solidFill>
                    <w14:schemeClr w14:val="tx1"/>
                  </w14:solidFill>
                </w14:textFill>
              </w:rPr>
              <w:t>22</w:t>
            </w:r>
          </w:p>
        </w:tc>
        <w:tc>
          <w:tcPr>
            <w:tcW w:w="535" w:type="pct"/>
            <w:vAlign w:val="center"/>
          </w:tcPr>
          <w:p w14:paraId="35C012BD">
            <w:pPr>
              <w:jc w:val="center"/>
              <w:rPr>
                <w:color w:val="000000" w:themeColor="text1"/>
                <w14:textFill>
                  <w14:solidFill>
                    <w14:schemeClr w14:val="tx1"/>
                  </w14:solidFill>
                </w14:textFill>
              </w:rPr>
            </w:pPr>
            <w:r>
              <w:rPr>
                <w:color w:val="000000" w:themeColor="text1"/>
                <w14:textFill>
                  <w14:solidFill>
                    <w14:schemeClr w14:val="tx1"/>
                  </w14:solidFill>
                </w14:textFill>
              </w:rPr>
              <w:t>35</w:t>
            </w:r>
          </w:p>
        </w:tc>
      </w:tr>
      <w:tr w14:paraId="355BF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continue"/>
            <w:vAlign w:val="center"/>
          </w:tcPr>
          <w:p w14:paraId="4767BEA4">
            <w:pPr>
              <w:adjustRightInd w:val="0"/>
              <w:snapToGrid w:val="0"/>
              <w:jc w:val="center"/>
              <w:rPr>
                <w:color w:val="000000" w:themeColor="text1"/>
                <w14:textFill>
                  <w14:solidFill>
                    <w14:schemeClr w14:val="tx1"/>
                  </w14:solidFill>
                </w14:textFill>
              </w:rPr>
            </w:pPr>
          </w:p>
        </w:tc>
        <w:tc>
          <w:tcPr>
            <w:tcW w:w="179" w:type="pct"/>
            <w:vMerge w:val="continue"/>
            <w:vAlign w:val="center"/>
          </w:tcPr>
          <w:p w14:paraId="31A574DE">
            <w:pPr>
              <w:adjustRightInd w:val="0"/>
              <w:snapToGrid w:val="0"/>
              <w:jc w:val="center"/>
              <w:rPr>
                <w:color w:val="000000" w:themeColor="text1"/>
                <w14:textFill>
                  <w14:solidFill>
                    <w14:schemeClr w14:val="tx1"/>
                  </w14:solidFill>
                </w14:textFill>
              </w:rPr>
            </w:pPr>
          </w:p>
        </w:tc>
        <w:tc>
          <w:tcPr>
            <w:tcW w:w="458" w:type="pct"/>
            <w:vMerge w:val="continue"/>
            <w:vAlign w:val="center"/>
          </w:tcPr>
          <w:p w14:paraId="75F29A17">
            <w:pPr>
              <w:widowControl/>
              <w:snapToGrid w:val="0"/>
              <w:jc w:val="center"/>
              <w:rPr>
                <w:color w:val="000000" w:themeColor="text1"/>
                <w14:textFill>
                  <w14:solidFill>
                    <w14:schemeClr w14:val="tx1"/>
                  </w14:solidFill>
                </w14:textFill>
              </w:rPr>
            </w:pPr>
          </w:p>
        </w:tc>
        <w:tc>
          <w:tcPr>
            <w:tcW w:w="610" w:type="pct"/>
            <w:vAlign w:val="center"/>
          </w:tcPr>
          <w:p w14:paraId="1A38F406">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政府及公共服务人员</w:t>
            </w:r>
          </w:p>
        </w:tc>
        <w:tc>
          <w:tcPr>
            <w:tcW w:w="1184" w:type="pct"/>
            <w:vAlign w:val="center"/>
          </w:tcPr>
          <w:p w14:paraId="5F503108">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1217" w:type="pct"/>
            <w:vAlign w:val="center"/>
          </w:tcPr>
          <w:p w14:paraId="43CE91E1">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502BE407">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535" w:type="pct"/>
            <w:vAlign w:val="center"/>
          </w:tcPr>
          <w:p w14:paraId="1DA3FE52">
            <w:pPr>
              <w:jc w:val="center"/>
              <w:rPr>
                <w:color w:val="000000" w:themeColor="text1"/>
                <w14:textFill>
                  <w14:solidFill>
                    <w14:schemeClr w14:val="tx1"/>
                  </w14:solidFill>
                </w14:textFill>
              </w:rPr>
            </w:pPr>
            <w:r>
              <w:rPr>
                <w:color w:val="000000" w:themeColor="text1"/>
                <w14:textFill>
                  <w14:solidFill>
                    <w14:schemeClr w14:val="tx1"/>
                  </w14:solidFill>
                </w14:textFill>
              </w:rPr>
              <w:t>150</w:t>
            </w:r>
          </w:p>
        </w:tc>
      </w:tr>
      <w:tr w14:paraId="0D6DA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continue"/>
            <w:vAlign w:val="center"/>
          </w:tcPr>
          <w:p w14:paraId="17C68D33">
            <w:pPr>
              <w:adjustRightInd w:val="0"/>
              <w:snapToGrid w:val="0"/>
              <w:jc w:val="center"/>
              <w:rPr>
                <w:color w:val="000000" w:themeColor="text1"/>
                <w14:textFill>
                  <w14:solidFill>
                    <w14:schemeClr w14:val="tx1"/>
                  </w14:solidFill>
                </w14:textFill>
              </w:rPr>
            </w:pPr>
          </w:p>
        </w:tc>
        <w:tc>
          <w:tcPr>
            <w:tcW w:w="179" w:type="pct"/>
            <w:vMerge w:val="continue"/>
            <w:vAlign w:val="center"/>
          </w:tcPr>
          <w:p w14:paraId="565B6E1B">
            <w:pPr>
              <w:adjustRightInd w:val="0"/>
              <w:snapToGrid w:val="0"/>
              <w:jc w:val="center"/>
              <w:rPr>
                <w:color w:val="000000" w:themeColor="text1"/>
                <w14:textFill>
                  <w14:solidFill>
                    <w14:schemeClr w14:val="tx1"/>
                  </w14:solidFill>
                </w14:textFill>
              </w:rPr>
            </w:pPr>
          </w:p>
        </w:tc>
        <w:tc>
          <w:tcPr>
            <w:tcW w:w="458" w:type="pct"/>
            <w:vMerge w:val="continue"/>
            <w:vAlign w:val="center"/>
          </w:tcPr>
          <w:p w14:paraId="6B87D647">
            <w:pPr>
              <w:widowControl/>
              <w:snapToGrid w:val="0"/>
              <w:jc w:val="center"/>
              <w:rPr>
                <w:color w:val="000000" w:themeColor="text1"/>
                <w14:textFill>
                  <w14:solidFill>
                    <w14:schemeClr w14:val="tx1"/>
                  </w14:solidFill>
                </w14:textFill>
              </w:rPr>
            </w:pPr>
          </w:p>
        </w:tc>
        <w:tc>
          <w:tcPr>
            <w:tcW w:w="610" w:type="pct"/>
            <w:vAlign w:val="center"/>
          </w:tcPr>
          <w:p w14:paraId="634665E1">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福建商贸职专</w:t>
            </w:r>
          </w:p>
        </w:tc>
        <w:tc>
          <w:tcPr>
            <w:tcW w:w="1184" w:type="pct"/>
            <w:vAlign w:val="center"/>
          </w:tcPr>
          <w:p w14:paraId="6BD787CE">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1217" w:type="pct"/>
            <w:vAlign w:val="center"/>
          </w:tcPr>
          <w:p w14:paraId="3CD2C2A8">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0223CE92">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535" w:type="pct"/>
            <w:vAlign w:val="center"/>
          </w:tcPr>
          <w:p w14:paraId="1975C889">
            <w:pPr>
              <w:jc w:val="center"/>
              <w:rPr>
                <w:color w:val="000000" w:themeColor="text1"/>
                <w14:textFill>
                  <w14:solidFill>
                    <w14:schemeClr w14:val="tx1"/>
                  </w14:solidFill>
                </w14:textFill>
              </w:rPr>
            </w:pPr>
            <w:r>
              <w:rPr>
                <w:color w:val="000000" w:themeColor="text1"/>
                <w14:textFill>
                  <w14:solidFill>
                    <w14:schemeClr w14:val="tx1"/>
                  </w14:solidFill>
                </w14:textFill>
              </w:rPr>
              <w:t>3000</w:t>
            </w:r>
          </w:p>
        </w:tc>
      </w:tr>
      <w:tr w14:paraId="3433E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continue"/>
            <w:vAlign w:val="center"/>
          </w:tcPr>
          <w:p w14:paraId="2C14479A">
            <w:pPr>
              <w:adjustRightInd w:val="0"/>
              <w:snapToGrid w:val="0"/>
              <w:jc w:val="center"/>
              <w:rPr>
                <w:color w:val="000000" w:themeColor="text1"/>
                <w14:textFill>
                  <w14:solidFill>
                    <w14:schemeClr w14:val="tx1"/>
                  </w14:solidFill>
                </w14:textFill>
              </w:rPr>
            </w:pPr>
          </w:p>
        </w:tc>
        <w:tc>
          <w:tcPr>
            <w:tcW w:w="179" w:type="pct"/>
            <w:vMerge w:val="continue"/>
            <w:vAlign w:val="center"/>
          </w:tcPr>
          <w:p w14:paraId="24D3673D">
            <w:pPr>
              <w:adjustRightInd w:val="0"/>
              <w:snapToGrid w:val="0"/>
              <w:jc w:val="center"/>
              <w:rPr>
                <w:color w:val="000000" w:themeColor="text1"/>
                <w14:textFill>
                  <w14:solidFill>
                    <w14:schemeClr w14:val="tx1"/>
                  </w14:solidFill>
                </w14:textFill>
              </w:rPr>
            </w:pPr>
          </w:p>
        </w:tc>
        <w:tc>
          <w:tcPr>
            <w:tcW w:w="458" w:type="pct"/>
            <w:vAlign w:val="center"/>
          </w:tcPr>
          <w:p w14:paraId="0E335FC4">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牛项村（部分）</w:t>
            </w:r>
          </w:p>
        </w:tc>
        <w:tc>
          <w:tcPr>
            <w:tcW w:w="610" w:type="pct"/>
            <w:vAlign w:val="center"/>
          </w:tcPr>
          <w:p w14:paraId="4B6BCC63">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184" w:type="pct"/>
            <w:vAlign w:val="center"/>
          </w:tcPr>
          <w:p w14:paraId="728916AD">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1217" w:type="pct"/>
            <w:vAlign w:val="center"/>
          </w:tcPr>
          <w:p w14:paraId="17176E1D">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005E524C">
            <w:pPr>
              <w:jc w:val="center"/>
              <w:rPr>
                <w:color w:val="000000" w:themeColor="text1"/>
                <w14:textFill>
                  <w14:solidFill>
                    <w14:schemeClr w14:val="tx1"/>
                  </w14:solidFill>
                </w14:textFill>
              </w:rPr>
            </w:pPr>
            <w:r>
              <w:rPr>
                <w:color w:val="000000" w:themeColor="text1"/>
                <w14:textFill>
                  <w14:solidFill>
                    <w14:schemeClr w14:val="tx1"/>
                  </w14:solidFill>
                </w14:textFill>
              </w:rPr>
              <w:t>12</w:t>
            </w:r>
          </w:p>
        </w:tc>
        <w:tc>
          <w:tcPr>
            <w:tcW w:w="535" w:type="pct"/>
            <w:vAlign w:val="center"/>
          </w:tcPr>
          <w:p w14:paraId="5C1670B3">
            <w:pPr>
              <w:jc w:val="center"/>
              <w:rPr>
                <w:color w:val="000000" w:themeColor="text1"/>
                <w14:textFill>
                  <w14:solidFill>
                    <w14:schemeClr w14:val="tx1"/>
                  </w14:solidFill>
                </w14:textFill>
              </w:rPr>
            </w:pPr>
            <w:r>
              <w:rPr>
                <w:color w:val="000000" w:themeColor="text1"/>
                <w14:textFill>
                  <w14:solidFill>
                    <w14:schemeClr w14:val="tx1"/>
                  </w14:solidFill>
                </w14:textFill>
              </w:rPr>
              <w:t>60</w:t>
            </w:r>
          </w:p>
        </w:tc>
      </w:tr>
      <w:tr w14:paraId="500A8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continue"/>
            <w:vAlign w:val="center"/>
          </w:tcPr>
          <w:p w14:paraId="4B61EE6E">
            <w:pPr>
              <w:adjustRightInd w:val="0"/>
              <w:snapToGrid w:val="0"/>
              <w:jc w:val="center"/>
              <w:rPr>
                <w:color w:val="000000" w:themeColor="text1"/>
                <w14:textFill>
                  <w14:solidFill>
                    <w14:schemeClr w14:val="tx1"/>
                  </w14:solidFill>
                </w14:textFill>
              </w:rPr>
            </w:pPr>
          </w:p>
        </w:tc>
        <w:tc>
          <w:tcPr>
            <w:tcW w:w="179" w:type="pct"/>
            <w:vMerge w:val="continue"/>
            <w:vAlign w:val="center"/>
          </w:tcPr>
          <w:p w14:paraId="56577C33">
            <w:pPr>
              <w:adjustRightInd w:val="0"/>
              <w:snapToGrid w:val="0"/>
              <w:jc w:val="center"/>
              <w:rPr>
                <w:color w:val="000000" w:themeColor="text1"/>
                <w14:textFill>
                  <w14:solidFill>
                    <w14:schemeClr w14:val="tx1"/>
                  </w14:solidFill>
                </w14:textFill>
              </w:rPr>
            </w:pPr>
          </w:p>
        </w:tc>
        <w:tc>
          <w:tcPr>
            <w:tcW w:w="458" w:type="pct"/>
            <w:vAlign w:val="center"/>
          </w:tcPr>
          <w:p w14:paraId="270ABFA9">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亥由村（部分）</w:t>
            </w:r>
          </w:p>
        </w:tc>
        <w:tc>
          <w:tcPr>
            <w:tcW w:w="610" w:type="pct"/>
            <w:vAlign w:val="center"/>
          </w:tcPr>
          <w:p w14:paraId="15BAD415">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184" w:type="pct"/>
            <w:vAlign w:val="center"/>
          </w:tcPr>
          <w:p w14:paraId="17AC5B34">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1217" w:type="pct"/>
            <w:vAlign w:val="center"/>
          </w:tcPr>
          <w:p w14:paraId="6B1255BD">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1F5E0265">
            <w:pPr>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535" w:type="pct"/>
            <w:vAlign w:val="center"/>
          </w:tcPr>
          <w:p w14:paraId="4020746E">
            <w:pPr>
              <w:jc w:val="center"/>
              <w:rPr>
                <w:color w:val="000000" w:themeColor="text1"/>
                <w14:textFill>
                  <w14:solidFill>
                    <w14:schemeClr w14:val="tx1"/>
                  </w14:solidFill>
                </w14:textFill>
              </w:rPr>
            </w:pPr>
            <w:r>
              <w:rPr>
                <w:color w:val="000000" w:themeColor="text1"/>
                <w14:textFill>
                  <w14:solidFill>
                    <w14:schemeClr w14:val="tx1"/>
                  </w14:solidFill>
                </w14:textFill>
              </w:rPr>
              <w:t>60</w:t>
            </w:r>
          </w:p>
        </w:tc>
      </w:tr>
      <w:tr w14:paraId="421F7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restart"/>
            <w:vAlign w:val="center"/>
          </w:tcPr>
          <w:p w14:paraId="6283F951">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79" w:type="pct"/>
            <w:vMerge w:val="restart"/>
            <w:vAlign w:val="center"/>
          </w:tcPr>
          <w:p w14:paraId="05194D13">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寿山乡</w:t>
            </w:r>
          </w:p>
        </w:tc>
        <w:tc>
          <w:tcPr>
            <w:tcW w:w="458" w:type="pct"/>
            <w:vMerge w:val="restart"/>
            <w:vAlign w:val="center"/>
          </w:tcPr>
          <w:p w14:paraId="04729C5F">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岭头村</w:t>
            </w:r>
          </w:p>
        </w:tc>
        <w:tc>
          <w:tcPr>
            <w:tcW w:w="610" w:type="pct"/>
            <w:vAlign w:val="center"/>
          </w:tcPr>
          <w:p w14:paraId="71DE7B63">
            <w:pPr>
              <w:jc w:val="center"/>
              <w:rPr>
                <w:color w:val="000000" w:themeColor="text1"/>
                <w14:textFill>
                  <w14:solidFill>
                    <w14:schemeClr w14:val="tx1"/>
                  </w14:solidFill>
                </w14:textFill>
              </w:rPr>
            </w:pPr>
            <w:r>
              <w:rPr>
                <w:color w:val="000000" w:themeColor="text1"/>
                <w14:textFill>
                  <w14:solidFill>
                    <w14:schemeClr w14:val="tx1"/>
                  </w14:solidFill>
                </w14:textFill>
              </w:rPr>
              <w:t>岭头村</w:t>
            </w:r>
          </w:p>
        </w:tc>
        <w:tc>
          <w:tcPr>
            <w:tcW w:w="1184" w:type="pct"/>
            <w:vAlign w:val="center"/>
          </w:tcPr>
          <w:p w14:paraId="565B2D53">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1217" w:type="pct"/>
            <w:vAlign w:val="center"/>
          </w:tcPr>
          <w:p w14:paraId="5D9DEDBB">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461D6160">
            <w:pPr>
              <w:jc w:val="center"/>
              <w:rPr>
                <w:color w:val="000000" w:themeColor="text1"/>
                <w14:textFill>
                  <w14:solidFill>
                    <w14:schemeClr w14:val="tx1"/>
                  </w14:solidFill>
                </w14:textFill>
              </w:rPr>
            </w:pPr>
            <w:r>
              <w:rPr>
                <w:color w:val="000000" w:themeColor="text1"/>
                <w14:textFill>
                  <w14:solidFill>
                    <w14:schemeClr w14:val="tx1"/>
                  </w14:solidFill>
                </w14:textFill>
              </w:rPr>
              <w:t>125</w:t>
            </w:r>
          </w:p>
        </w:tc>
        <w:tc>
          <w:tcPr>
            <w:tcW w:w="535" w:type="pct"/>
            <w:vAlign w:val="center"/>
          </w:tcPr>
          <w:p w14:paraId="194FE337">
            <w:pPr>
              <w:jc w:val="center"/>
              <w:rPr>
                <w:color w:val="000000" w:themeColor="text1"/>
                <w14:textFill>
                  <w14:solidFill>
                    <w14:schemeClr w14:val="tx1"/>
                  </w14:solidFill>
                </w14:textFill>
              </w:rPr>
            </w:pPr>
            <w:r>
              <w:rPr>
                <w:color w:val="000000" w:themeColor="text1"/>
                <w14:textFill>
                  <w14:solidFill>
                    <w14:schemeClr w14:val="tx1"/>
                  </w14:solidFill>
                </w14:textFill>
              </w:rPr>
              <w:t>299</w:t>
            </w:r>
          </w:p>
        </w:tc>
      </w:tr>
      <w:tr w14:paraId="5D45A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continue"/>
            <w:vAlign w:val="center"/>
          </w:tcPr>
          <w:p w14:paraId="09A8D318">
            <w:pPr>
              <w:adjustRightInd w:val="0"/>
              <w:snapToGrid w:val="0"/>
              <w:jc w:val="center"/>
              <w:rPr>
                <w:color w:val="000000" w:themeColor="text1"/>
                <w14:textFill>
                  <w14:solidFill>
                    <w14:schemeClr w14:val="tx1"/>
                  </w14:solidFill>
                </w14:textFill>
              </w:rPr>
            </w:pPr>
          </w:p>
        </w:tc>
        <w:tc>
          <w:tcPr>
            <w:tcW w:w="179" w:type="pct"/>
            <w:vMerge w:val="continue"/>
            <w:vAlign w:val="center"/>
          </w:tcPr>
          <w:p w14:paraId="4A3F8F45">
            <w:pPr>
              <w:adjustRightInd w:val="0"/>
              <w:snapToGrid w:val="0"/>
              <w:jc w:val="center"/>
              <w:rPr>
                <w:color w:val="000000" w:themeColor="text1"/>
                <w14:textFill>
                  <w14:solidFill>
                    <w14:schemeClr w14:val="tx1"/>
                  </w14:solidFill>
                </w14:textFill>
              </w:rPr>
            </w:pPr>
          </w:p>
        </w:tc>
        <w:tc>
          <w:tcPr>
            <w:tcW w:w="458" w:type="pct"/>
            <w:vMerge w:val="continue"/>
            <w:vAlign w:val="center"/>
          </w:tcPr>
          <w:p w14:paraId="150980CC">
            <w:pPr>
              <w:snapToGrid w:val="0"/>
              <w:jc w:val="center"/>
              <w:rPr>
                <w:color w:val="000000" w:themeColor="text1"/>
                <w14:textFill>
                  <w14:solidFill>
                    <w14:schemeClr w14:val="tx1"/>
                  </w14:solidFill>
                </w14:textFill>
              </w:rPr>
            </w:pPr>
          </w:p>
        </w:tc>
        <w:tc>
          <w:tcPr>
            <w:tcW w:w="610" w:type="pct"/>
            <w:vAlign w:val="center"/>
          </w:tcPr>
          <w:p w14:paraId="7CE83678">
            <w:pPr>
              <w:jc w:val="center"/>
              <w:rPr>
                <w:color w:val="000000" w:themeColor="text1"/>
                <w14:textFill>
                  <w14:solidFill>
                    <w14:schemeClr w14:val="tx1"/>
                  </w14:solidFill>
                </w14:textFill>
              </w:rPr>
            </w:pPr>
            <w:r>
              <w:rPr>
                <w:color w:val="000000" w:themeColor="text1"/>
                <w14:textFill>
                  <w14:solidFill>
                    <w14:schemeClr w14:val="tx1"/>
                  </w14:solidFill>
                </w14:textFill>
              </w:rPr>
              <w:t>政府及公共服务人员</w:t>
            </w:r>
          </w:p>
        </w:tc>
        <w:tc>
          <w:tcPr>
            <w:tcW w:w="1184" w:type="pct"/>
            <w:vAlign w:val="center"/>
          </w:tcPr>
          <w:p w14:paraId="2F014494">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1217" w:type="pct"/>
            <w:vAlign w:val="center"/>
          </w:tcPr>
          <w:p w14:paraId="609EA1F9">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695BCF34">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535" w:type="pct"/>
            <w:vAlign w:val="center"/>
          </w:tcPr>
          <w:p w14:paraId="65C02D28">
            <w:pPr>
              <w:jc w:val="center"/>
              <w:rPr>
                <w:color w:val="000000" w:themeColor="text1"/>
                <w14:textFill>
                  <w14:solidFill>
                    <w14:schemeClr w14:val="tx1"/>
                  </w14:solidFill>
                </w14:textFill>
              </w:rPr>
            </w:pPr>
            <w:r>
              <w:rPr>
                <w:color w:val="000000" w:themeColor="text1"/>
                <w14:textFill>
                  <w14:solidFill>
                    <w14:schemeClr w14:val="tx1"/>
                  </w14:solidFill>
                </w14:textFill>
              </w:rPr>
              <w:t>120</w:t>
            </w:r>
          </w:p>
        </w:tc>
      </w:tr>
      <w:tr w14:paraId="06A82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continue"/>
            <w:vAlign w:val="center"/>
          </w:tcPr>
          <w:p w14:paraId="55B01CCA">
            <w:pPr>
              <w:adjustRightInd w:val="0"/>
              <w:snapToGrid w:val="0"/>
              <w:jc w:val="center"/>
              <w:rPr>
                <w:color w:val="000000" w:themeColor="text1"/>
                <w14:textFill>
                  <w14:solidFill>
                    <w14:schemeClr w14:val="tx1"/>
                  </w14:solidFill>
                </w14:textFill>
              </w:rPr>
            </w:pPr>
          </w:p>
        </w:tc>
        <w:tc>
          <w:tcPr>
            <w:tcW w:w="179" w:type="pct"/>
            <w:vMerge w:val="continue"/>
            <w:vAlign w:val="center"/>
          </w:tcPr>
          <w:p w14:paraId="3845C45D">
            <w:pPr>
              <w:adjustRightInd w:val="0"/>
              <w:snapToGrid w:val="0"/>
              <w:jc w:val="center"/>
              <w:rPr>
                <w:color w:val="000000" w:themeColor="text1"/>
                <w14:textFill>
                  <w14:solidFill>
                    <w14:schemeClr w14:val="tx1"/>
                  </w14:solidFill>
                </w14:textFill>
              </w:rPr>
            </w:pPr>
          </w:p>
        </w:tc>
        <w:tc>
          <w:tcPr>
            <w:tcW w:w="458" w:type="pct"/>
            <w:vMerge w:val="continue"/>
            <w:vAlign w:val="center"/>
          </w:tcPr>
          <w:p w14:paraId="690B85AE">
            <w:pPr>
              <w:snapToGrid w:val="0"/>
              <w:jc w:val="center"/>
              <w:rPr>
                <w:color w:val="000000" w:themeColor="text1"/>
                <w14:textFill>
                  <w14:solidFill>
                    <w14:schemeClr w14:val="tx1"/>
                  </w14:solidFill>
                </w14:textFill>
              </w:rPr>
            </w:pPr>
          </w:p>
        </w:tc>
        <w:tc>
          <w:tcPr>
            <w:tcW w:w="610" w:type="pct"/>
            <w:vAlign w:val="center"/>
          </w:tcPr>
          <w:p w14:paraId="2FA989A2">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融信有墅（小区）</w:t>
            </w:r>
          </w:p>
        </w:tc>
        <w:tc>
          <w:tcPr>
            <w:tcW w:w="1184" w:type="pct"/>
            <w:vAlign w:val="center"/>
          </w:tcPr>
          <w:p w14:paraId="3DFC0DC7">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1217" w:type="pct"/>
            <w:vAlign w:val="center"/>
          </w:tcPr>
          <w:p w14:paraId="7BA9E1A8">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6A6B62F8">
            <w:pPr>
              <w:jc w:val="center"/>
              <w:rPr>
                <w:color w:val="000000" w:themeColor="text1"/>
                <w14:textFill>
                  <w14:solidFill>
                    <w14:schemeClr w14:val="tx1"/>
                  </w14:solidFill>
                </w14:textFill>
              </w:rPr>
            </w:pPr>
            <w:r>
              <w:rPr>
                <w:color w:val="000000" w:themeColor="text1"/>
                <w14:textFill>
                  <w14:solidFill>
                    <w14:schemeClr w14:val="tx1"/>
                  </w14:solidFill>
                </w14:textFill>
              </w:rPr>
              <w:t>规划2000户</w:t>
            </w:r>
          </w:p>
        </w:tc>
        <w:tc>
          <w:tcPr>
            <w:tcW w:w="535" w:type="pct"/>
            <w:vAlign w:val="center"/>
          </w:tcPr>
          <w:p w14:paraId="25922518">
            <w:pPr>
              <w:jc w:val="center"/>
              <w:rPr>
                <w:color w:val="000000" w:themeColor="text1"/>
                <w14:textFill>
                  <w14:solidFill>
                    <w14:schemeClr w14:val="tx1"/>
                  </w14:solidFill>
                </w14:textFill>
              </w:rPr>
            </w:pPr>
            <w:r>
              <w:rPr>
                <w:color w:val="000000" w:themeColor="text1"/>
                <w14:textFill>
                  <w14:solidFill>
                    <w14:schemeClr w14:val="tx1"/>
                  </w14:solidFill>
                </w14:textFill>
              </w:rPr>
              <w:t>规划8000人</w:t>
            </w:r>
          </w:p>
        </w:tc>
      </w:tr>
      <w:tr w14:paraId="24676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restart"/>
            <w:vAlign w:val="center"/>
          </w:tcPr>
          <w:p w14:paraId="36E77CFE">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79" w:type="pct"/>
            <w:vMerge w:val="restart"/>
            <w:vAlign w:val="center"/>
          </w:tcPr>
          <w:p w14:paraId="68969AA1">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日溪乡</w:t>
            </w:r>
          </w:p>
        </w:tc>
        <w:tc>
          <w:tcPr>
            <w:tcW w:w="458" w:type="pct"/>
            <w:vMerge w:val="restart"/>
            <w:vAlign w:val="center"/>
          </w:tcPr>
          <w:p w14:paraId="1110CFDE">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日溪村</w:t>
            </w:r>
          </w:p>
        </w:tc>
        <w:tc>
          <w:tcPr>
            <w:tcW w:w="610" w:type="pct"/>
            <w:vAlign w:val="center"/>
          </w:tcPr>
          <w:p w14:paraId="68A01C88">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日溪村</w:t>
            </w:r>
          </w:p>
        </w:tc>
        <w:tc>
          <w:tcPr>
            <w:tcW w:w="1184" w:type="pct"/>
            <w:vAlign w:val="center"/>
          </w:tcPr>
          <w:p w14:paraId="6D55CFFE">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是（华林溪、桃源溪）</w:t>
            </w:r>
          </w:p>
        </w:tc>
        <w:tc>
          <w:tcPr>
            <w:tcW w:w="1217" w:type="pct"/>
            <w:vAlign w:val="center"/>
          </w:tcPr>
          <w:p w14:paraId="135EC7AE">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14137B29">
            <w:pPr>
              <w:jc w:val="center"/>
              <w:rPr>
                <w:color w:val="000000" w:themeColor="text1"/>
                <w14:textFill>
                  <w14:solidFill>
                    <w14:schemeClr w14:val="tx1"/>
                  </w14:solidFill>
                </w14:textFill>
              </w:rPr>
            </w:pPr>
            <w:r>
              <w:rPr>
                <w:color w:val="000000" w:themeColor="text1"/>
                <w14:textFill>
                  <w14:solidFill>
                    <w14:schemeClr w14:val="tx1"/>
                  </w14:solidFill>
                </w14:textFill>
              </w:rPr>
              <w:t>178</w:t>
            </w:r>
          </w:p>
        </w:tc>
        <w:tc>
          <w:tcPr>
            <w:tcW w:w="535" w:type="pct"/>
            <w:vAlign w:val="center"/>
          </w:tcPr>
          <w:p w14:paraId="77C273D9">
            <w:pPr>
              <w:jc w:val="center"/>
              <w:rPr>
                <w:color w:val="000000" w:themeColor="text1"/>
                <w14:textFill>
                  <w14:solidFill>
                    <w14:schemeClr w14:val="tx1"/>
                  </w14:solidFill>
                </w14:textFill>
              </w:rPr>
            </w:pPr>
            <w:r>
              <w:rPr>
                <w:color w:val="000000" w:themeColor="text1"/>
                <w14:textFill>
                  <w14:solidFill>
                    <w14:schemeClr w14:val="tx1"/>
                  </w14:solidFill>
                </w14:textFill>
              </w:rPr>
              <w:t>424</w:t>
            </w:r>
          </w:p>
        </w:tc>
      </w:tr>
      <w:tr w14:paraId="4E226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continue"/>
            <w:vAlign w:val="center"/>
          </w:tcPr>
          <w:p w14:paraId="2C5663DF">
            <w:pPr>
              <w:adjustRightInd w:val="0"/>
              <w:snapToGrid w:val="0"/>
              <w:jc w:val="center"/>
              <w:rPr>
                <w:color w:val="000000" w:themeColor="text1"/>
                <w14:textFill>
                  <w14:solidFill>
                    <w14:schemeClr w14:val="tx1"/>
                  </w14:solidFill>
                </w14:textFill>
              </w:rPr>
            </w:pPr>
          </w:p>
        </w:tc>
        <w:tc>
          <w:tcPr>
            <w:tcW w:w="179" w:type="pct"/>
            <w:vMerge w:val="continue"/>
            <w:vAlign w:val="center"/>
          </w:tcPr>
          <w:p w14:paraId="0C3E5573">
            <w:pPr>
              <w:adjustRightInd w:val="0"/>
              <w:snapToGrid w:val="0"/>
              <w:jc w:val="center"/>
              <w:rPr>
                <w:color w:val="000000" w:themeColor="text1"/>
                <w14:textFill>
                  <w14:solidFill>
                    <w14:schemeClr w14:val="tx1"/>
                  </w14:solidFill>
                </w14:textFill>
              </w:rPr>
            </w:pPr>
          </w:p>
        </w:tc>
        <w:tc>
          <w:tcPr>
            <w:tcW w:w="458" w:type="pct"/>
            <w:vMerge w:val="continue"/>
            <w:vAlign w:val="center"/>
          </w:tcPr>
          <w:p w14:paraId="662EBEB4">
            <w:pPr>
              <w:snapToGrid w:val="0"/>
              <w:jc w:val="center"/>
              <w:rPr>
                <w:color w:val="000000" w:themeColor="text1"/>
                <w14:textFill>
                  <w14:solidFill>
                    <w14:schemeClr w14:val="tx1"/>
                  </w14:solidFill>
                </w14:textFill>
              </w:rPr>
            </w:pPr>
          </w:p>
        </w:tc>
        <w:tc>
          <w:tcPr>
            <w:tcW w:w="610" w:type="pct"/>
            <w:vAlign w:val="center"/>
          </w:tcPr>
          <w:p w14:paraId="238AE0D5">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湖里</w:t>
            </w:r>
          </w:p>
        </w:tc>
        <w:tc>
          <w:tcPr>
            <w:tcW w:w="1184" w:type="pct"/>
            <w:vAlign w:val="center"/>
          </w:tcPr>
          <w:p w14:paraId="2BC857C0">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是（华林溪、桃源溪）</w:t>
            </w:r>
          </w:p>
        </w:tc>
        <w:tc>
          <w:tcPr>
            <w:tcW w:w="1217" w:type="pct"/>
            <w:vAlign w:val="center"/>
          </w:tcPr>
          <w:p w14:paraId="74468FFA">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7C7429FC">
            <w:pPr>
              <w:jc w:val="center"/>
              <w:rPr>
                <w:color w:val="000000" w:themeColor="text1"/>
                <w14:textFill>
                  <w14:solidFill>
                    <w14:schemeClr w14:val="tx1"/>
                  </w14:solidFill>
                </w14:textFill>
              </w:rPr>
            </w:pPr>
            <w:r>
              <w:rPr>
                <w:color w:val="000000" w:themeColor="text1"/>
                <w14:textFill>
                  <w14:solidFill>
                    <w14:schemeClr w14:val="tx1"/>
                  </w14:solidFill>
                </w14:textFill>
              </w:rPr>
              <w:t>27</w:t>
            </w:r>
          </w:p>
        </w:tc>
        <w:tc>
          <w:tcPr>
            <w:tcW w:w="535" w:type="pct"/>
            <w:vAlign w:val="center"/>
          </w:tcPr>
          <w:p w14:paraId="57D5225C">
            <w:pPr>
              <w:jc w:val="center"/>
              <w:rPr>
                <w:color w:val="000000" w:themeColor="text1"/>
                <w14:textFill>
                  <w14:solidFill>
                    <w14:schemeClr w14:val="tx1"/>
                  </w14:solidFill>
                </w14:textFill>
              </w:rPr>
            </w:pPr>
            <w:r>
              <w:rPr>
                <w:color w:val="000000" w:themeColor="text1"/>
                <w14:textFill>
                  <w14:solidFill>
                    <w14:schemeClr w14:val="tx1"/>
                  </w14:solidFill>
                </w14:textFill>
              </w:rPr>
              <w:t>62</w:t>
            </w:r>
          </w:p>
        </w:tc>
      </w:tr>
      <w:tr w14:paraId="1323E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214" w:type="pct"/>
            <w:vMerge w:val="continue"/>
            <w:vAlign w:val="center"/>
          </w:tcPr>
          <w:p w14:paraId="52B6BDFB">
            <w:pPr>
              <w:adjustRightInd w:val="0"/>
              <w:snapToGrid w:val="0"/>
              <w:jc w:val="center"/>
              <w:rPr>
                <w:color w:val="000000" w:themeColor="text1"/>
                <w14:textFill>
                  <w14:solidFill>
                    <w14:schemeClr w14:val="tx1"/>
                  </w14:solidFill>
                </w14:textFill>
              </w:rPr>
            </w:pPr>
          </w:p>
        </w:tc>
        <w:tc>
          <w:tcPr>
            <w:tcW w:w="179" w:type="pct"/>
            <w:vMerge w:val="continue"/>
            <w:vAlign w:val="center"/>
          </w:tcPr>
          <w:p w14:paraId="0B66A95D">
            <w:pPr>
              <w:adjustRightInd w:val="0"/>
              <w:snapToGrid w:val="0"/>
              <w:jc w:val="center"/>
              <w:rPr>
                <w:color w:val="000000" w:themeColor="text1"/>
                <w14:textFill>
                  <w14:solidFill>
                    <w14:schemeClr w14:val="tx1"/>
                  </w14:solidFill>
                </w14:textFill>
              </w:rPr>
            </w:pPr>
          </w:p>
        </w:tc>
        <w:tc>
          <w:tcPr>
            <w:tcW w:w="458" w:type="pct"/>
            <w:vMerge w:val="continue"/>
            <w:vAlign w:val="center"/>
          </w:tcPr>
          <w:p w14:paraId="4F65277B">
            <w:pPr>
              <w:snapToGrid w:val="0"/>
              <w:jc w:val="center"/>
              <w:rPr>
                <w:color w:val="000000" w:themeColor="text1"/>
                <w14:textFill>
                  <w14:solidFill>
                    <w14:schemeClr w14:val="tx1"/>
                  </w14:solidFill>
                </w14:textFill>
              </w:rPr>
            </w:pPr>
          </w:p>
        </w:tc>
        <w:tc>
          <w:tcPr>
            <w:tcW w:w="610" w:type="pct"/>
            <w:vAlign w:val="center"/>
          </w:tcPr>
          <w:p w14:paraId="0AA0EC9D">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政府及公共服务人员</w:t>
            </w:r>
          </w:p>
        </w:tc>
        <w:tc>
          <w:tcPr>
            <w:tcW w:w="1184" w:type="pct"/>
            <w:vAlign w:val="center"/>
          </w:tcPr>
          <w:p w14:paraId="628B3765">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是（华林溪、桃源溪）</w:t>
            </w:r>
          </w:p>
        </w:tc>
        <w:tc>
          <w:tcPr>
            <w:tcW w:w="1217" w:type="pct"/>
            <w:vAlign w:val="center"/>
          </w:tcPr>
          <w:p w14:paraId="6B7D398E">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600" w:type="pct"/>
            <w:vAlign w:val="center"/>
          </w:tcPr>
          <w:p w14:paraId="28A73420">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535" w:type="pct"/>
            <w:vAlign w:val="center"/>
          </w:tcPr>
          <w:p w14:paraId="72F63371">
            <w:pPr>
              <w:jc w:val="center"/>
              <w:rPr>
                <w:color w:val="000000" w:themeColor="text1"/>
                <w14:textFill>
                  <w14:solidFill>
                    <w14:schemeClr w14:val="tx1"/>
                  </w14:solidFill>
                </w14:textFill>
              </w:rPr>
            </w:pPr>
            <w:r>
              <w:rPr>
                <w:color w:val="000000" w:themeColor="text1"/>
                <w14:textFill>
                  <w14:solidFill>
                    <w14:schemeClr w14:val="tx1"/>
                  </w14:solidFill>
                </w14:textFill>
              </w:rPr>
              <w:t>120</w:t>
            </w:r>
          </w:p>
        </w:tc>
      </w:tr>
    </w:tbl>
    <w:p w14:paraId="74055AE5">
      <w:pPr>
        <w:pStyle w:val="52"/>
        <w:ind w:firstLine="0" w:firstLineChars="0"/>
        <w:rPr>
          <w:color w:val="000000" w:themeColor="text1"/>
          <w14:textFill>
            <w14:solidFill>
              <w14:schemeClr w14:val="tx1"/>
            </w14:solidFill>
          </w14:textFill>
        </w:rPr>
      </w:pPr>
    </w:p>
    <w:p w14:paraId="5BD7E53E">
      <w:pPr>
        <w:pStyle w:val="52"/>
        <w:ind w:firstLine="0" w:firstLineChars="0"/>
        <w:rPr>
          <w:color w:val="000000" w:themeColor="text1"/>
          <w14:textFill>
            <w14:solidFill>
              <w14:schemeClr w14:val="tx1"/>
            </w14:solidFill>
          </w14:textFill>
        </w:rPr>
      </w:pPr>
    </w:p>
    <w:p w14:paraId="3BF8B247">
      <w:pPr>
        <w:pStyle w:val="52"/>
        <w:ind w:firstLine="0" w:firstLineChars="0"/>
        <w:rPr>
          <w:color w:val="000000" w:themeColor="text1"/>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553026CD">
      <w:pPr>
        <w:pStyle w:val="4"/>
        <w:rPr>
          <w:rFonts w:ascii="Times New Roman" w:hAnsi="Times New Roman"/>
          <w:color w:val="000000" w:themeColor="text1"/>
          <w14:textFill>
            <w14:solidFill>
              <w14:schemeClr w14:val="tx1"/>
            </w14:solidFill>
          </w14:textFill>
        </w:rPr>
      </w:pPr>
      <w:bookmarkStart w:id="57" w:name="_Toc112693994"/>
      <w:bookmarkStart w:id="58" w:name="_Toc112861025"/>
      <w:bookmarkStart w:id="59" w:name="_Toc112693859"/>
      <w:r>
        <w:rPr>
          <w:rFonts w:hint="eastAsia" w:ascii="宋体" w:hAnsi="宋体" w:eastAsia="宋体" w:cs="宋体"/>
          <w:color w:val="000000" w:themeColor="text1"/>
          <w14:textFill>
            <w14:solidFill>
              <w14:schemeClr w14:val="tx1"/>
            </w14:solidFill>
          </w14:textFill>
        </w:rPr>
        <w:t>社会经济概况</w:t>
      </w:r>
      <w:bookmarkEnd w:id="57"/>
      <w:bookmarkEnd w:id="58"/>
      <w:bookmarkEnd w:id="59"/>
    </w:p>
    <w:p w14:paraId="1B8988E0">
      <w:pPr>
        <w:pStyle w:val="6"/>
        <w:rPr>
          <w:color w:val="000000" w:themeColor="text1"/>
          <w14:textFill>
            <w14:solidFill>
              <w14:schemeClr w14:val="tx1"/>
            </w14:solidFill>
          </w14:textFill>
        </w:rPr>
      </w:pPr>
      <w:bookmarkStart w:id="60" w:name="_Toc112692562"/>
      <w:bookmarkStart w:id="61" w:name="_Toc112693860"/>
      <w:bookmarkStart w:id="62" w:name="_Toc112693995"/>
      <w:r>
        <w:rPr>
          <w:color w:val="000000" w:themeColor="text1"/>
          <w14:textFill>
            <w14:solidFill>
              <w14:schemeClr w14:val="tx1"/>
            </w14:solidFill>
          </w14:textFill>
        </w:rPr>
        <w:t>晋安区人口规模及特点</w:t>
      </w:r>
      <w:bookmarkEnd w:id="60"/>
      <w:bookmarkEnd w:id="61"/>
      <w:bookmarkEnd w:id="62"/>
    </w:p>
    <w:p w14:paraId="0B1DFE27">
      <w:pPr>
        <w:pStyle w:val="52"/>
        <w:rPr>
          <w:color w:val="000000" w:themeColor="text1"/>
          <w14:textFill>
            <w14:solidFill>
              <w14:schemeClr w14:val="tx1"/>
            </w14:solidFill>
          </w14:textFill>
        </w:rPr>
      </w:pPr>
      <w:r>
        <w:rPr>
          <w:color w:val="000000" w:themeColor="text1"/>
          <w14:textFill>
            <w14:solidFill>
              <w14:schemeClr w14:val="tx1"/>
            </w14:solidFill>
          </w14:textFill>
        </w:rPr>
        <w:t>2020年初，晋安区辖区总人口87万人。晋安区人口主要呈现以下几个特点：一是汉族人口占主要多数。汉族人口占全区人口总数的98%左右，少数民族主要有畲族、满族等，其中畲族人口最多，约有2900人；二是外地务工经营人口众多。由于晋安区经济建设、社会发展较快，吸引大量人员前来务工经营创业，全区有来自全国各地的务工经营常住人口超过30.5万人；三是人口老龄化趋势明显。全区老年人口规模较大，老龄化速度有所加快，65岁以上老龄人口比量达到11.79%。本次规划（评估）涉及5个村庄常住人口统计详见表2.3-1。</w:t>
      </w:r>
    </w:p>
    <w:p w14:paraId="2A31DD47">
      <w:pPr>
        <w:pStyle w:val="6"/>
        <w:rPr>
          <w:color w:val="000000" w:themeColor="text1"/>
          <w14:textFill>
            <w14:solidFill>
              <w14:schemeClr w14:val="tx1"/>
            </w14:solidFill>
          </w14:textFill>
        </w:rPr>
      </w:pPr>
      <w:bookmarkStart w:id="63" w:name="_Toc112693996"/>
      <w:bookmarkStart w:id="64" w:name="_Toc112693861"/>
      <w:bookmarkStart w:id="65" w:name="_Toc112692563"/>
      <w:r>
        <w:rPr>
          <w:color w:val="000000" w:themeColor="text1"/>
          <w14:textFill>
            <w14:solidFill>
              <w14:schemeClr w14:val="tx1"/>
            </w14:solidFill>
          </w14:textFill>
        </w:rPr>
        <w:t>晋安区经济发展、财政收入及其产业特点</w:t>
      </w:r>
      <w:bookmarkEnd w:id="63"/>
      <w:bookmarkEnd w:id="64"/>
      <w:bookmarkEnd w:id="65"/>
    </w:p>
    <w:p w14:paraId="3A6B14E3">
      <w:pPr>
        <w:pStyle w:val="52"/>
        <w:rPr>
          <w:color w:val="000000" w:themeColor="text1"/>
          <w14:textFill>
            <w14:solidFill>
              <w14:schemeClr w14:val="tx1"/>
            </w14:solidFill>
          </w14:textFill>
        </w:rPr>
      </w:pPr>
      <w:r>
        <w:rPr>
          <w:color w:val="000000" w:themeColor="text1"/>
          <w14:textFill>
            <w14:solidFill>
              <w14:schemeClr w14:val="tx1"/>
            </w14:solidFill>
          </w14:textFill>
        </w:rPr>
        <w:t>2019年，晋安区生产总值完成884.8亿元，增长7.6%；固定资产投资额完成573.96亿元，增长15.1%；规模以上工业增加值增长8.7%；第三产业增加值615.67亿元，增长8.4%；实际利用外资6.44亿元，增长63.4%；社会消费品零售总额完成1000.23亿元，增长11.6%。全区2019年重点工作“抓项目促发展”、“招商2019”综合考评综合排名全市第二。</w:t>
      </w:r>
    </w:p>
    <w:p w14:paraId="16D0620A">
      <w:pPr>
        <w:pStyle w:val="52"/>
        <w:rPr>
          <w:color w:val="000000" w:themeColor="text1"/>
          <w14:textFill>
            <w14:solidFill>
              <w14:schemeClr w14:val="tx1"/>
            </w14:solidFill>
          </w14:textFill>
        </w:rPr>
      </w:pPr>
      <w:r>
        <w:rPr>
          <w:color w:val="000000" w:themeColor="text1"/>
          <w14:textFill>
            <w14:solidFill>
              <w14:schemeClr w14:val="tx1"/>
            </w14:solidFill>
          </w14:textFill>
        </w:rPr>
        <w:t>一、农业发展情况</w:t>
      </w:r>
    </w:p>
    <w:p w14:paraId="6E31AE3B">
      <w:pPr>
        <w:pStyle w:val="52"/>
        <w:rPr>
          <w:color w:val="000000" w:themeColor="text1"/>
          <w14:textFill>
            <w14:solidFill>
              <w14:schemeClr w14:val="tx1"/>
            </w14:solidFill>
          </w14:textFill>
        </w:rPr>
      </w:pPr>
      <w:r>
        <w:rPr>
          <w:color w:val="000000" w:themeColor="text1"/>
          <w14:textFill>
            <w14:solidFill>
              <w14:schemeClr w14:val="tx1"/>
            </w14:solidFill>
          </w14:textFill>
        </w:rPr>
        <w:t>晋安区位于福州城区东北部，是城乡结合、山区平原结合的城区，全区面积552平方公里（其中北峰山区面积429平方公里），下辖4个镇、2个乡、3个街道，113个行政村、75个社区，总人口约68万。我区属亚热带海洋性季风气候，温暖湿润，年平均气温21.6℃，年平均降水量1342毫米，无霜期312天。</w:t>
      </w:r>
    </w:p>
    <w:p w14:paraId="1E8787AD">
      <w:pPr>
        <w:pStyle w:val="52"/>
        <w:rPr>
          <w:color w:val="000000" w:themeColor="text1"/>
          <w14:textFill>
            <w14:solidFill>
              <w14:schemeClr w14:val="tx1"/>
            </w14:solidFill>
          </w14:textFill>
        </w:rPr>
      </w:pPr>
      <w:r>
        <w:rPr>
          <w:color w:val="000000" w:themeColor="text1"/>
          <w14:textFill>
            <w14:solidFill>
              <w14:schemeClr w14:val="tx1"/>
            </w14:solidFill>
          </w14:textFill>
        </w:rPr>
        <w:t>2019年农林牧渔总产值区确保目标值为10亿元，增加值5.95亿元，比增3.5%。2019年农林牧渔1-12月完成总产值12.36亿元，增加值7.59亿元，同比去年增长3.7%，全市农林牧渔综合排名第五。2019年农民人均可支配收入21799，比增10.2%%,全市排名第三。</w:t>
      </w:r>
    </w:p>
    <w:p w14:paraId="63546817">
      <w:pPr>
        <w:pStyle w:val="52"/>
        <w:rPr>
          <w:color w:val="000000" w:themeColor="text1"/>
          <w14:textFill>
            <w14:solidFill>
              <w14:schemeClr w14:val="tx1"/>
            </w14:solidFill>
          </w14:textFill>
        </w:rPr>
      </w:pPr>
      <w:r>
        <w:rPr>
          <w:color w:val="000000" w:themeColor="text1"/>
          <w14:textFill>
            <w14:solidFill>
              <w14:schemeClr w14:val="tx1"/>
            </w14:solidFill>
          </w14:textFill>
        </w:rPr>
        <w:t>二、工业发展情况</w:t>
      </w:r>
    </w:p>
    <w:p w14:paraId="39EF5FEA">
      <w:pPr>
        <w:pStyle w:val="52"/>
        <w:rPr>
          <w:color w:val="000000" w:themeColor="text1"/>
          <w14:textFill>
            <w14:solidFill>
              <w14:schemeClr w14:val="tx1"/>
            </w14:solidFill>
          </w14:textFill>
        </w:rPr>
      </w:pPr>
      <w:r>
        <w:rPr>
          <w:color w:val="000000" w:themeColor="text1"/>
          <w14:textFill>
            <w14:solidFill>
              <w14:schemeClr w14:val="tx1"/>
            </w14:solidFill>
          </w14:textFill>
        </w:rPr>
        <w:t>2019年晋安区规上先进制造业60家，完成年产值145.3亿元，占全年规上工业产值30%以上。</w:t>
      </w:r>
    </w:p>
    <w:p w14:paraId="349F9CD2">
      <w:pPr>
        <w:pStyle w:val="52"/>
        <w:rPr>
          <w:color w:val="000000" w:themeColor="text1"/>
          <w14:textFill>
            <w14:solidFill>
              <w14:schemeClr w14:val="tx1"/>
            </w14:solidFill>
          </w14:textFill>
        </w:rPr>
      </w:pPr>
      <w:r>
        <w:rPr>
          <w:color w:val="000000" w:themeColor="text1"/>
          <w14:textFill>
            <w14:solidFill>
              <w14:schemeClr w14:val="tx1"/>
            </w14:solidFill>
          </w14:textFill>
        </w:rPr>
        <w:t>福兴经济开发区是晋安区工业产业发展的代表。开发区规划总面积约5.5平方公里，其中工业用地约3.3平方公里。福兴经济开发区是习近平总书记在福州担任市委书记时倡导成立的，是当时福州市公办、侨办、民办三种开发区模式中民办开发区的代表，也是福建省首家民办开发区。由于起步较早，许多产业已经不适应高速的城市进程和发展。近年来，晋安区积极推进开发区内企业优化升级，取得一定成效，初步形成光电信息、精密制造、生物医药、物流总部、纺织鞋业等主导产业。一是加大总部经济建设。支持开发区重点企业建设总部大楼，已经建成盛辉、盛丰、福晟等6家总部大楼，总建筑面积达18万平方米，同时引进了喜相逢等一批重点服务业企业。二是推进土地收储提升。总占地面积614亩的福兴经济开发区钢材市场搬迁已经完成，已初步可整合约380亩土地，其中商办用地220亩、工业用地160亩，其中总建筑面积5万平方米的C1地块现代化标准厂房正在进行，其他地块将陆续对外招商。三是抓紧厂房提整合。积极推进开发区污染型、高能耗型企业关闭搬迁，近期可整合20万平方米标准厂房。</w:t>
      </w:r>
    </w:p>
    <w:p w14:paraId="3F46300E">
      <w:pPr>
        <w:pStyle w:val="52"/>
        <w:rPr>
          <w:color w:val="000000" w:themeColor="text1"/>
          <w14:textFill>
            <w14:solidFill>
              <w14:schemeClr w14:val="tx1"/>
            </w14:solidFill>
          </w14:textFill>
        </w:rPr>
      </w:pPr>
      <w:r>
        <w:rPr>
          <w:color w:val="000000" w:themeColor="text1"/>
          <w14:textFill>
            <w14:solidFill>
              <w14:schemeClr w14:val="tx1"/>
            </w14:solidFill>
          </w14:textFill>
        </w:rPr>
        <w:t>三、现代服务业发展情况</w:t>
      </w:r>
    </w:p>
    <w:p w14:paraId="077FF50B">
      <w:pPr>
        <w:pStyle w:val="52"/>
        <w:rPr>
          <w:color w:val="000000" w:themeColor="text1"/>
          <w14:textFill>
            <w14:solidFill>
              <w14:schemeClr w14:val="tx1"/>
            </w14:solidFill>
          </w14:textFill>
        </w:rPr>
      </w:pPr>
      <w:r>
        <w:rPr>
          <w:color w:val="000000" w:themeColor="text1"/>
          <w14:textFill>
            <w14:solidFill>
              <w14:schemeClr w14:val="tx1"/>
            </w14:solidFill>
          </w14:textFill>
        </w:rPr>
        <w:t>晋安区积极推进“互联网+”行动计划，加快推进中电福富信息科技有限公司企业服务云平台建设、福州钜全汽车配件有限公司新型汽车发动机铝合金活塞的研发及智能化生产项目进程，引导区内企业实现研发与制造集成、管理与控制集成、财务与业务集成、产供销集成和决策支持实时在线，在智能装备、新兴材料、核心部件、先进工艺等方面取得新突破。</w:t>
      </w:r>
    </w:p>
    <w:p w14:paraId="47F1C657">
      <w:pPr>
        <w:pStyle w:val="52"/>
        <w:rPr>
          <w:color w:val="000000" w:themeColor="text1"/>
          <w14:textFill>
            <w14:solidFill>
              <w14:schemeClr w14:val="tx1"/>
            </w14:solidFill>
          </w14:textFill>
        </w:rPr>
      </w:pPr>
      <w:r>
        <w:rPr>
          <w:color w:val="000000" w:themeColor="text1"/>
          <w14:textFill>
            <w14:solidFill>
              <w14:schemeClr w14:val="tx1"/>
            </w14:solidFill>
          </w14:textFill>
        </w:rPr>
        <w:t>近年来，晋安区旅游产业蓬勃发展，大力推动旅游品牌建设，东二环旅游商圈、金鸡山城市公园休闲游、晋安河旅游景观带、串珠公园为全域旅游注入勃勃生机。2018年鼓岭被评为国家级旅游度假区，先后创建中国寿山石馆、金鸡山公园、寿山石古矿洞、川捷休闲文体旅游区、汇雅温泉休闲旅游度假村等国家3A级景区，九峰村景区、皇帝洞景区2A级景区，以及A级景区总数为11家。北峰林壑幽深、溪流纵横、温泉潺潺，桃园溪漂流、观云庄、寿山溪漂流、飞云峡景区、美人谷温泉。都是大自然对晋安的慷慨馈赠。不断陆续建成的八一公园、斗顶公园、牛岗山公园、鹤林公园等不仅美化了晋安的生态环境，而且和森林公园、金鸡山公园、动物园、儿童公园等一道成为市民、游客休闲旅游的好去处。2019年旅游接待总人数1200.41万人次,比增15.6%，旅游总收入171.15亿元，比增22.4%。</w:t>
      </w:r>
    </w:p>
    <w:p w14:paraId="009C9047">
      <w:pPr>
        <w:pStyle w:val="4"/>
        <w:rPr>
          <w:rFonts w:ascii="Times New Roman" w:hAnsi="Times New Roman" w:eastAsiaTheme="minorEastAsia"/>
          <w:color w:val="000000" w:themeColor="text1"/>
          <w14:textFill>
            <w14:solidFill>
              <w14:schemeClr w14:val="tx1"/>
            </w14:solidFill>
          </w14:textFill>
        </w:rPr>
      </w:pPr>
      <w:bookmarkStart w:id="66" w:name="_Toc112861026"/>
      <w:bookmarkStart w:id="67" w:name="_Toc112693997"/>
      <w:bookmarkStart w:id="68" w:name="_Toc112693862"/>
      <w:r>
        <w:rPr>
          <w:rFonts w:hint="eastAsia" w:ascii="宋体" w:hAnsi="宋体" w:eastAsia="宋体" w:cs="宋体"/>
          <w:color w:val="000000" w:themeColor="text1"/>
          <w14:textFill>
            <w14:solidFill>
              <w14:schemeClr w14:val="tx1"/>
            </w14:solidFill>
          </w14:textFill>
        </w:rPr>
        <w:t>规划各乡镇基本情况</w:t>
      </w:r>
      <w:bookmarkEnd w:id="66"/>
      <w:bookmarkEnd w:id="67"/>
      <w:bookmarkEnd w:id="68"/>
    </w:p>
    <w:p w14:paraId="18A92286">
      <w:pPr>
        <w:pStyle w:val="6"/>
        <w:rPr>
          <w:color w:val="000000" w:themeColor="text1"/>
          <w14:textFill>
            <w14:solidFill>
              <w14:schemeClr w14:val="tx1"/>
            </w14:solidFill>
          </w14:textFill>
        </w:rPr>
      </w:pPr>
      <w:bookmarkStart w:id="69" w:name="_Toc112693863"/>
      <w:bookmarkStart w:id="70" w:name="_Toc112693998"/>
      <w:bookmarkStart w:id="71" w:name="_Toc112692565"/>
      <w:r>
        <w:rPr>
          <w:color w:val="000000" w:themeColor="text1"/>
          <w14:textFill>
            <w14:solidFill>
              <w14:schemeClr w14:val="tx1"/>
            </w14:solidFill>
          </w14:textFill>
        </w:rPr>
        <w:t>宦溪镇</w:t>
      </w:r>
      <w:bookmarkEnd w:id="69"/>
      <w:bookmarkEnd w:id="70"/>
      <w:bookmarkEnd w:id="71"/>
    </w:p>
    <w:p w14:paraId="5DD79666">
      <w:pPr>
        <w:pStyle w:val="52"/>
        <w:rPr>
          <w:color w:val="000000" w:themeColor="text1"/>
          <w14:textFill>
            <w14:solidFill>
              <w14:schemeClr w14:val="tx1"/>
            </w14:solidFill>
          </w14:textFill>
        </w:rPr>
      </w:pPr>
      <w:r>
        <w:rPr>
          <w:color w:val="000000" w:themeColor="text1"/>
          <w14:textFill>
            <w14:solidFill>
              <w14:schemeClr w14:val="tx1"/>
            </w14:solidFill>
          </w14:textFill>
        </w:rPr>
        <w:t>宦溪镇是福建省福州市晋安区下辖镇，位于福州市晋安区东北部，2004年与鼓岭乡合并，地域总面积133平方公里，辖24个村委会，人口1.3万，有少数民族畲族。地理位置优越，镇政府所在地离市中心仅13公里，新东线横穿腹部11公里，是截止到2014年福州市离市区最近、交通最便捷的一个山区镇。宦溪镇属南亚热带季风性湿润气候，阳光充足，雨水充沛，气候宜人，树木常青，平均海拔500米。夏季平均气温比福州市区低3~5℃，是避暑、休闲、旅游的胜地，有“榕城后花园”之誉。宦溪镇是省定革命老区基点镇，是解放前福建省委和城工部等地下组织从事革命活动的重要基地，现存有桂湖“二三”革命纪念馆、红军烈士墓等遗址。</w:t>
      </w:r>
    </w:p>
    <w:p w14:paraId="0AD98828">
      <w:pPr>
        <w:pStyle w:val="6"/>
        <w:rPr>
          <w:color w:val="000000" w:themeColor="text1"/>
          <w14:textFill>
            <w14:solidFill>
              <w14:schemeClr w14:val="tx1"/>
            </w14:solidFill>
          </w14:textFill>
        </w:rPr>
      </w:pPr>
      <w:bookmarkStart w:id="72" w:name="_Toc112693999"/>
      <w:bookmarkStart w:id="73" w:name="_Toc112693864"/>
      <w:bookmarkStart w:id="74" w:name="_Toc112692566"/>
      <w:r>
        <w:rPr>
          <w:color w:val="000000" w:themeColor="text1"/>
          <w14:textFill>
            <w14:solidFill>
              <w14:schemeClr w14:val="tx1"/>
            </w14:solidFill>
          </w14:textFill>
        </w:rPr>
        <w:t>寿山乡</w:t>
      </w:r>
      <w:bookmarkEnd w:id="72"/>
      <w:bookmarkEnd w:id="73"/>
      <w:bookmarkEnd w:id="74"/>
    </w:p>
    <w:p w14:paraId="5DE78145">
      <w:pPr>
        <w:pStyle w:val="52"/>
        <w:rPr>
          <w:color w:val="000000" w:themeColor="text1"/>
          <w14:textFill>
            <w14:solidFill>
              <w14:schemeClr w14:val="tx1"/>
            </w14:solidFill>
          </w14:textFill>
        </w:rPr>
      </w:pPr>
      <w:r>
        <w:rPr>
          <w:color w:val="000000" w:themeColor="text1"/>
          <w14:textFill>
            <w14:solidFill>
              <w14:schemeClr w14:val="tx1"/>
            </w14:solidFill>
          </w14:textFill>
        </w:rPr>
        <w:t>寿山乡隶属晋安区，位于福州市区北部，南临新店镇，北接日溪乡，东连宦溪镇，西与闽侯县交界，自古以来是“入省孔道”和“通津要道”。2004年经区划调整，原岭头乡和原寿山乡合并成乡，全乡下辖22个行政村。</w:t>
      </w:r>
    </w:p>
    <w:p w14:paraId="7271C4BD">
      <w:pPr>
        <w:pStyle w:val="6"/>
        <w:rPr>
          <w:color w:val="000000" w:themeColor="text1"/>
          <w14:textFill>
            <w14:solidFill>
              <w14:schemeClr w14:val="tx1"/>
            </w14:solidFill>
          </w14:textFill>
        </w:rPr>
      </w:pPr>
      <w:bookmarkStart w:id="75" w:name="_Toc112693865"/>
      <w:bookmarkStart w:id="76" w:name="_Toc112692567"/>
      <w:bookmarkStart w:id="77" w:name="_Toc112694000"/>
      <w:r>
        <w:rPr>
          <w:color w:val="000000" w:themeColor="text1"/>
          <w14:textFill>
            <w14:solidFill>
              <w14:schemeClr w14:val="tx1"/>
            </w14:solidFill>
          </w14:textFill>
        </w:rPr>
        <w:t>日溪乡</w:t>
      </w:r>
      <w:bookmarkEnd w:id="75"/>
      <w:bookmarkEnd w:id="76"/>
      <w:bookmarkEnd w:id="77"/>
    </w:p>
    <w:p w14:paraId="74B049AE">
      <w:pPr>
        <w:pStyle w:val="52"/>
        <w:rPr>
          <w:color w:val="000000" w:themeColor="text1"/>
          <w14:textFill>
            <w14:solidFill>
              <w14:schemeClr w14:val="tx1"/>
            </w14:solidFill>
          </w14:textFill>
        </w:rPr>
      </w:pPr>
      <w:r>
        <w:rPr>
          <w:color w:val="000000" w:themeColor="text1"/>
          <w14:textFill>
            <w14:solidFill>
              <w14:schemeClr w14:val="tx1"/>
            </w14:solidFill>
          </w14:textFill>
        </w:rPr>
        <w:t>日溪乡位于福州西北部，在晋安区北峰山区最北端，距福州晋安区政府所在地43公里。乡境南连晋安区寿山乡，北临罗源县霍口乡，东接连江县小沧乡，西与闽侯县大湖接壤。全乡土地总面积136.5平方公里，约占晋安辖区总面积的23%，福州市辖区总面积的12.4%，是北峰山区土地面积最大的乡镇。乡政府所在地日溪村距福州市区约41公里，全乡下辖12个行政村。</w:t>
      </w:r>
    </w:p>
    <w:p w14:paraId="67BBF6F9">
      <w:pPr>
        <w:pStyle w:val="4"/>
        <w:rPr>
          <w:rFonts w:ascii="Times New Roman" w:hAnsi="Times New Roman" w:eastAsiaTheme="minorEastAsia"/>
          <w:color w:val="000000" w:themeColor="text1"/>
          <w14:textFill>
            <w14:solidFill>
              <w14:schemeClr w14:val="tx1"/>
            </w14:solidFill>
          </w14:textFill>
        </w:rPr>
      </w:pPr>
      <w:bookmarkStart w:id="78" w:name="_Toc112694001"/>
      <w:bookmarkStart w:id="79" w:name="_Toc112693866"/>
      <w:bookmarkStart w:id="80" w:name="_Toc112861027"/>
      <w:r>
        <w:rPr>
          <w:rFonts w:hint="eastAsia" w:ascii="宋体" w:hAnsi="宋体" w:eastAsia="宋体" w:cs="宋体"/>
          <w:color w:val="000000" w:themeColor="text1"/>
          <w14:textFill>
            <w14:solidFill>
              <w14:schemeClr w14:val="tx1"/>
            </w14:solidFill>
          </w14:textFill>
        </w:rPr>
        <w:t>相关规划</w:t>
      </w:r>
      <w:bookmarkEnd w:id="78"/>
      <w:bookmarkEnd w:id="79"/>
      <w:bookmarkEnd w:id="80"/>
    </w:p>
    <w:p w14:paraId="3981C25A">
      <w:pPr>
        <w:pStyle w:val="6"/>
        <w:rPr>
          <w:color w:val="000000" w:themeColor="text1"/>
          <w14:textFill>
            <w14:solidFill>
              <w14:schemeClr w14:val="tx1"/>
            </w14:solidFill>
          </w14:textFill>
        </w:rPr>
      </w:pPr>
      <w:bookmarkStart w:id="81" w:name="_Toc112693867"/>
      <w:bookmarkStart w:id="82" w:name="_Toc112692569"/>
      <w:bookmarkStart w:id="83" w:name="_Toc112694002"/>
      <w:r>
        <w:rPr>
          <w:color w:val="000000" w:themeColor="text1"/>
          <w14:textFill>
            <w14:solidFill>
              <w14:schemeClr w14:val="tx1"/>
            </w14:solidFill>
          </w14:textFill>
        </w:rPr>
        <w:t>福州市总体规划</w:t>
      </w:r>
      <w:bookmarkEnd w:id="81"/>
      <w:bookmarkEnd w:id="82"/>
      <w:bookmarkEnd w:id="83"/>
    </w:p>
    <w:p w14:paraId="188D13D6">
      <w:pPr>
        <w:pStyle w:val="52"/>
        <w:rPr>
          <w:color w:val="000000" w:themeColor="text1"/>
          <w14:textFill>
            <w14:solidFill>
              <w14:schemeClr w14:val="tx1"/>
            </w14:solidFill>
          </w14:textFill>
        </w:rPr>
      </w:pPr>
      <w:r>
        <w:rPr>
          <w:color w:val="000000" w:themeColor="text1"/>
          <w14:textFill>
            <w14:solidFill>
              <w14:schemeClr w14:val="tx1"/>
            </w14:solidFill>
          </w14:textFill>
        </w:rPr>
        <w:t>规划范围包括福州市区、长乐市、连江县和闽侯县南部11个乡镇（白沙镇、甘蔗街道、荆溪镇、鸿尾乡、竹岐乡、上街镇、南屿镇、南通镇、祥谦镇、尚干镇、青口镇），以及永泰县葛岭镇、塘前乡，晋安区松山镇、碧里乡。规划区面积4792平方公里。</w:t>
      </w:r>
    </w:p>
    <w:p w14:paraId="5AEE1886">
      <w:pPr>
        <w:pStyle w:val="52"/>
        <w:rPr>
          <w:color w:val="000000" w:themeColor="text1"/>
          <w14:textFill>
            <w14:solidFill>
              <w14:schemeClr w14:val="tx1"/>
            </w14:solidFill>
          </w14:textFill>
        </w:rPr>
      </w:pPr>
      <w:r>
        <w:rPr>
          <w:color w:val="000000" w:themeColor="text1"/>
          <w14:textFill>
            <w14:solidFill>
              <w14:schemeClr w14:val="tx1"/>
            </w14:solidFill>
          </w14:textFill>
        </w:rPr>
        <w:t>中心城区为重点进行建设用地布局的范围，包括福州市5区（晋安区除寿山乡、日溪乡、宦溪镇），以及闽侯的荆溪镇、南屿镇、南通镇、尚干镇、祥谦镇、青口镇、上街镇和连江县的琯头镇，面积为1447平方公里。</w:t>
      </w:r>
    </w:p>
    <w:p w14:paraId="6DB01EAD">
      <w:pPr>
        <w:pStyle w:val="52"/>
        <w:rPr>
          <w:color w:val="000000" w:themeColor="text1"/>
          <w14:textFill>
            <w14:solidFill>
              <w14:schemeClr w14:val="tx1"/>
            </w14:solidFill>
          </w14:textFill>
        </w:rPr>
      </w:pPr>
      <w:r>
        <w:rPr>
          <w:color w:val="000000" w:themeColor="text1"/>
          <w14:textFill>
            <w14:solidFill>
              <w14:schemeClr w14:val="tx1"/>
            </w14:solidFill>
          </w14:textFill>
        </w:rPr>
        <w:t>规划期限为2011~2020年，近期2011~2015年，远期2016~2020年，远景2020年以后。市域总人口规划2015年800万人，2020年890万人；市域城镇人口规划2015年552万人，2020年668万人；城镇化水平规划2015年为69%，2020年为75%。</w:t>
      </w:r>
    </w:p>
    <w:p w14:paraId="4917112C">
      <w:pPr>
        <w:pStyle w:val="52"/>
        <w:rPr>
          <w:color w:val="000000" w:themeColor="text1"/>
          <w14:textFill>
            <w14:solidFill>
              <w14:schemeClr w14:val="tx1"/>
            </w14:solidFill>
          </w14:textFill>
        </w:rPr>
      </w:pPr>
      <w:r>
        <w:rPr>
          <w:color w:val="000000" w:themeColor="text1"/>
          <w14:textFill>
            <w14:solidFill>
              <w14:schemeClr w14:val="tx1"/>
            </w14:solidFill>
          </w14:textFill>
        </w:rPr>
        <w:t>城镇规模等级结构目标要将中心城区建设为区域中心城市，在此之外形成1个综合试验区，2个大城市区域副中心城市、23个中等城市一般城市、45个小城市以及若干个小城镇中心镇和25个一般镇。</w:t>
      </w:r>
    </w:p>
    <w:p w14:paraId="0366D8A1">
      <w:pPr>
        <w:pStyle w:val="52"/>
        <w:rPr>
          <w:color w:val="000000" w:themeColor="text1"/>
          <w14:textFill>
            <w14:solidFill>
              <w14:schemeClr w14:val="tx1"/>
            </w14:solidFill>
          </w14:textFill>
        </w:rPr>
      </w:pPr>
      <w:r>
        <w:rPr>
          <w:color w:val="000000" w:themeColor="text1"/>
          <w14:textFill>
            <w14:solidFill>
              <w14:schemeClr w14:val="tx1"/>
            </w14:solidFill>
          </w14:textFill>
        </w:rPr>
        <w:t>市域空间结构上呈“一区两翼、双轴多极”，“一区”指中心发展区，打破行政区划束缚，加强中心城区与闽侯、长乐、连江、永泰等城镇合作，共同承担海西经济区中心城市功能。“两翼”指北翼发展区和南翼发展区，“南翼发展区”即福清和平潭，由福清中心城区、元洪投资区（海口城头）、江阴工业集中区（江阴渔溪）、龙田高山、镜洋东张等新城（镇）以及平潭岛组成；“北翼发展区”即晋安和连江部分地区，由环晋安湾地区的主要城镇、工业区及晋安区城组成。</w:t>
      </w:r>
    </w:p>
    <w:p w14:paraId="15656EAD">
      <w:pPr>
        <w:pStyle w:val="52"/>
        <w:rPr>
          <w:color w:val="000000" w:themeColor="text1"/>
          <w14:textFill>
            <w14:solidFill>
              <w14:schemeClr w14:val="tx1"/>
            </w14:solidFill>
          </w14:textFill>
        </w:rPr>
      </w:pPr>
      <w:r>
        <w:rPr>
          <w:color w:val="000000" w:themeColor="text1"/>
          <w14:textFill>
            <w14:solidFill>
              <w14:schemeClr w14:val="tx1"/>
            </w14:solidFill>
          </w14:textFill>
        </w:rPr>
        <w:t>“双轴”指沿海发展轴和沿江发展轴，沿海发展轴北起晋安湾，经可门、大官坂、长安、琅岐、长乐国际机场、滨海新城、元洪投资区到江阴港区，使之快速形成滨海经济走廊；沿江发展轴以中心城区为起点，闽江、乌龙江为依托，向西可拓展至甘蔗、闽清等地区，向东发展至长安、琅岐和机场周边区域，重点发展城市公共服务、旅游服务等产业，是推动山海地区联动发展的重要轴线。</w:t>
      </w:r>
    </w:p>
    <w:p w14:paraId="6DB73A01">
      <w:pPr>
        <w:pStyle w:val="52"/>
        <w:rPr>
          <w:color w:val="000000" w:themeColor="text1"/>
          <w14:textFill>
            <w14:solidFill>
              <w14:schemeClr w14:val="tx1"/>
            </w14:solidFill>
          </w14:textFill>
        </w:rPr>
      </w:pPr>
      <w:r>
        <w:rPr>
          <w:color w:val="000000" w:themeColor="text1"/>
          <w14:textFill>
            <w14:solidFill>
              <w14:schemeClr w14:val="tx1"/>
            </w14:solidFill>
          </w14:textFill>
        </w:rPr>
        <w:t>“多极”指其他经济增长极，包括永泰县城以及福州西部山区（主要指永泰、闽清、闽侯）的中心镇。</w:t>
      </w:r>
    </w:p>
    <w:p w14:paraId="17EDCE73">
      <w:pPr>
        <w:pStyle w:val="52"/>
        <w:rPr>
          <w:color w:val="000000" w:themeColor="text1"/>
          <w14:textFill>
            <w14:solidFill>
              <w14:schemeClr w14:val="tx1"/>
            </w14:solidFill>
          </w14:textFill>
        </w:rPr>
      </w:pPr>
      <w:r>
        <w:rPr>
          <w:color w:val="000000" w:themeColor="text1"/>
          <w14:textFill>
            <w14:solidFill>
              <w14:schemeClr w14:val="tx1"/>
            </w14:solidFill>
          </w14:textFill>
        </w:rPr>
        <w:t>按照规划，空间发展策略为“一核心、两新城、三组团、三轴线”。“一核心”包括鼓楼、台江、晋安区；“两新城”包括南台岛、马尾新城；“三组团”包括荆溪组团、上街南屿南通组团、青口组团；“三轴线”包括传统城市服务轴、城市东扩发展轴、城市南进发展轴三条轴线。</w:t>
      </w:r>
    </w:p>
    <w:p w14:paraId="1C96ED72">
      <w:pPr>
        <w:pStyle w:val="52"/>
        <w:rPr>
          <w:color w:val="000000" w:themeColor="text1"/>
          <w14:textFill>
            <w14:solidFill>
              <w14:schemeClr w14:val="tx1"/>
            </w14:solidFill>
          </w14:textFill>
        </w:rPr>
      </w:pPr>
      <w:r>
        <w:rPr>
          <w:color w:val="000000" w:themeColor="text1"/>
          <w14:textFill>
            <w14:solidFill>
              <w14:schemeClr w14:val="tx1"/>
            </w14:solidFill>
          </w14:textFill>
        </w:rPr>
        <w:t>九大产业基地包括晋安湾能源原材料产业基地、马尾-长安电子信息、先进制造业基地、海西福州高新技术产业基地、青口汽车产业基地、长乐空港动漫和IT产业基地、长乐汽配纺织产业基地、松下港粮油食品加工产业基地、福清光电等先进制造业产业基地、江阴湾临港产业基地。</w:t>
      </w:r>
    </w:p>
    <w:p w14:paraId="6929255B">
      <w:pPr>
        <w:pStyle w:val="52"/>
        <w:rPr>
          <w:color w:val="000000" w:themeColor="text1"/>
          <w14:textFill>
            <w14:solidFill>
              <w14:schemeClr w14:val="tx1"/>
            </w14:solidFill>
          </w14:textFill>
        </w:rPr>
      </w:pPr>
      <w:r>
        <w:rPr>
          <w:color w:val="000000" w:themeColor="text1"/>
          <w14:textFill>
            <w14:solidFill>
              <w14:schemeClr w14:val="tx1"/>
            </w14:solidFill>
          </w14:textFill>
        </w:rPr>
        <w:t>构建“两环十射”快速通道为形成城市的综合交通，规划在既有环路基础上，加强鼓台核心区与外围地区联系的放射线建设，强化“鼓台-仓山-三江口”快速机动交通走廊，构建“两环十射”进出城快速通道。逐步完善由城市快速路、主干路、次干路和支路组成的城市路网，形成功能明确、等级清晰、级配合理的路网结构。由京台、沈海、沈海复线三条高速公路围合成半环路，截留过境交通。</w:t>
      </w:r>
    </w:p>
    <w:p w14:paraId="63063429">
      <w:pPr>
        <w:pStyle w:val="52"/>
        <w:rPr>
          <w:color w:val="000000" w:themeColor="text1"/>
          <w14:textFill>
            <w14:solidFill>
              <w14:schemeClr w14:val="tx1"/>
            </w14:solidFill>
          </w14:textFill>
        </w:rPr>
      </w:pPr>
      <w:r>
        <w:rPr>
          <w:color w:val="000000" w:themeColor="text1"/>
          <w14:textFill>
            <w14:solidFill>
              <w14:schemeClr w14:val="tx1"/>
            </w14:solidFill>
          </w14:textFill>
        </w:rPr>
        <w:t>三环快速路作为城市快速交通的骨架，与二环快速路通过放射性快速路通道相连。依托化工路、国货东路、福泉连接线、福峡路、南台大道（螺洲大桥）、福湾路、金山大道、甘洪路、铜盘路及龙头路等十条道路构建放射性骨干通道衔接二、三环。</w:t>
      </w:r>
    </w:p>
    <w:p w14:paraId="44C27DD6">
      <w:pPr>
        <w:pStyle w:val="52"/>
        <w:rPr>
          <w:color w:val="000000" w:themeColor="text1"/>
          <w14:textFill>
            <w14:solidFill>
              <w14:schemeClr w14:val="tx1"/>
            </w14:solidFill>
          </w14:textFill>
        </w:rPr>
      </w:pPr>
      <w:r>
        <w:rPr>
          <w:color w:val="000000" w:themeColor="text1"/>
          <w14:textFill>
            <w14:solidFill>
              <w14:schemeClr w14:val="tx1"/>
            </w14:solidFill>
          </w14:textFill>
        </w:rPr>
        <w:t>此外，规划建设三环三江口段及二环、三环连接线，增加跨越闽江的快速通道。规划前横路南跨闽江；增加南屿、南通与南台岛的联系通道；马尾港口路向东跨闽江，加强马尾新城与长乐城区的联系通道；扩建洪山桥、金山大桥、洪塘大桥、琅岐大桥等跨江桥梁。</w:t>
      </w:r>
    </w:p>
    <w:p w14:paraId="15E7955B">
      <w:pPr>
        <w:pStyle w:val="52"/>
        <w:rPr>
          <w:color w:val="000000" w:themeColor="text1"/>
          <w14:textFill>
            <w14:solidFill>
              <w14:schemeClr w14:val="tx1"/>
            </w14:solidFill>
          </w14:textFill>
        </w:rPr>
      </w:pPr>
      <w:r>
        <w:rPr>
          <w:color w:val="000000" w:themeColor="text1"/>
          <w14:textFill>
            <w14:solidFill>
              <w14:schemeClr w14:val="tx1"/>
            </w14:solidFill>
          </w14:textFill>
        </w:rPr>
        <w:t>规划福泉连接线向东南跨越闽江（乌龙江），实现中心城区与长乐城区的快速联系通道。规划马尾港口路跨闽江与长乐主干路网衔接，同时S203青口至长乐段调整为城市主干路，与福峡路衔接。</w:t>
      </w:r>
    </w:p>
    <w:p w14:paraId="288580FE">
      <w:pPr>
        <w:pStyle w:val="52"/>
        <w:rPr>
          <w:color w:val="000000" w:themeColor="text1"/>
          <w14:textFill>
            <w14:solidFill>
              <w14:schemeClr w14:val="tx1"/>
            </w14:solidFill>
          </w14:textFill>
        </w:rPr>
      </w:pPr>
      <w:r>
        <w:rPr>
          <w:color w:val="000000" w:themeColor="text1"/>
          <w14:textFill>
            <w14:solidFill>
              <w14:schemeClr w14:val="tx1"/>
            </w14:solidFill>
          </w14:textFill>
        </w:rPr>
        <w:t>全面保护历史文化名城。此次总规也特别提出，保护“一城六镇（村）、一江贯穿、百河润邑、群翠绕城”的名城空间格局。“一城”指历史城区，由古城区和滨江地区（台江片区、仓前山片区）组成；“六镇（村）”指外围闽安、林浦、</w:t>
      </w:r>
      <w:r>
        <w:rPr>
          <w:rFonts w:hint="eastAsia"/>
          <w:color w:val="000000" w:themeColor="text1"/>
          <w14:textFill>
            <w14:solidFill>
              <w14:schemeClr w14:val="tx1"/>
            </w14:solidFill>
          </w14:textFill>
        </w:rPr>
        <w:t>螺洲</w:t>
      </w:r>
      <w:r>
        <w:rPr>
          <w:color w:val="000000" w:themeColor="text1"/>
          <w14:textFill>
            <w14:solidFill>
              <w14:schemeClr w14:val="tx1"/>
            </w14:solidFill>
          </w14:textFill>
        </w:rPr>
        <w:t>、阳岐、南屿、青口六个历史文化名镇名村，及马尾、洪塘、福建协和大学、鼓岭、南公园等历史文化风貌区、历史建筑群；“一江贯穿”指闽江历史文化廊道；“百河润邑”指与名城格局相关的内河水系；“群翠绕城”指环绕名城的“左旗右鼓、南五虎、北莲花”自然生态景观界面以及楔入城市中心的绿化生态空间。</w:t>
      </w:r>
    </w:p>
    <w:p w14:paraId="4B15BC9A">
      <w:pPr>
        <w:pStyle w:val="52"/>
        <w:rPr>
          <w:color w:val="000000" w:themeColor="text1"/>
          <w14:textFill>
            <w14:solidFill>
              <w14:schemeClr w14:val="tx1"/>
            </w14:solidFill>
          </w14:textFill>
        </w:rPr>
      </w:pPr>
      <w:r>
        <w:rPr>
          <w:color w:val="000000" w:themeColor="text1"/>
          <w14:textFill>
            <w14:solidFill>
              <w14:schemeClr w14:val="tx1"/>
            </w14:solidFill>
          </w14:textFill>
        </w:rPr>
        <w:t>划定的历史城区包括古城区和滨江地区（含台江、仓前城区）两部分，面积10.1平方公里。其中，古城区的范围东起公正河-五四河-琼东河，西起白马河-西湖-大梦山，南起东西河，北至左海-福飞路-北二环路，面积7.5平方公里；台江范围东起广达路，西起白马路、茶亭河，北至洋头口（含茶亭街在内），南至闽江，面积1.07平方公里；仓前范围东起六一路，西起三县洲立交桥，北起闽江，南至福州体育场（即跑马场），控制面积1.53平方公里。从整体上保护历史城区“一路串两厢”的用地形态和“三山鼎立、二塔对峙、样楼独秀、一线</w:t>
      </w:r>
      <w:r>
        <w:rPr>
          <w:rFonts w:hint="eastAsia"/>
          <w:color w:val="000000" w:themeColor="text1"/>
          <w14:textFill>
            <w14:solidFill>
              <w14:schemeClr w14:val="tx1"/>
            </w14:solidFill>
          </w14:textFill>
        </w:rPr>
        <w:t>贯穿</w:t>
      </w:r>
      <w:r>
        <w:rPr>
          <w:color w:val="000000" w:themeColor="text1"/>
          <w14:textFill>
            <w14:solidFill>
              <w14:schemeClr w14:val="tx1"/>
            </w14:solidFill>
          </w14:textFill>
        </w:rPr>
        <w:t>、内水萦绕、襟江带湖”的城市空间格局特色。</w:t>
      </w:r>
    </w:p>
    <w:p w14:paraId="094BA82C">
      <w:pPr>
        <w:pStyle w:val="52"/>
        <w:rPr>
          <w:color w:val="000000" w:themeColor="text1"/>
          <w14:textFill>
            <w14:solidFill>
              <w14:schemeClr w14:val="tx1"/>
            </w14:solidFill>
          </w14:textFill>
        </w:rPr>
      </w:pPr>
      <w:r>
        <w:rPr>
          <w:color w:val="000000" w:themeColor="text1"/>
          <w14:textFill>
            <w14:solidFill>
              <w14:schemeClr w14:val="tx1"/>
            </w14:solidFill>
          </w14:textFill>
        </w:rPr>
        <w:t>重点保护的19处历史地段，包括3处历史文化街区（三坊七巷、朱紫坊、上下杭）、8处历史文化风貌区（烟台山、屏山、乌山、于山、冶山、西湖、马尾、洪塘）、8处历史建筑群（福建协和大学、苍霞及大桥头台江汛、马厂街、公园路及跑马场、禅臣花园、泛船浦、鼓岭、南公园，按要求进行保护与控制）。</w:t>
      </w:r>
    </w:p>
    <w:p w14:paraId="6B995F83">
      <w:pPr>
        <w:pStyle w:val="52"/>
        <w:rPr>
          <w:color w:val="000000" w:themeColor="text1"/>
          <w14:textFill>
            <w14:solidFill>
              <w14:schemeClr w14:val="tx1"/>
            </w14:solidFill>
          </w14:textFill>
        </w:rPr>
      </w:pPr>
      <w:r>
        <w:rPr>
          <w:color w:val="000000" w:themeColor="text1"/>
          <w14:textFill>
            <w14:solidFill>
              <w14:schemeClr w14:val="tx1"/>
            </w14:solidFill>
          </w14:textFill>
        </w:rPr>
        <w:t>构筑“一环八楔、两带一网、十一山多园”绿化体系</w:t>
      </w:r>
    </w:p>
    <w:p w14:paraId="038A567F">
      <w:pPr>
        <w:pStyle w:val="52"/>
        <w:rPr>
          <w:color w:val="000000" w:themeColor="text1"/>
          <w14:textFill>
            <w14:solidFill>
              <w14:schemeClr w14:val="tx1"/>
            </w14:solidFill>
          </w14:textFill>
        </w:rPr>
      </w:pPr>
      <w:r>
        <w:rPr>
          <w:color w:val="000000" w:themeColor="text1"/>
          <w14:textFill>
            <w14:solidFill>
              <w14:schemeClr w14:val="tx1"/>
            </w14:solidFill>
          </w14:textFill>
        </w:rPr>
        <w:t>总体规划将建立生态资源友好的生态结构，完善“点-线-面”结合的绿地系统，增加园林绿地的防灾避险功能，保护生物多样性和城市湿地资源，形成山水相依的城市绿化特色，展现作为国家园林城市的风貌作为规划目标。</w:t>
      </w:r>
    </w:p>
    <w:p w14:paraId="2C8131B4">
      <w:pPr>
        <w:pStyle w:val="52"/>
        <w:rPr>
          <w:color w:val="000000" w:themeColor="text1"/>
          <w14:textFill>
            <w14:solidFill>
              <w14:schemeClr w14:val="tx1"/>
            </w14:solidFill>
          </w14:textFill>
        </w:rPr>
      </w:pPr>
      <w:r>
        <w:rPr>
          <w:color w:val="000000" w:themeColor="text1"/>
          <w14:textFill>
            <w14:solidFill>
              <w14:schemeClr w14:val="tx1"/>
            </w14:solidFill>
          </w14:textFill>
        </w:rPr>
        <w:t>绿地系统结构按“两江润城、碧山环城、水链织城、青峰缀城”的理念，构筑“一环八楔、两带一网、十一山多园”的绿化体系，形成以点带线、以线连面、“点-线-面”结合的系统。</w:t>
      </w:r>
    </w:p>
    <w:p w14:paraId="6EF84CF7">
      <w:pPr>
        <w:pStyle w:val="52"/>
        <w:rPr>
          <w:color w:val="000000" w:themeColor="text1"/>
          <w14:textFill>
            <w14:solidFill>
              <w14:schemeClr w14:val="tx1"/>
            </w14:solidFill>
          </w14:textFill>
        </w:rPr>
      </w:pPr>
      <w:r>
        <w:rPr>
          <w:color w:val="000000" w:themeColor="text1"/>
          <w14:textFill>
            <w14:solidFill>
              <w14:schemeClr w14:val="tx1"/>
            </w14:solidFill>
          </w14:textFill>
        </w:rPr>
        <w:t>“一环八楔”指中心城区周边青山为屏障，构成中心城区外围的绿色生态环。八楔是从周边的绿色生态环沿金牛山、莲花山、金鸡山、鼓山、清凉山、青芝山、旗山、五虎山等山体延伸的八条绿化廊道渗透入中心城区内部作为绿带。</w:t>
      </w:r>
    </w:p>
    <w:p w14:paraId="6EC12749">
      <w:pPr>
        <w:pStyle w:val="52"/>
        <w:rPr>
          <w:color w:val="000000" w:themeColor="text1"/>
          <w14:textFill>
            <w14:solidFill>
              <w14:schemeClr w14:val="tx1"/>
            </w14:solidFill>
          </w14:textFill>
        </w:rPr>
      </w:pPr>
      <w:r>
        <w:rPr>
          <w:color w:val="000000" w:themeColor="text1"/>
          <w14:textFill>
            <w14:solidFill>
              <w14:schemeClr w14:val="tx1"/>
            </w14:solidFill>
          </w14:textFill>
        </w:rPr>
        <w:t>“两带一网”指以闽江、乌龙江两岸滨江绿带形成贯穿中心城区的两条重要绿化廊道，结合城区内丰富的河网水系，形成沿白马河、晋安河、凤坂河、光明港、大樟溪等滨水绿化网络。</w:t>
      </w:r>
    </w:p>
    <w:p w14:paraId="6B764B37">
      <w:pPr>
        <w:pStyle w:val="52"/>
        <w:rPr>
          <w:color w:val="000000" w:themeColor="text1"/>
          <w14:textFill>
            <w14:solidFill>
              <w14:schemeClr w14:val="tx1"/>
            </w14:solidFill>
          </w14:textFill>
        </w:rPr>
      </w:pPr>
      <w:r>
        <w:rPr>
          <w:color w:val="000000" w:themeColor="text1"/>
          <w14:textFill>
            <w14:solidFill>
              <w14:schemeClr w14:val="tx1"/>
            </w14:solidFill>
          </w14:textFill>
        </w:rPr>
        <w:t>“十一山多园”指中心城区内的乌山、于山、屏山、高盖山、金鸡山等城市主要山体公园，与西湖公园、温泉公园、金山公园等综合性公园共同构成三十二座城市公园绿地主体，形成山园相连格局。</w:t>
      </w:r>
    </w:p>
    <w:p w14:paraId="7ED0CDCC">
      <w:pPr>
        <w:rPr>
          <w:color w:val="000000" w:themeColor="text1"/>
          <w14:textFill>
            <w14:solidFill>
              <w14:schemeClr w14:val="tx1"/>
            </w14:solidFill>
          </w14:textFill>
        </w:rPr>
      </w:pPr>
      <w:r>
        <w:rPr>
          <w:color w:val="000000" w:themeColor="text1"/>
          <w14:textFill>
            <w14:solidFill>
              <w14:schemeClr w14:val="tx1"/>
            </w14:solidFill>
          </w14:textFill>
        </w:rPr>
        <w:br w:type="page"/>
      </w:r>
    </w:p>
    <w:p w14:paraId="12C4D75A">
      <w:pPr>
        <w:pStyle w:val="3"/>
        <w:rPr>
          <w:rFonts w:ascii="Times New Roman" w:hAnsi="Times New Roman"/>
          <w:color w:val="000000" w:themeColor="text1"/>
          <w14:textFill>
            <w14:solidFill>
              <w14:schemeClr w14:val="tx1"/>
            </w14:solidFill>
          </w14:textFill>
        </w:rPr>
      </w:pPr>
      <w:bookmarkStart w:id="84" w:name="_Toc112693868"/>
      <w:bookmarkStart w:id="85" w:name="_Toc112694003"/>
      <w:bookmarkStart w:id="86" w:name="_Toc112861028"/>
      <w:r>
        <w:rPr>
          <w:rFonts w:ascii="Times New Roman" w:hAnsi="Times New Roman"/>
          <w:color w:val="000000" w:themeColor="text1"/>
          <w14:textFill>
            <w14:solidFill>
              <w14:schemeClr w14:val="tx1"/>
            </w14:solidFill>
          </w14:textFill>
        </w:rPr>
        <w:t>治理回顾和治理成效调查</w:t>
      </w:r>
      <w:bookmarkEnd w:id="84"/>
      <w:bookmarkEnd w:id="85"/>
      <w:bookmarkEnd w:id="86"/>
    </w:p>
    <w:p w14:paraId="423CADE7">
      <w:pPr>
        <w:pStyle w:val="4"/>
        <w:rPr>
          <w:rFonts w:ascii="Times New Roman" w:hAnsi="Times New Roman" w:eastAsiaTheme="minorEastAsia"/>
          <w:color w:val="000000" w:themeColor="text1"/>
          <w14:textFill>
            <w14:solidFill>
              <w14:schemeClr w14:val="tx1"/>
            </w14:solidFill>
          </w14:textFill>
        </w:rPr>
      </w:pPr>
      <w:bookmarkStart w:id="87" w:name="_Toc112693869"/>
      <w:bookmarkStart w:id="88" w:name="_Toc112694004"/>
      <w:bookmarkStart w:id="89" w:name="_Toc112861029"/>
      <w:r>
        <w:rPr>
          <w:rFonts w:hint="eastAsia" w:ascii="宋体" w:hAnsi="宋体" w:eastAsia="宋体" w:cs="宋体"/>
          <w:color w:val="000000" w:themeColor="text1"/>
          <w14:textFill>
            <w14:solidFill>
              <w14:schemeClr w14:val="tx1"/>
            </w14:solidFill>
          </w14:textFill>
        </w:rPr>
        <w:t>北峰山区乡镇生活污水治理历程</w:t>
      </w:r>
      <w:bookmarkEnd w:id="87"/>
      <w:bookmarkEnd w:id="88"/>
      <w:bookmarkEnd w:id="89"/>
    </w:p>
    <w:p w14:paraId="2C92B6E9">
      <w:pPr>
        <w:pStyle w:val="6"/>
        <w:rPr>
          <w:color w:val="000000" w:themeColor="text1"/>
          <w14:textFill>
            <w14:solidFill>
              <w14:schemeClr w14:val="tx1"/>
            </w14:solidFill>
          </w14:textFill>
        </w:rPr>
      </w:pPr>
      <w:bookmarkStart w:id="90" w:name="_Toc112692572"/>
      <w:bookmarkStart w:id="91" w:name="_Toc112693870"/>
      <w:bookmarkStart w:id="92" w:name="_Toc112694005"/>
      <w:r>
        <w:rPr>
          <w:color w:val="000000" w:themeColor="text1"/>
          <w14:textFill>
            <w14:solidFill>
              <w14:schemeClr w14:val="tx1"/>
            </w14:solidFill>
          </w14:textFill>
        </w:rPr>
        <w:t>北峰山区乡镇生活环境治理政策回顾</w:t>
      </w:r>
      <w:bookmarkEnd w:id="90"/>
      <w:bookmarkEnd w:id="91"/>
      <w:bookmarkEnd w:id="92"/>
    </w:p>
    <w:p w14:paraId="19526DF7">
      <w:pPr>
        <w:pStyle w:val="7"/>
        <w:rPr>
          <w:color w:val="000000" w:themeColor="text1"/>
          <w14:textFill>
            <w14:solidFill>
              <w14:schemeClr w14:val="tx1"/>
            </w14:solidFill>
          </w14:textFill>
        </w:rPr>
      </w:pPr>
      <w:r>
        <w:rPr>
          <w:color w:val="000000" w:themeColor="text1"/>
          <w14:textFill>
            <w14:solidFill>
              <w14:schemeClr w14:val="tx1"/>
            </w14:solidFill>
          </w14:textFill>
        </w:rPr>
        <w:t>国家相关政策回顾</w:t>
      </w:r>
    </w:p>
    <w:p w14:paraId="6F68EA39">
      <w:pPr>
        <w:pStyle w:val="52"/>
        <w:rPr>
          <w:color w:val="000000" w:themeColor="text1"/>
          <w14:textFill>
            <w14:solidFill>
              <w14:schemeClr w14:val="tx1"/>
            </w14:solidFill>
          </w14:textFill>
        </w:rPr>
      </w:pPr>
      <w:r>
        <w:rPr>
          <w:color w:val="000000" w:themeColor="text1"/>
          <w14:textFill>
            <w14:solidFill>
              <w14:schemeClr w14:val="tx1"/>
            </w14:solidFill>
          </w14:textFill>
        </w:rPr>
        <w:t>《国家环境保护“十五”计划》中明确“将控制农业面源污染、农村生活污染和改善农村环境质量作为农村环境保护的重要任务”；十六届五中全会首次提出建设“社会主义新农村”；2008年环保部成立并设立农村环保专项资金，通过“以奖代补”、“以奖促治”等方式投入5亿元资金(2012年增至55亿元)；2010年出台了《全国农村环境连片整治工作指南(试行)》；2012年开展了耕地保护、农村饮水安全、农村河道综合整治、农村改厕项目、全国畜禽养殖业专项执法督察和农业面源污染防治等工作，尤其是畜禽养殖废弃物处理和资源化、农村土壤污染治理和修复等。</w:t>
      </w:r>
    </w:p>
    <w:p w14:paraId="2BBBCFD9">
      <w:pPr>
        <w:pStyle w:val="52"/>
        <w:rPr>
          <w:color w:val="000000" w:themeColor="text1"/>
          <w14:textFill>
            <w14:solidFill>
              <w14:schemeClr w14:val="tx1"/>
            </w14:solidFill>
          </w14:textFill>
        </w:rPr>
      </w:pPr>
      <w:r>
        <w:rPr>
          <w:color w:val="000000" w:themeColor="text1"/>
          <w14:textFill>
            <w14:solidFill>
              <w14:schemeClr w14:val="tx1"/>
            </w14:solidFill>
          </w14:textFill>
        </w:rPr>
        <w:t>党的十八大以来，生态文明建设融入到社会经济发展方方面面，加强农村环境保护也是大势所需。2013年中央一号文件提出“关于推进农村生态文明、建设美丽乡村的要求”，同年原农业部出台了《关于开展“美丽乡村”创建活动的意见》；2014年修订的《环境保护法》在农业污染源的监测预警、农村环境综合整治、防止农业面源污染和财政预算中安排农村环保资金等方面做出规定，为深化农业农村环境保护奠定扎实基础；同年国务院出台了《关于改善农村人居环境的指导意见》；2015年中央一号文件明确提出农业生态治理和全面推进农村人居环境整治，同年4月原农业部发布的《关于打好农业面源污染防治攻坚战的实施意见》提出了“一控两减三基本”目标；11月住房城乡建设部等部门发布了《关于全面推进农村垃圾治理的指导意见》；2017年原环境保护部、财政部联合印发《全国农村环境综合整治“十三五”规划》；2018年</w:t>
      </w:r>
      <w:r>
        <w:rPr>
          <w:rFonts w:hint="eastAsia"/>
          <w:color w:val="000000" w:themeColor="text1"/>
          <w:lang w:eastAsia="zh-CN"/>
          <w14:textFill>
            <w14:solidFill>
              <w14:schemeClr w14:val="tx1"/>
            </w14:solidFill>
          </w14:textFill>
        </w:rPr>
        <w:t>中共</w:t>
      </w:r>
      <w:r>
        <w:rPr>
          <w:color w:val="000000" w:themeColor="text1"/>
          <w14:textFill>
            <w14:solidFill>
              <w14:schemeClr w14:val="tx1"/>
            </w14:solidFill>
          </w14:textFill>
        </w:rPr>
        <w:t>中央、国务院印发了《农村人居环境整治三年行动方案》；2019年中央一号文件提出“让农村成为农民安居乐业的美丽家园”。2019年农业农村部牵头18部委联合印发《农村人居环境整治村庄清洁行动方案》，提出以“清洁村庄助力乡村振兴”为主题，以影响农村人居环境的突出问题为重点，动员广大农民群众，广泛参与、集中整治，着力解决村庄环境“脏乱差”问题，实现村庄内垃圾不乱堆乱放，污水乱泼乱倒现象明显减少，粪污无明显暴露，杂物堆放整齐，房前屋后干净整洁，村庄环境干净、整洁、有序，村容村貌明显提升，文明村规民约普遍形成，长效清洁机制逐步建立，村民清洁卫生文明意识普遍提高。</w:t>
      </w:r>
    </w:p>
    <w:p w14:paraId="1D223F06">
      <w:pPr>
        <w:pStyle w:val="7"/>
        <w:rPr>
          <w:color w:val="000000" w:themeColor="text1"/>
          <w14:textFill>
            <w14:solidFill>
              <w14:schemeClr w14:val="tx1"/>
            </w14:solidFill>
          </w14:textFill>
        </w:rPr>
      </w:pPr>
      <w:r>
        <w:rPr>
          <w:color w:val="000000" w:themeColor="text1"/>
          <w14:textFill>
            <w14:solidFill>
              <w14:schemeClr w14:val="tx1"/>
            </w14:solidFill>
          </w14:textFill>
        </w:rPr>
        <w:t>福建省地方政策回顾</w:t>
      </w:r>
    </w:p>
    <w:p w14:paraId="1A034A5E">
      <w:pPr>
        <w:pStyle w:val="52"/>
        <w:rPr>
          <w:color w:val="000000" w:themeColor="text1"/>
          <w14:textFill>
            <w14:solidFill>
              <w14:schemeClr w14:val="tx1"/>
            </w14:solidFill>
          </w14:textFill>
        </w:rPr>
      </w:pPr>
      <w:r>
        <w:rPr>
          <w:color w:val="000000" w:themeColor="text1"/>
          <w14:textFill>
            <w14:solidFill>
              <w14:schemeClr w14:val="tx1"/>
            </w14:solidFill>
          </w14:textFill>
        </w:rPr>
        <w:t>为深入贯彻落实党的十七大精神，扎实做好北峰山区乡镇环境保护工作，进一步保护和改善北峰山区乡镇环境，服务海峡西岸社会主义新北峰山区乡镇建设，根据《国务院办公厅转发环保总局等部门关于加强农村环境保护工作意见的通知》和《全国农村环境污染防治规划纲要（2007～2020）》，福建省人民</w:t>
      </w:r>
      <w:r>
        <w:rPr>
          <w:rFonts w:hint="eastAsia"/>
          <w:color w:val="000000" w:themeColor="text1"/>
          <w:lang w:eastAsia="zh-CN"/>
          <w14:textFill>
            <w14:solidFill>
              <w14:schemeClr w14:val="tx1"/>
            </w14:solidFill>
          </w14:textFill>
        </w:rPr>
        <w:t>政府</w:t>
      </w:r>
      <w:bookmarkStart w:id="408" w:name="_GoBack"/>
      <w:bookmarkEnd w:id="408"/>
      <w:r>
        <w:rPr>
          <w:color w:val="000000" w:themeColor="text1"/>
          <w14:textFill>
            <w14:solidFill>
              <w14:schemeClr w14:val="tx1"/>
            </w14:solidFill>
          </w14:textFill>
        </w:rPr>
        <w:t>办公厅于2008年颁布了《关于扎实做好农村环境保护工作的实施意见》，意见提出：到2010年，农村环境污染加剧的趋势有所控制，农村饮用水源地得到保护，农村生活饮用水合格率达到90%以上；摸清全省土壤污染与农业污染源状况，农业面源污染防治取得一定进展，农村畜禽粪便、农作物秸秆的资源化利用率均提高10%以上，农村生活垃圾处理率达到80%以上，开展农村污水治理工作，农村改水、改厕工作顺利推进，农村卫生厕所普及率达到65%，严重的农村环境健康危害得到有效控制；农村地区工业污染和生活污染防治取得初步成效，生态示范创建活动深入开展，农村环境监管能力得到加强，公众环保意识提高，农民生活与生产环境有所改善。</w:t>
      </w:r>
    </w:p>
    <w:p w14:paraId="1CABCD67">
      <w:pPr>
        <w:pStyle w:val="52"/>
        <w:rPr>
          <w:color w:val="000000" w:themeColor="text1"/>
          <w14:textFill>
            <w14:solidFill>
              <w14:schemeClr w14:val="tx1"/>
            </w14:solidFill>
          </w14:textFill>
        </w:rPr>
      </w:pPr>
      <w:r>
        <w:rPr>
          <w:color w:val="000000" w:themeColor="text1"/>
          <w14:textFill>
            <w14:solidFill>
              <w14:schemeClr w14:val="tx1"/>
            </w14:solidFill>
          </w14:textFill>
        </w:rPr>
        <w:t>2010年，福建省被原环保部确认为中央农村环境综合整治示范省份，之后为贯彻落实财政部、环境保护部“农村环境连片整治示范工作启动会”的会议精神，落实国家环境保护部与福建省政府签署的《共同推进福建省加快建设海峡西岸经济区的合作协议书》关于进一步加强农村环境保护，重点推进农村环境综合整治示范工程的要求，福建省政府办公厅印发《福建省农村环境连片整治示范工作方案》（闽政办〔2010〕250号），方案围绕建设海峡西岸经济区的发展目标，全面贯彻落实农村环境“以奖促治”、“以奖代补”政策，统筹规划，突出重点，集中资金，整村推进，连片整治，解决我省重点流域和区域最为突出的农村环境问题。通过连片整治示范，在农村环保体制建设、政策机制创新、农村环保实用技术推广等方面形成典型示范经验，实现农村环境综合整治与我省重点流域和重点区域环境治理，以及统筹城乡综合配套改革实验区建设等工作的有机结合，加快促进海峡西岸生态优美之区建设。方案选择饮用水水源保护任务重、农村环境问题突出、畜禽养殖污染较严重以及农村生活污水和垃圾的治理难度大的九龙江流域、闽江流域和敖江流域为我省农村环境连片整治示范区域。并提出实施“三清”示范工程，即：以保护农村饮用水源为重点的“水源清洁”示范工程；以整治集中连片村庄生活污水和垃圾为重点的“家园清洁”示范工程；以整治农村畜禽养殖和面源污染为重点的“田园清洁”示范工程。</w:t>
      </w:r>
    </w:p>
    <w:p w14:paraId="4051226F">
      <w:pPr>
        <w:pStyle w:val="52"/>
        <w:rPr>
          <w:color w:val="000000" w:themeColor="text1"/>
          <w14:textFill>
            <w14:solidFill>
              <w14:schemeClr w14:val="tx1"/>
            </w14:solidFill>
          </w14:textFill>
        </w:rPr>
      </w:pPr>
      <w:r>
        <w:rPr>
          <w:color w:val="000000" w:themeColor="text1"/>
          <w14:textFill>
            <w14:solidFill>
              <w14:schemeClr w14:val="tx1"/>
            </w14:solidFill>
          </w14:textFill>
        </w:rPr>
        <w:t>2014年11月21日，为贯彻落实《国务院办公厅关于改善农村人居环境的指导意见》(国办发〔2014〕25号)，进一步改善福建省农村人居环境，推进美丽乡村建设，福建省人民政府以闽政〔2014〕57号印发《关于进一步改善农村人居环境推进美丽乡村建设的实施意见》。全面实施宜居环境建设行动计划，推动城乡环境整治“点线面”攻坚，以改善农村人居环境为重点，在农村社区规划整治建设“七好”要求基础上，拓展美丽乡村建设内涵，加快推进美丽乡村特色景观带建设，形成串点连线成片的规模效应，全面提升农村生产生活条件，努力建设机制活、产业优、百姓富、生态美的新福建。</w:t>
      </w:r>
    </w:p>
    <w:p w14:paraId="2AE5C81E">
      <w:pPr>
        <w:pStyle w:val="52"/>
        <w:rPr>
          <w:color w:val="000000" w:themeColor="text1"/>
          <w14:textFill>
            <w14:solidFill>
              <w14:schemeClr w14:val="tx1"/>
            </w14:solidFill>
          </w14:textFill>
        </w:rPr>
      </w:pPr>
      <w:r>
        <w:rPr>
          <w:color w:val="000000" w:themeColor="text1"/>
          <w14:textFill>
            <w14:solidFill>
              <w14:schemeClr w14:val="tx1"/>
            </w14:solidFill>
          </w14:textFill>
        </w:rPr>
        <w:t>2016年，根据国务院办公厅《关于改善农村人居环境的指导意见》(国办发〔2014〕25号)、住房城乡建设部等部委《关于全面推进农村垃圾治理的指导意见》(建村〔2015〕170号)和省政府《关于进一步改善农村人居环境推进美丽乡村建设的实施意见》(闽政〔2014〕57号)等要求，为深入推进全省农村污水垃圾整治工作，福建省人民政府办公厅印发了“关于印发福建省农村污水垃圾整治行动实施方案（2016-2020年）的通知(闽政办〔2016〕122号)”，通知指出：在近年来美丽乡村创建等工作已完成3619个行政村污水垃圾治理基础上，争取用5年时间，完成6500个以上行政村污水治理，使全省70%以上行政村覆盖农村污水处理设施，所有行政村生活垃圾得到有效治理，并通过国家农村生活垃圾治理验收。</w:t>
      </w:r>
    </w:p>
    <w:p w14:paraId="33EEA805">
      <w:pPr>
        <w:pStyle w:val="52"/>
        <w:rPr>
          <w:color w:val="000000" w:themeColor="text1"/>
          <w14:textFill>
            <w14:solidFill>
              <w14:schemeClr w14:val="tx1"/>
            </w14:solidFill>
          </w14:textFill>
        </w:rPr>
      </w:pPr>
      <w:r>
        <w:rPr>
          <w:color w:val="000000" w:themeColor="text1"/>
          <w14:textFill>
            <w14:solidFill>
              <w14:schemeClr w14:val="tx1"/>
            </w14:solidFill>
          </w14:textFill>
        </w:rPr>
        <w:t>2018年，深入贯彻《中共中央办公厅、国务院办公厅关于印发〈农村人居环境整治三年行动方案〉的通知》和全国生态环境保护大会精神，大力推动省委和省政府印发的《关于实施乡村振兴战略的实施意见》落实落地，福建省人民政府办公厅印发了关于印发《福建省农村人居环境整治三年行动实施方案》的通知。通知指出，通过3年努力，基本实现农村生活垃圾处置体系全覆盖；农村生活污水治理率明显提高；基本完成农村户用厕所改造，厕所粪污基本得到处理或资源化利用；建立“审批简化、服务到位、监管有效”的农村村民住宅建设管理机制；村容村貌明显提升，铁路、高速公路沿线整治取得显著成效；政府、村集体、村民等各方共谋、共建、共管、共评、共享机制有效运作，管护长效机制初步建立，全省农村人居环境质量全面提升。</w:t>
      </w:r>
    </w:p>
    <w:p w14:paraId="04A8AE4B">
      <w:pPr>
        <w:pStyle w:val="52"/>
        <w:rPr>
          <w:color w:val="000000" w:themeColor="text1"/>
          <w14:textFill>
            <w14:solidFill>
              <w14:schemeClr w14:val="tx1"/>
            </w14:solidFill>
          </w14:textFill>
        </w:rPr>
      </w:pPr>
      <w:r>
        <w:rPr>
          <w:color w:val="000000" w:themeColor="text1"/>
          <w14:textFill>
            <w14:solidFill>
              <w14:schemeClr w14:val="tx1"/>
            </w14:solidFill>
          </w14:textFill>
        </w:rPr>
        <w:t>2019年，福建省委农办、省农业农村厅等16个部门联合印发《福建省农村人居环境整治村庄清洁行动方案》，明确了村庄清洁行动的时间表与路线图。本次村庄清洁行动将从2019年1月持续至2020年12月，计划通过两年努力，实现农业生产废弃物和畜禽粪污基本得到无害化处理或资源化利用；农户房前屋后做到扫清楚、拆清楚、摆清楚；村庄“路边、水边、房边”得到有效治理，达到环境干净、整洁、有序，村容村貌明显提升；县乡政府、村集体、村民等各方共谋、共建、共管、共评、共享机制有效建立，文明村规民约普遍形成，全省农村人居环境质量全面提升。</w:t>
      </w:r>
    </w:p>
    <w:p w14:paraId="1B4C4B4C">
      <w:pPr>
        <w:pStyle w:val="6"/>
        <w:rPr>
          <w:color w:val="000000" w:themeColor="text1"/>
          <w14:textFill>
            <w14:solidFill>
              <w14:schemeClr w14:val="tx1"/>
            </w14:solidFill>
          </w14:textFill>
        </w:rPr>
      </w:pPr>
      <w:bookmarkStart w:id="93" w:name="_Toc112692573"/>
      <w:bookmarkStart w:id="94" w:name="_Toc112693871"/>
      <w:bookmarkStart w:id="95" w:name="_Toc112694006"/>
      <w:r>
        <w:rPr>
          <w:color w:val="000000" w:themeColor="text1"/>
          <w14:textFill>
            <w14:solidFill>
              <w14:schemeClr w14:val="tx1"/>
            </w14:solidFill>
          </w14:textFill>
        </w:rPr>
        <w:t>晋安区北峰山区乡镇生活治理历程</w:t>
      </w:r>
      <w:bookmarkEnd w:id="93"/>
      <w:bookmarkEnd w:id="94"/>
      <w:bookmarkEnd w:id="95"/>
    </w:p>
    <w:p w14:paraId="70EB4A6F">
      <w:pPr>
        <w:pStyle w:val="52"/>
        <w:rPr>
          <w:color w:val="000000" w:themeColor="text1"/>
          <w14:textFill>
            <w14:solidFill>
              <w14:schemeClr w14:val="tx1"/>
            </w14:solidFill>
          </w14:textFill>
        </w:rPr>
      </w:pPr>
      <w:r>
        <w:rPr>
          <w:color w:val="000000" w:themeColor="text1"/>
          <w14:textFill>
            <w14:solidFill>
              <w14:schemeClr w14:val="tx1"/>
            </w14:solidFill>
          </w14:textFill>
        </w:rPr>
        <w:t>调查表明，从2006年至2019年，晋安区北峰山区共计建成：集镇污水处理厂三座，设计处理能力为1400吨/日。</w:t>
      </w:r>
    </w:p>
    <w:p w14:paraId="5B5B9F2C">
      <w:pPr>
        <w:pStyle w:val="52"/>
        <w:rPr>
          <w:color w:val="000000" w:themeColor="text1"/>
          <w14:textFill>
            <w14:solidFill>
              <w14:schemeClr w14:val="tx1"/>
            </w14:solidFill>
          </w14:textFill>
        </w:rPr>
      </w:pPr>
      <w:r>
        <w:rPr>
          <w:color w:val="000000" w:themeColor="text1"/>
          <w14:textFill>
            <w14:solidFill>
              <w14:schemeClr w14:val="tx1"/>
            </w14:solidFill>
          </w14:textFill>
        </w:rPr>
        <w:t>2017年晋安区大力推行污水处理设施OM项目。三个乡镇各自挂网招标了污水运营商对辖下的污水处理设施进行委托运营。</w:t>
      </w:r>
    </w:p>
    <w:p w14:paraId="42A3B1D3">
      <w:pPr>
        <w:pStyle w:val="52"/>
        <w:rPr>
          <w:color w:val="000000" w:themeColor="text1"/>
          <w14:textFill>
            <w14:solidFill>
              <w14:schemeClr w14:val="tx1"/>
            </w14:solidFill>
          </w14:textFill>
        </w:rPr>
      </w:pPr>
      <w:r>
        <w:rPr>
          <w:color w:val="000000" w:themeColor="text1"/>
          <w14:textFill>
            <w14:solidFill>
              <w14:schemeClr w14:val="tx1"/>
            </w14:solidFill>
          </w14:textFill>
        </w:rPr>
        <w:t>为科学贯彻落实晋安区北峰山区乡镇生活污水处理工程，改善区域生态环境质量，确保区域内水环境安全，促进区域经济的可持续发展，晋安区人民政府于2018年以PPP模式委托福建北峰海峡环保科技有限公司开展福州市晋安区北峰山区集镇区及镇区外各行政村的集中式污水处理设施的运维工作。</w:t>
      </w:r>
    </w:p>
    <w:p w14:paraId="45ABDA83">
      <w:pPr>
        <w:pStyle w:val="4"/>
        <w:rPr>
          <w:rFonts w:ascii="Times New Roman" w:hAnsi="Times New Roman" w:eastAsiaTheme="minorEastAsia"/>
          <w:color w:val="000000" w:themeColor="text1"/>
          <w14:textFill>
            <w14:solidFill>
              <w14:schemeClr w14:val="tx1"/>
            </w14:solidFill>
          </w14:textFill>
        </w:rPr>
      </w:pPr>
      <w:bookmarkStart w:id="96" w:name="_Toc112861030"/>
      <w:bookmarkStart w:id="97" w:name="_Toc112694007"/>
      <w:bookmarkStart w:id="98" w:name="_Toc112693872"/>
      <w:r>
        <w:rPr>
          <w:rFonts w:hint="eastAsia" w:ascii="宋体" w:hAnsi="宋体" w:eastAsia="宋体" w:cs="宋体"/>
          <w:color w:val="000000" w:themeColor="text1"/>
          <w14:textFill>
            <w14:solidFill>
              <w14:schemeClr w14:val="tx1"/>
            </w14:solidFill>
          </w14:textFill>
        </w:rPr>
        <w:t>北峰山区乡镇生活污水治理管控覆盖情况调查</w:t>
      </w:r>
      <w:bookmarkEnd w:id="96"/>
      <w:bookmarkEnd w:id="97"/>
      <w:bookmarkEnd w:id="98"/>
    </w:p>
    <w:p w14:paraId="43B6F48C">
      <w:pPr>
        <w:pStyle w:val="6"/>
        <w:rPr>
          <w:color w:val="000000" w:themeColor="text1"/>
          <w14:textFill>
            <w14:solidFill>
              <w14:schemeClr w14:val="tx1"/>
            </w14:solidFill>
          </w14:textFill>
        </w:rPr>
      </w:pPr>
      <w:bookmarkStart w:id="99" w:name="_Toc112692575"/>
      <w:bookmarkStart w:id="100" w:name="_Toc112693873"/>
      <w:bookmarkStart w:id="101" w:name="_Toc112694008"/>
      <w:r>
        <w:rPr>
          <w:color w:val="000000" w:themeColor="text1"/>
          <w14:textFill>
            <w14:solidFill>
              <w14:schemeClr w14:val="tx1"/>
            </w14:solidFill>
          </w14:textFill>
        </w:rPr>
        <w:t>三格化粪池改造情况</w:t>
      </w:r>
      <w:bookmarkEnd w:id="99"/>
      <w:bookmarkEnd w:id="100"/>
      <w:bookmarkEnd w:id="101"/>
    </w:p>
    <w:p w14:paraId="3AF865EC">
      <w:pPr>
        <w:pStyle w:val="52"/>
        <w:rPr>
          <w:color w:val="000000" w:themeColor="text1"/>
          <w14:textFill>
            <w14:solidFill>
              <w14:schemeClr w14:val="tx1"/>
            </w14:solidFill>
          </w14:textFill>
        </w:rPr>
        <w:sectPr>
          <w:pgSz w:w="11906" w:h="16838"/>
          <w:pgMar w:top="1701" w:right="1701" w:bottom="1701" w:left="1701" w:header="851" w:footer="992" w:gutter="0"/>
          <w:cols w:space="720" w:num="1"/>
          <w:docGrid w:type="linesAndChars" w:linePitch="312" w:charSpace="0"/>
        </w:sectPr>
      </w:pPr>
      <w:r>
        <w:rPr>
          <w:color w:val="000000" w:themeColor="text1"/>
          <w14:textFill>
            <w14:solidFill>
              <w14:schemeClr w14:val="tx1"/>
            </w14:solidFill>
          </w14:textFill>
        </w:rPr>
        <w:t>根据《福建省农村人居环境整治三年行动实施方案》(闽委办发〔2018〕12号)、《晋安区农村生活污水治理行动实施意见（2017-2019年）》，晋安区计划到2019年基本完成北峰山区乡镇户用厕所无害化改造。根据现场调查，2017年三个乡镇共计35个行政村、3445户三格化粪池新建改造任务，包含宦溪镇16个行政村1291户、寿山乡11个行政村1439户、日溪乡8个行政村715户。2018年完成1498户三格化粪池新建改造任务，涉及三个乡镇共计11个行政村。</w:t>
      </w:r>
    </w:p>
    <w:p w14:paraId="54D1450E">
      <w:pPr>
        <w:pStyle w:val="442"/>
        <w:adjustRightInd w:val="0"/>
        <w:snapToGrid w:val="0"/>
        <w:rPr>
          <w:color w:val="000000" w:themeColor="text1"/>
          <w:sz w:val="28"/>
          <w:szCs w:val="28"/>
          <w14:textFill>
            <w14:solidFill>
              <w14:schemeClr w14:val="tx1"/>
            </w14:solidFill>
          </w14:textFill>
        </w:rPr>
      </w:pPr>
      <w:r>
        <w:rPr>
          <w:color w:val="000000" w:themeColor="text1"/>
          <w14:textFill>
            <w14:solidFill>
              <w14:schemeClr w14:val="tx1"/>
            </w14:solidFill>
          </w14:textFill>
        </w:rPr>
        <w:t>表3.2-1晋安区三格化粪池改造情况一览表（常住人口数为2020年5月入村调查数据）</w:t>
      </w:r>
    </w:p>
    <w:tbl>
      <w:tblPr>
        <w:tblStyle w:val="5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533"/>
        <w:gridCol w:w="666"/>
        <w:gridCol w:w="968"/>
        <w:gridCol w:w="1528"/>
        <w:gridCol w:w="634"/>
        <w:gridCol w:w="794"/>
        <w:gridCol w:w="794"/>
        <w:gridCol w:w="794"/>
        <w:gridCol w:w="942"/>
        <w:gridCol w:w="1401"/>
        <w:gridCol w:w="1088"/>
        <w:gridCol w:w="1352"/>
        <w:gridCol w:w="891"/>
        <w:gridCol w:w="1107"/>
      </w:tblGrid>
      <w:tr w14:paraId="1FBF1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tblHeader/>
          <w:jc w:val="center"/>
        </w:trPr>
        <w:tc>
          <w:tcPr>
            <w:tcW w:w="198" w:type="pct"/>
            <w:shd w:val="clear" w:color="auto" w:fill="auto"/>
            <w:vAlign w:val="center"/>
          </w:tcPr>
          <w:p w14:paraId="01034999">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序号</w:t>
            </w:r>
          </w:p>
        </w:tc>
        <w:tc>
          <w:tcPr>
            <w:tcW w:w="247" w:type="pct"/>
            <w:shd w:val="clear" w:color="auto" w:fill="auto"/>
            <w:vAlign w:val="center"/>
          </w:tcPr>
          <w:p w14:paraId="018EA57A">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乡镇</w:t>
            </w:r>
          </w:p>
        </w:tc>
        <w:tc>
          <w:tcPr>
            <w:tcW w:w="359" w:type="pct"/>
            <w:shd w:val="clear" w:color="auto" w:fill="auto"/>
            <w:vAlign w:val="center"/>
          </w:tcPr>
          <w:p w14:paraId="1CC3905B">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行政村</w:t>
            </w:r>
          </w:p>
        </w:tc>
        <w:tc>
          <w:tcPr>
            <w:tcW w:w="566" w:type="pct"/>
            <w:shd w:val="clear" w:color="auto" w:fill="auto"/>
            <w:vAlign w:val="center"/>
          </w:tcPr>
          <w:p w14:paraId="4E704240">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村庄特性</w:t>
            </w:r>
          </w:p>
        </w:tc>
        <w:tc>
          <w:tcPr>
            <w:tcW w:w="235" w:type="pct"/>
            <w:shd w:val="clear" w:color="auto" w:fill="auto"/>
            <w:vAlign w:val="center"/>
          </w:tcPr>
          <w:p w14:paraId="71702A26">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自然村数</w:t>
            </w:r>
          </w:p>
        </w:tc>
        <w:tc>
          <w:tcPr>
            <w:tcW w:w="294" w:type="pct"/>
            <w:shd w:val="clear" w:color="auto" w:fill="auto"/>
            <w:vAlign w:val="center"/>
          </w:tcPr>
          <w:p w14:paraId="6763D61F">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户籍户数/户</w:t>
            </w:r>
          </w:p>
        </w:tc>
        <w:tc>
          <w:tcPr>
            <w:tcW w:w="294" w:type="pct"/>
            <w:shd w:val="clear" w:color="auto" w:fill="auto"/>
            <w:vAlign w:val="center"/>
          </w:tcPr>
          <w:p w14:paraId="6E5D2FFA">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户籍人口/人</w:t>
            </w:r>
          </w:p>
        </w:tc>
        <w:tc>
          <w:tcPr>
            <w:tcW w:w="294" w:type="pct"/>
            <w:shd w:val="clear" w:color="auto" w:fill="auto"/>
            <w:vAlign w:val="center"/>
          </w:tcPr>
          <w:p w14:paraId="25D13A67">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常住户数/户</w:t>
            </w:r>
          </w:p>
        </w:tc>
        <w:tc>
          <w:tcPr>
            <w:tcW w:w="349" w:type="pct"/>
            <w:shd w:val="clear" w:color="auto" w:fill="auto"/>
            <w:vAlign w:val="center"/>
          </w:tcPr>
          <w:p w14:paraId="32185004">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常住人口/人</w:t>
            </w:r>
          </w:p>
        </w:tc>
        <w:tc>
          <w:tcPr>
            <w:tcW w:w="519" w:type="pct"/>
            <w:shd w:val="clear" w:color="auto" w:fill="auto"/>
            <w:vAlign w:val="center"/>
          </w:tcPr>
          <w:p w14:paraId="7239D023">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用水来源/用量</w:t>
            </w:r>
          </w:p>
          <w:p w14:paraId="183DDFE5">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（吨/天)</w:t>
            </w:r>
          </w:p>
        </w:tc>
        <w:tc>
          <w:tcPr>
            <w:tcW w:w="403" w:type="pct"/>
            <w:shd w:val="clear" w:color="auto" w:fill="auto"/>
            <w:vAlign w:val="center"/>
          </w:tcPr>
          <w:p w14:paraId="37235F3C">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已建三格化粪池户数</w:t>
            </w:r>
          </w:p>
        </w:tc>
        <w:tc>
          <w:tcPr>
            <w:tcW w:w="501" w:type="pct"/>
            <w:shd w:val="clear" w:color="auto" w:fill="auto"/>
            <w:vAlign w:val="center"/>
          </w:tcPr>
          <w:p w14:paraId="2C131139">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未建三格化粪池户数</w:t>
            </w:r>
          </w:p>
        </w:tc>
        <w:tc>
          <w:tcPr>
            <w:tcW w:w="330" w:type="pct"/>
            <w:shd w:val="clear" w:color="auto" w:fill="auto"/>
            <w:vAlign w:val="center"/>
          </w:tcPr>
          <w:p w14:paraId="0DC29C1B">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需整改/新建户数</w:t>
            </w:r>
          </w:p>
        </w:tc>
        <w:tc>
          <w:tcPr>
            <w:tcW w:w="410" w:type="pct"/>
            <w:shd w:val="clear" w:color="auto" w:fill="auto"/>
            <w:vAlign w:val="center"/>
          </w:tcPr>
          <w:p w14:paraId="10D8574C">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备注</w:t>
            </w:r>
          </w:p>
        </w:tc>
      </w:tr>
      <w:tr w14:paraId="67964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198" w:type="pct"/>
            <w:vMerge w:val="restart"/>
            <w:vAlign w:val="center"/>
          </w:tcPr>
          <w:p w14:paraId="73354B52">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247" w:type="pct"/>
            <w:vMerge w:val="restart"/>
            <w:vAlign w:val="center"/>
          </w:tcPr>
          <w:p w14:paraId="51C5BB14">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宦溪镇</w:t>
            </w:r>
          </w:p>
        </w:tc>
        <w:tc>
          <w:tcPr>
            <w:tcW w:w="359" w:type="pct"/>
            <w:vAlign w:val="center"/>
          </w:tcPr>
          <w:p w14:paraId="1A079EB1">
            <w:pPr>
              <w:widowControl/>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宦溪村</w:t>
            </w:r>
          </w:p>
        </w:tc>
        <w:tc>
          <w:tcPr>
            <w:tcW w:w="566" w:type="pct"/>
            <w:vAlign w:val="center"/>
          </w:tcPr>
          <w:p w14:paraId="726948BF">
            <w:pPr>
              <w:widowControl/>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235" w:type="pct"/>
            <w:vAlign w:val="center"/>
          </w:tcPr>
          <w:p w14:paraId="283A6274">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294" w:type="pct"/>
            <w:vAlign w:val="center"/>
          </w:tcPr>
          <w:p w14:paraId="1FCFD240">
            <w:pPr>
              <w:widowControl/>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170</w:t>
            </w:r>
          </w:p>
        </w:tc>
        <w:tc>
          <w:tcPr>
            <w:tcW w:w="294" w:type="pct"/>
            <w:vAlign w:val="center"/>
          </w:tcPr>
          <w:p w14:paraId="2FB43653">
            <w:pPr>
              <w:widowControl/>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580</w:t>
            </w:r>
          </w:p>
        </w:tc>
        <w:tc>
          <w:tcPr>
            <w:tcW w:w="294" w:type="pct"/>
            <w:vAlign w:val="center"/>
          </w:tcPr>
          <w:p w14:paraId="2C61C756">
            <w:pPr>
              <w:widowControl/>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160</w:t>
            </w:r>
          </w:p>
        </w:tc>
        <w:tc>
          <w:tcPr>
            <w:tcW w:w="349" w:type="pct"/>
            <w:vAlign w:val="center"/>
          </w:tcPr>
          <w:p w14:paraId="5E7F0233">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320</w:t>
            </w:r>
          </w:p>
        </w:tc>
        <w:tc>
          <w:tcPr>
            <w:tcW w:w="519" w:type="pct"/>
            <w:vAlign w:val="center"/>
          </w:tcPr>
          <w:p w14:paraId="1A28D0FA">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乡镇集中式饮用水水源地/250</w:t>
            </w:r>
          </w:p>
        </w:tc>
        <w:tc>
          <w:tcPr>
            <w:tcW w:w="403" w:type="pct"/>
            <w:vAlign w:val="center"/>
          </w:tcPr>
          <w:p w14:paraId="78D1BB99">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150</w:t>
            </w:r>
          </w:p>
        </w:tc>
        <w:tc>
          <w:tcPr>
            <w:tcW w:w="501" w:type="pct"/>
            <w:vAlign w:val="center"/>
          </w:tcPr>
          <w:p w14:paraId="6133CDD4">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20</w:t>
            </w:r>
          </w:p>
        </w:tc>
        <w:tc>
          <w:tcPr>
            <w:tcW w:w="330" w:type="pct"/>
            <w:vAlign w:val="center"/>
          </w:tcPr>
          <w:p w14:paraId="1238BE4E">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20</w:t>
            </w:r>
          </w:p>
        </w:tc>
        <w:tc>
          <w:tcPr>
            <w:tcW w:w="410" w:type="pct"/>
            <w:vAlign w:val="center"/>
          </w:tcPr>
          <w:p w14:paraId="606D95AA">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不含商贸学校及工业区等非农村污水</w:t>
            </w:r>
          </w:p>
        </w:tc>
      </w:tr>
      <w:tr w14:paraId="62E5A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198" w:type="pct"/>
            <w:vMerge w:val="continue"/>
            <w:vAlign w:val="center"/>
          </w:tcPr>
          <w:p w14:paraId="38C257B9">
            <w:pPr>
              <w:autoSpaceDE w:val="0"/>
              <w:autoSpaceDN w:val="0"/>
              <w:adjustRightInd w:val="0"/>
              <w:snapToGrid w:val="0"/>
              <w:jc w:val="center"/>
              <w:rPr>
                <w:color w:val="000000" w:themeColor="text1"/>
                <w:kern w:val="0"/>
                <w:szCs w:val="21"/>
                <w14:textFill>
                  <w14:solidFill>
                    <w14:schemeClr w14:val="tx1"/>
                  </w14:solidFill>
                </w14:textFill>
              </w:rPr>
            </w:pPr>
          </w:p>
        </w:tc>
        <w:tc>
          <w:tcPr>
            <w:tcW w:w="247" w:type="pct"/>
            <w:vMerge w:val="continue"/>
            <w:vAlign w:val="center"/>
          </w:tcPr>
          <w:p w14:paraId="03C3AF06">
            <w:pPr>
              <w:autoSpaceDE w:val="0"/>
              <w:autoSpaceDN w:val="0"/>
              <w:adjustRightInd w:val="0"/>
              <w:snapToGrid w:val="0"/>
              <w:jc w:val="center"/>
              <w:rPr>
                <w:color w:val="000000" w:themeColor="text1"/>
                <w:kern w:val="0"/>
                <w:szCs w:val="21"/>
                <w14:textFill>
                  <w14:solidFill>
                    <w14:schemeClr w14:val="tx1"/>
                  </w14:solidFill>
                </w14:textFill>
              </w:rPr>
            </w:pPr>
          </w:p>
        </w:tc>
        <w:tc>
          <w:tcPr>
            <w:tcW w:w="359" w:type="pct"/>
            <w:vAlign w:val="center"/>
          </w:tcPr>
          <w:p w14:paraId="754306F6">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牛项村（集镇区部分）</w:t>
            </w:r>
          </w:p>
        </w:tc>
        <w:tc>
          <w:tcPr>
            <w:tcW w:w="566" w:type="pct"/>
            <w:vAlign w:val="center"/>
          </w:tcPr>
          <w:p w14:paraId="31F4A0FB">
            <w:pPr>
              <w:widowControl/>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235" w:type="pct"/>
            <w:vAlign w:val="center"/>
          </w:tcPr>
          <w:p w14:paraId="4A1E4CCB">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294" w:type="pct"/>
            <w:vAlign w:val="center"/>
          </w:tcPr>
          <w:p w14:paraId="373B0108">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12</w:t>
            </w:r>
          </w:p>
        </w:tc>
        <w:tc>
          <w:tcPr>
            <w:tcW w:w="294" w:type="pct"/>
            <w:vAlign w:val="center"/>
          </w:tcPr>
          <w:p w14:paraId="2543AD8F">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60</w:t>
            </w:r>
          </w:p>
        </w:tc>
        <w:tc>
          <w:tcPr>
            <w:tcW w:w="294" w:type="pct"/>
            <w:vAlign w:val="center"/>
          </w:tcPr>
          <w:p w14:paraId="178C5CB9">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12</w:t>
            </w:r>
          </w:p>
        </w:tc>
        <w:tc>
          <w:tcPr>
            <w:tcW w:w="349" w:type="pct"/>
            <w:vAlign w:val="center"/>
          </w:tcPr>
          <w:p w14:paraId="103EB22D">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60</w:t>
            </w:r>
          </w:p>
        </w:tc>
        <w:tc>
          <w:tcPr>
            <w:tcW w:w="519" w:type="pct"/>
            <w:vAlign w:val="center"/>
          </w:tcPr>
          <w:p w14:paraId="23192DAE">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山泉水/37</w:t>
            </w:r>
          </w:p>
        </w:tc>
        <w:tc>
          <w:tcPr>
            <w:tcW w:w="403" w:type="pct"/>
            <w:vAlign w:val="center"/>
          </w:tcPr>
          <w:p w14:paraId="0BADD911">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12</w:t>
            </w:r>
          </w:p>
        </w:tc>
        <w:tc>
          <w:tcPr>
            <w:tcW w:w="501" w:type="pct"/>
            <w:vAlign w:val="center"/>
          </w:tcPr>
          <w:p w14:paraId="41FAD509">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c>
          <w:tcPr>
            <w:tcW w:w="330" w:type="pct"/>
            <w:vAlign w:val="center"/>
          </w:tcPr>
          <w:p w14:paraId="617A3926">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c>
          <w:tcPr>
            <w:tcW w:w="410" w:type="pct"/>
            <w:vAlign w:val="center"/>
          </w:tcPr>
          <w:p w14:paraId="1FAE394D">
            <w:pPr>
              <w:snapToGrid w:val="0"/>
              <w:jc w:val="center"/>
              <w:rPr>
                <w:color w:val="000000" w:themeColor="text1"/>
                <w:szCs w:val="21"/>
                <w14:textFill>
                  <w14:solidFill>
                    <w14:schemeClr w14:val="tx1"/>
                  </w14:solidFill>
                </w14:textFill>
              </w:rPr>
            </w:pPr>
          </w:p>
        </w:tc>
      </w:tr>
      <w:tr w14:paraId="6B5E4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198" w:type="pct"/>
            <w:vMerge w:val="continue"/>
            <w:vAlign w:val="center"/>
          </w:tcPr>
          <w:p w14:paraId="3F1D225C">
            <w:pPr>
              <w:autoSpaceDE w:val="0"/>
              <w:autoSpaceDN w:val="0"/>
              <w:adjustRightInd w:val="0"/>
              <w:snapToGrid w:val="0"/>
              <w:jc w:val="center"/>
              <w:rPr>
                <w:color w:val="000000" w:themeColor="text1"/>
                <w:kern w:val="0"/>
                <w:szCs w:val="21"/>
                <w14:textFill>
                  <w14:solidFill>
                    <w14:schemeClr w14:val="tx1"/>
                  </w14:solidFill>
                </w14:textFill>
              </w:rPr>
            </w:pPr>
          </w:p>
        </w:tc>
        <w:tc>
          <w:tcPr>
            <w:tcW w:w="247" w:type="pct"/>
            <w:vMerge w:val="continue"/>
            <w:vAlign w:val="center"/>
          </w:tcPr>
          <w:p w14:paraId="33182547">
            <w:pPr>
              <w:autoSpaceDE w:val="0"/>
              <w:autoSpaceDN w:val="0"/>
              <w:adjustRightInd w:val="0"/>
              <w:snapToGrid w:val="0"/>
              <w:jc w:val="center"/>
              <w:rPr>
                <w:color w:val="000000" w:themeColor="text1"/>
                <w:kern w:val="0"/>
                <w:szCs w:val="21"/>
                <w14:textFill>
                  <w14:solidFill>
                    <w14:schemeClr w14:val="tx1"/>
                  </w14:solidFill>
                </w14:textFill>
              </w:rPr>
            </w:pPr>
          </w:p>
        </w:tc>
        <w:tc>
          <w:tcPr>
            <w:tcW w:w="359" w:type="pct"/>
            <w:vAlign w:val="center"/>
          </w:tcPr>
          <w:p w14:paraId="20820A0C">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亥由村（集镇区部分）</w:t>
            </w:r>
          </w:p>
        </w:tc>
        <w:tc>
          <w:tcPr>
            <w:tcW w:w="566" w:type="pct"/>
            <w:vAlign w:val="center"/>
          </w:tcPr>
          <w:p w14:paraId="7B28BA04">
            <w:pPr>
              <w:widowControl/>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美丽乡村和精品示范村</w:t>
            </w:r>
          </w:p>
        </w:tc>
        <w:tc>
          <w:tcPr>
            <w:tcW w:w="235" w:type="pct"/>
            <w:vAlign w:val="center"/>
          </w:tcPr>
          <w:p w14:paraId="34DB7E24">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294" w:type="pct"/>
            <w:vAlign w:val="center"/>
          </w:tcPr>
          <w:p w14:paraId="3DB6D073">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c>
          <w:tcPr>
            <w:tcW w:w="294" w:type="pct"/>
            <w:vAlign w:val="center"/>
          </w:tcPr>
          <w:p w14:paraId="037E404E">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60</w:t>
            </w:r>
          </w:p>
        </w:tc>
        <w:tc>
          <w:tcPr>
            <w:tcW w:w="294" w:type="pct"/>
            <w:vAlign w:val="center"/>
          </w:tcPr>
          <w:p w14:paraId="111846CE">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c>
          <w:tcPr>
            <w:tcW w:w="349" w:type="pct"/>
            <w:vAlign w:val="center"/>
          </w:tcPr>
          <w:p w14:paraId="1B39C067">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60</w:t>
            </w:r>
          </w:p>
        </w:tc>
        <w:tc>
          <w:tcPr>
            <w:tcW w:w="519" w:type="pct"/>
            <w:vAlign w:val="center"/>
          </w:tcPr>
          <w:p w14:paraId="74664B22">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山泉水/16</w:t>
            </w:r>
          </w:p>
        </w:tc>
        <w:tc>
          <w:tcPr>
            <w:tcW w:w="403" w:type="pct"/>
            <w:vAlign w:val="center"/>
          </w:tcPr>
          <w:p w14:paraId="2B381C21">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c>
          <w:tcPr>
            <w:tcW w:w="501" w:type="pct"/>
            <w:vAlign w:val="center"/>
          </w:tcPr>
          <w:p w14:paraId="6D573EFD">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c>
          <w:tcPr>
            <w:tcW w:w="330" w:type="pct"/>
            <w:vAlign w:val="center"/>
          </w:tcPr>
          <w:p w14:paraId="63A8ED9E">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c>
          <w:tcPr>
            <w:tcW w:w="410" w:type="pct"/>
            <w:vAlign w:val="center"/>
          </w:tcPr>
          <w:p w14:paraId="444CF3EB">
            <w:pPr>
              <w:snapToGrid w:val="0"/>
              <w:jc w:val="center"/>
              <w:rPr>
                <w:color w:val="000000" w:themeColor="text1"/>
                <w:szCs w:val="21"/>
                <w14:textFill>
                  <w14:solidFill>
                    <w14:schemeClr w14:val="tx1"/>
                  </w14:solidFill>
                </w14:textFill>
              </w:rPr>
            </w:pPr>
          </w:p>
        </w:tc>
      </w:tr>
      <w:tr w14:paraId="330E5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198" w:type="pct"/>
            <w:vAlign w:val="center"/>
          </w:tcPr>
          <w:p w14:paraId="0B5DA86E">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247" w:type="pct"/>
            <w:vAlign w:val="center"/>
          </w:tcPr>
          <w:p w14:paraId="5A2B2296">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寿山乡</w:t>
            </w:r>
          </w:p>
        </w:tc>
        <w:tc>
          <w:tcPr>
            <w:tcW w:w="359" w:type="pct"/>
            <w:vAlign w:val="center"/>
          </w:tcPr>
          <w:p w14:paraId="2D41D144">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岭头村</w:t>
            </w:r>
          </w:p>
        </w:tc>
        <w:tc>
          <w:tcPr>
            <w:tcW w:w="566" w:type="pct"/>
            <w:vAlign w:val="center"/>
          </w:tcPr>
          <w:p w14:paraId="4533BDDA">
            <w:pPr>
              <w:widowControl/>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235" w:type="pct"/>
            <w:vAlign w:val="center"/>
          </w:tcPr>
          <w:p w14:paraId="266C3F80">
            <w:pPr>
              <w:snapToGrid w:val="0"/>
              <w:jc w:val="center"/>
              <w:rPr>
                <w:color w:val="000000" w:themeColor="text1"/>
                <w:szCs w:val="21"/>
                <w14:textFill>
                  <w14:solidFill>
                    <w14:schemeClr w14:val="tx1"/>
                  </w14:solidFill>
                </w14:textFill>
              </w:rPr>
            </w:pPr>
          </w:p>
        </w:tc>
        <w:tc>
          <w:tcPr>
            <w:tcW w:w="294" w:type="pct"/>
            <w:vAlign w:val="center"/>
          </w:tcPr>
          <w:p w14:paraId="151A6121">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125</w:t>
            </w:r>
          </w:p>
        </w:tc>
        <w:tc>
          <w:tcPr>
            <w:tcW w:w="294" w:type="pct"/>
            <w:vAlign w:val="center"/>
          </w:tcPr>
          <w:p w14:paraId="79B52E10">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432</w:t>
            </w:r>
          </w:p>
        </w:tc>
        <w:tc>
          <w:tcPr>
            <w:tcW w:w="294" w:type="pct"/>
            <w:vAlign w:val="center"/>
          </w:tcPr>
          <w:p w14:paraId="42A5A335">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125</w:t>
            </w:r>
          </w:p>
        </w:tc>
        <w:tc>
          <w:tcPr>
            <w:tcW w:w="349" w:type="pct"/>
            <w:vAlign w:val="center"/>
          </w:tcPr>
          <w:p w14:paraId="3066EF91">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299</w:t>
            </w:r>
          </w:p>
        </w:tc>
        <w:tc>
          <w:tcPr>
            <w:tcW w:w="519" w:type="pct"/>
            <w:vAlign w:val="center"/>
          </w:tcPr>
          <w:p w14:paraId="7D2D74DA">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乡镇集中式饮用水水源地</w:t>
            </w:r>
          </w:p>
        </w:tc>
        <w:tc>
          <w:tcPr>
            <w:tcW w:w="403" w:type="pct"/>
            <w:vAlign w:val="center"/>
          </w:tcPr>
          <w:p w14:paraId="6551D0E0">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125</w:t>
            </w:r>
          </w:p>
        </w:tc>
        <w:tc>
          <w:tcPr>
            <w:tcW w:w="501" w:type="pct"/>
            <w:vAlign w:val="center"/>
          </w:tcPr>
          <w:p w14:paraId="209DD2D7">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c>
          <w:tcPr>
            <w:tcW w:w="330" w:type="pct"/>
            <w:vAlign w:val="center"/>
          </w:tcPr>
          <w:p w14:paraId="23D30DDA">
            <w:pPr>
              <w:snapToGrid w:val="0"/>
              <w:jc w:val="center"/>
              <w:rPr>
                <w:color w:val="000000" w:themeColor="text1"/>
                <w:szCs w:val="21"/>
                <w14:textFill>
                  <w14:solidFill>
                    <w14:schemeClr w14:val="tx1"/>
                  </w14:solidFill>
                </w14:textFill>
              </w:rPr>
            </w:pPr>
          </w:p>
        </w:tc>
        <w:tc>
          <w:tcPr>
            <w:tcW w:w="410" w:type="pct"/>
            <w:vAlign w:val="center"/>
          </w:tcPr>
          <w:p w14:paraId="34A0C15B">
            <w:pPr>
              <w:snapToGrid w:val="0"/>
              <w:jc w:val="center"/>
              <w:rPr>
                <w:color w:val="000000" w:themeColor="text1"/>
                <w:szCs w:val="21"/>
                <w14:textFill>
                  <w14:solidFill>
                    <w14:schemeClr w14:val="tx1"/>
                  </w14:solidFill>
                </w14:textFill>
              </w:rPr>
            </w:pPr>
          </w:p>
        </w:tc>
      </w:tr>
      <w:tr w14:paraId="3003D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198" w:type="pct"/>
            <w:vAlign w:val="center"/>
          </w:tcPr>
          <w:p w14:paraId="588A29A0">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247" w:type="pct"/>
            <w:vAlign w:val="center"/>
          </w:tcPr>
          <w:p w14:paraId="6A5F1197">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日溪乡</w:t>
            </w:r>
          </w:p>
        </w:tc>
        <w:tc>
          <w:tcPr>
            <w:tcW w:w="359" w:type="pct"/>
            <w:vAlign w:val="center"/>
          </w:tcPr>
          <w:p w14:paraId="6024C3A8">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日溪村</w:t>
            </w:r>
          </w:p>
        </w:tc>
        <w:tc>
          <w:tcPr>
            <w:tcW w:w="566" w:type="pct"/>
            <w:vAlign w:val="center"/>
          </w:tcPr>
          <w:p w14:paraId="2639518C">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美丽乡村</w:t>
            </w:r>
          </w:p>
        </w:tc>
        <w:tc>
          <w:tcPr>
            <w:tcW w:w="235" w:type="pct"/>
            <w:vAlign w:val="center"/>
          </w:tcPr>
          <w:p w14:paraId="46649C83">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294" w:type="pct"/>
            <w:vAlign w:val="center"/>
          </w:tcPr>
          <w:p w14:paraId="173A6D13">
            <w:pPr>
              <w:widowControl/>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253</w:t>
            </w:r>
          </w:p>
        </w:tc>
        <w:tc>
          <w:tcPr>
            <w:tcW w:w="294" w:type="pct"/>
            <w:vAlign w:val="center"/>
          </w:tcPr>
          <w:p w14:paraId="54C1857D">
            <w:pPr>
              <w:widowControl/>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862</w:t>
            </w:r>
          </w:p>
        </w:tc>
        <w:tc>
          <w:tcPr>
            <w:tcW w:w="294" w:type="pct"/>
            <w:vAlign w:val="center"/>
          </w:tcPr>
          <w:p w14:paraId="0E6A7B98">
            <w:pPr>
              <w:widowControl/>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205</w:t>
            </w:r>
          </w:p>
        </w:tc>
        <w:tc>
          <w:tcPr>
            <w:tcW w:w="349" w:type="pct"/>
            <w:vAlign w:val="center"/>
          </w:tcPr>
          <w:p w14:paraId="1414C167">
            <w:pPr>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486</w:t>
            </w:r>
          </w:p>
        </w:tc>
        <w:tc>
          <w:tcPr>
            <w:tcW w:w="519" w:type="pct"/>
            <w:vAlign w:val="center"/>
          </w:tcPr>
          <w:p w14:paraId="74053E29">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乡镇集中式饮用水水源地/</w:t>
            </w:r>
            <w:r>
              <w:rPr>
                <w:color w:val="000000" w:themeColor="text1"/>
                <w:kern w:val="0"/>
                <w:szCs w:val="21"/>
                <w14:textFill>
                  <w14:solidFill>
                    <w14:schemeClr w14:val="tx1"/>
                  </w14:solidFill>
                </w14:textFill>
              </w:rPr>
              <w:t>98</w:t>
            </w:r>
          </w:p>
        </w:tc>
        <w:tc>
          <w:tcPr>
            <w:tcW w:w="403" w:type="pct"/>
            <w:vAlign w:val="center"/>
          </w:tcPr>
          <w:p w14:paraId="53820EFE">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200</w:t>
            </w:r>
          </w:p>
        </w:tc>
        <w:tc>
          <w:tcPr>
            <w:tcW w:w="501" w:type="pct"/>
            <w:vAlign w:val="center"/>
          </w:tcPr>
          <w:p w14:paraId="343ADD1E">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20</w:t>
            </w:r>
          </w:p>
        </w:tc>
        <w:tc>
          <w:tcPr>
            <w:tcW w:w="330" w:type="pct"/>
            <w:vAlign w:val="center"/>
          </w:tcPr>
          <w:p w14:paraId="7ED8C65B">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20</w:t>
            </w:r>
          </w:p>
        </w:tc>
        <w:tc>
          <w:tcPr>
            <w:tcW w:w="410" w:type="pct"/>
            <w:vAlign w:val="center"/>
          </w:tcPr>
          <w:p w14:paraId="6E00BD47">
            <w:pPr>
              <w:autoSpaceDE w:val="0"/>
              <w:autoSpaceDN w:val="0"/>
              <w:adjustRightInd w:val="0"/>
              <w:snapToGrid w:val="0"/>
              <w:jc w:val="center"/>
              <w:rPr>
                <w:color w:val="000000" w:themeColor="text1"/>
                <w:kern w:val="0"/>
                <w:szCs w:val="21"/>
                <w14:textFill>
                  <w14:solidFill>
                    <w14:schemeClr w14:val="tx1"/>
                  </w14:solidFill>
                </w14:textFill>
              </w:rPr>
            </w:pPr>
          </w:p>
        </w:tc>
      </w:tr>
    </w:tbl>
    <w:p w14:paraId="07B308BB">
      <w:pPr>
        <w:pStyle w:val="52"/>
        <w:ind w:firstLine="0" w:firstLineChars="0"/>
        <w:rPr>
          <w:color w:val="000000" w:themeColor="text1"/>
          <w:lang w:val="zh-CN"/>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1396E59E">
      <w:pPr>
        <w:pStyle w:val="6"/>
        <w:rPr>
          <w:color w:val="000000" w:themeColor="text1"/>
          <w14:textFill>
            <w14:solidFill>
              <w14:schemeClr w14:val="tx1"/>
            </w14:solidFill>
          </w14:textFill>
        </w:rPr>
      </w:pPr>
      <w:bookmarkStart w:id="102" w:name="_Toc112692576"/>
      <w:bookmarkStart w:id="103" w:name="_Toc112694009"/>
      <w:bookmarkStart w:id="104" w:name="_Toc112693874"/>
      <w:r>
        <w:rPr>
          <w:color w:val="000000" w:themeColor="text1"/>
          <w14:textFill>
            <w14:solidFill>
              <w14:schemeClr w14:val="tx1"/>
            </w14:solidFill>
          </w14:textFill>
        </w:rPr>
        <w:t>现状北峰山区乡镇生活污水治理方式</w:t>
      </w:r>
      <w:bookmarkEnd w:id="102"/>
      <w:bookmarkEnd w:id="103"/>
      <w:bookmarkEnd w:id="104"/>
    </w:p>
    <w:p w14:paraId="35D42CD8">
      <w:pPr>
        <w:pStyle w:val="52"/>
        <w:rPr>
          <w:color w:val="000000" w:themeColor="text1"/>
          <w14:textFill>
            <w14:solidFill>
              <w14:schemeClr w14:val="tx1"/>
            </w14:solidFill>
          </w14:textFill>
        </w:rPr>
      </w:pPr>
      <w:r>
        <w:rPr>
          <w:color w:val="000000" w:themeColor="text1"/>
          <w14:textFill>
            <w14:solidFill>
              <w14:schemeClr w14:val="tx1"/>
            </w14:solidFill>
          </w14:textFill>
        </w:rPr>
        <w:t>晋安区现状北峰山区乡镇生活治理方式详见晋安区北峰山区乡镇生活污水治理路线分区表。表中可知，晋安区现状行政村北峰山区乡镇生活污水治理主要以治理技术路线为主，仅有部分村庄内居民居住零散偏远，不能进行集中污水治理，采用建设三格化粪池进行北峰山区乡镇污水管控。晋安区北峰山区乡镇生活污水治理技术路线分区表3.2-2。</w:t>
      </w:r>
    </w:p>
    <w:p w14:paraId="5D92B72C">
      <w:pPr>
        <w:pStyle w:val="52"/>
        <w:rPr>
          <w:color w:val="000000" w:themeColor="text1"/>
          <w14:textFill>
            <w14:solidFill>
              <w14:schemeClr w14:val="tx1"/>
            </w14:solidFill>
          </w14:textFill>
        </w:rPr>
        <w:sectPr>
          <w:pgSz w:w="11906" w:h="16838"/>
          <w:pgMar w:top="1701" w:right="1701" w:bottom="1701" w:left="1701" w:header="851" w:footer="992" w:gutter="0"/>
          <w:cols w:space="720" w:num="1"/>
          <w:docGrid w:type="linesAndChars" w:linePitch="312" w:charSpace="0"/>
        </w:sectPr>
      </w:pPr>
    </w:p>
    <w:p w14:paraId="1DF4A933">
      <w:pPr>
        <w:pStyle w:val="442"/>
        <w:rPr>
          <w:color w:val="000000" w:themeColor="text1"/>
          <w14:textFill>
            <w14:solidFill>
              <w14:schemeClr w14:val="tx1"/>
            </w14:solidFill>
          </w14:textFill>
        </w:rPr>
      </w:pPr>
      <w:r>
        <w:rPr>
          <w:color w:val="000000" w:themeColor="text1"/>
          <w14:textFill>
            <w14:solidFill>
              <w14:schemeClr w14:val="tx1"/>
            </w14:solidFill>
          </w14:textFill>
        </w:rPr>
        <w:t>表3.2-2福州市晋安区北峰山区乡镇生活污水治理技术路线一览表</w:t>
      </w:r>
    </w:p>
    <w:tbl>
      <w:tblPr>
        <w:tblStyle w:val="5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4"/>
        <w:gridCol w:w="1190"/>
        <w:gridCol w:w="1496"/>
        <w:gridCol w:w="1769"/>
        <w:gridCol w:w="1109"/>
        <w:gridCol w:w="1944"/>
        <w:gridCol w:w="2081"/>
        <w:gridCol w:w="1526"/>
        <w:gridCol w:w="1723"/>
      </w:tblGrid>
      <w:tr w14:paraId="09EDF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298" w:type="pct"/>
            <w:shd w:val="clear" w:color="auto" w:fill="auto"/>
            <w:vAlign w:val="center"/>
          </w:tcPr>
          <w:p w14:paraId="139DD3BA">
            <w:pPr>
              <w:jc w:val="center"/>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436" w:type="pct"/>
            <w:shd w:val="clear" w:color="auto" w:fill="auto"/>
            <w:vAlign w:val="center"/>
          </w:tcPr>
          <w:p w14:paraId="613632DB">
            <w:pPr>
              <w:jc w:val="center"/>
              <w:rPr>
                <w:b/>
                <w:color w:val="000000" w:themeColor="text1"/>
                <w14:textFill>
                  <w14:solidFill>
                    <w14:schemeClr w14:val="tx1"/>
                  </w14:solidFill>
                </w14:textFill>
              </w:rPr>
            </w:pPr>
            <w:r>
              <w:rPr>
                <w:b/>
                <w:color w:val="000000" w:themeColor="text1"/>
                <w14:textFill>
                  <w14:solidFill>
                    <w14:schemeClr w14:val="tx1"/>
                  </w14:solidFill>
                </w14:textFill>
              </w:rPr>
              <w:t>乡镇</w:t>
            </w:r>
          </w:p>
        </w:tc>
        <w:tc>
          <w:tcPr>
            <w:tcW w:w="548" w:type="pct"/>
            <w:shd w:val="clear" w:color="auto" w:fill="auto"/>
            <w:vAlign w:val="center"/>
          </w:tcPr>
          <w:p w14:paraId="4FC9D6A8">
            <w:pPr>
              <w:jc w:val="center"/>
              <w:rPr>
                <w:b/>
                <w:color w:val="000000" w:themeColor="text1"/>
                <w14:textFill>
                  <w14:solidFill>
                    <w14:schemeClr w14:val="tx1"/>
                  </w14:solidFill>
                </w14:textFill>
              </w:rPr>
            </w:pPr>
            <w:r>
              <w:rPr>
                <w:b/>
                <w:color w:val="000000" w:themeColor="text1"/>
                <w14:textFill>
                  <w14:solidFill>
                    <w14:schemeClr w14:val="tx1"/>
                  </w14:solidFill>
                </w14:textFill>
              </w:rPr>
              <w:t>行政村</w:t>
            </w:r>
          </w:p>
        </w:tc>
        <w:tc>
          <w:tcPr>
            <w:tcW w:w="648" w:type="pct"/>
            <w:shd w:val="clear" w:color="auto" w:fill="auto"/>
            <w:vAlign w:val="center"/>
          </w:tcPr>
          <w:p w14:paraId="74A02D4B">
            <w:pPr>
              <w:jc w:val="center"/>
              <w:rPr>
                <w:b/>
                <w:color w:val="000000" w:themeColor="text1"/>
                <w14:textFill>
                  <w14:solidFill>
                    <w14:schemeClr w14:val="tx1"/>
                  </w14:solidFill>
                </w14:textFill>
              </w:rPr>
            </w:pPr>
            <w:r>
              <w:rPr>
                <w:b/>
                <w:color w:val="000000" w:themeColor="text1"/>
                <w14:textFill>
                  <w14:solidFill>
                    <w14:schemeClr w14:val="tx1"/>
                  </w14:solidFill>
                </w14:textFill>
              </w:rPr>
              <w:t>行政村区域编码</w:t>
            </w:r>
          </w:p>
        </w:tc>
        <w:tc>
          <w:tcPr>
            <w:tcW w:w="406" w:type="pct"/>
            <w:shd w:val="clear" w:color="auto" w:fill="auto"/>
            <w:vAlign w:val="center"/>
          </w:tcPr>
          <w:p w14:paraId="34DF7A78">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常住人口</w:t>
            </w:r>
          </w:p>
        </w:tc>
        <w:tc>
          <w:tcPr>
            <w:tcW w:w="712" w:type="pct"/>
            <w:shd w:val="clear" w:color="auto" w:fill="auto"/>
            <w:vAlign w:val="center"/>
          </w:tcPr>
          <w:p w14:paraId="34854F9C">
            <w:pPr>
              <w:jc w:val="center"/>
              <w:rPr>
                <w:b/>
                <w:color w:val="000000" w:themeColor="text1"/>
                <w14:textFill>
                  <w14:solidFill>
                    <w14:schemeClr w14:val="tx1"/>
                  </w14:solidFill>
                </w14:textFill>
              </w:rPr>
            </w:pPr>
            <w:r>
              <w:rPr>
                <w:b/>
                <w:color w:val="000000" w:themeColor="text1"/>
                <w14:textFill>
                  <w14:solidFill>
                    <w14:schemeClr w14:val="tx1"/>
                  </w14:solidFill>
                </w14:textFill>
              </w:rPr>
              <w:t>该行政村主要技术路线</w:t>
            </w:r>
          </w:p>
        </w:tc>
        <w:tc>
          <w:tcPr>
            <w:tcW w:w="762" w:type="pct"/>
            <w:shd w:val="clear" w:color="auto" w:fill="auto"/>
            <w:vAlign w:val="center"/>
          </w:tcPr>
          <w:p w14:paraId="73BED0A1">
            <w:pPr>
              <w:jc w:val="center"/>
              <w:rPr>
                <w:b/>
                <w:color w:val="000000" w:themeColor="text1"/>
                <w14:textFill>
                  <w14:solidFill>
                    <w14:schemeClr w14:val="tx1"/>
                  </w14:solidFill>
                </w14:textFill>
              </w:rPr>
            </w:pPr>
            <w:r>
              <w:rPr>
                <w:b/>
                <w:color w:val="000000" w:themeColor="text1"/>
                <w14:textFill>
                  <w14:solidFill>
                    <w14:schemeClr w14:val="tx1"/>
                  </w14:solidFill>
                </w14:textFill>
              </w:rPr>
              <w:t>主要技术路线服务的常住人口数量</w:t>
            </w:r>
          </w:p>
        </w:tc>
        <w:tc>
          <w:tcPr>
            <w:tcW w:w="559" w:type="pct"/>
            <w:shd w:val="clear" w:color="auto" w:fill="auto"/>
            <w:vAlign w:val="center"/>
          </w:tcPr>
          <w:p w14:paraId="3F64EB5E">
            <w:pPr>
              <w:jc w:val="center"/>
              <w:rPr>
                <w:b/>
                <w:color w:val="000000" w:themeColor="text1"/>
                <w14:textFill>
                  <w14:solidFill>
                    <w14:schemeClr w14:val="tx1"/>
                  </w14:solidFill>
                </w14:textFill>
              </w:rPr>
            </w:pPr>
            <w:r>
              <w:rPr>
                <w:b/>
                <w:color w:val="000000" w:themeColor="text1"/>
                <w14:textFill>
                  <w14:solidFill>
                    <w14:schemeClr w14:val="tx1"/>
                  </w14:solidFill>
                </w14:textFill>
              </w:rPr>
              <w:t>剩余常住人口数量</w:t>
            </w:r>
          </w:p>
        </w:tc>
        <w:tc>
          <w:tcPr>
            <w:tcW w:w="632" w:type="pct"/>
            <w:shd w:val="clear" w:color="auto" w:fill="auto"/>
            <w:vAlign w:val="center"/>
          </w:tcPr>
          <w:p w14:paraId="0482450A">
            <w:pPr>
              <w:jc w:val="center"/>
              <w:rPr>
                <w:b/>
                <w:color w:val="000000" w:themeColor="text1"/>
                <w14:textFill>
                  <w14:solidFill>
                    <w14:schemeClr w14:val="tx1"/>
                  </w14:solidFill>
                </w14:textFill>
              </w:rPr>
            </w:pPr>
            <w:r>
              <w:rPr>
                <w:b/>
                <w:color w:val="000000" w:themeColor="text1"/>
                <w14:textFill>
                  <w14:solidFill>
                    <w14:schemeClr w14:val="tx1"/>
                  </w14:solidFill>
                </w14:textFill>
              </w:rPr>
              <w:t>剩余常住人口采取的技术路线</w:t>
            </w:r>
          </w:p>
        </w:tc>
      </w:tr>
      <w:tr w14:paraId="038F1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8" w:type="pct"/>
            <w:vMerge w:val="restart"/>
            <w:vAlign w:val="center"/>
          </w:tcPr>
          <w:p w14:paraId="30E4C7A7">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436" w:type="pct"/>
            <w:vMerge w:val="restart"/>
            <w:vAlign w:val="center"/>
          </w:tcPr>
          <w:p w14:paraId="304658A2">
            <w:pPr>
              <w:jc w:val="center"/>
              <w:rPr>
                <w:color w:val="000000" w:themeColor="text1"/>
                <w14:textFill>
                  <w14:solidFill>
                    <w14:schemeClr w14:val="tx1"/>
                  </w14:solidFill>
                </w14:textFill>
              </w:rPr>
            </w:pPr>
            <w:r>
              <w:rPr>
                <w:color w:val="000000" w:themeColor="text1"/>
                <w14:textFill>
                  <w14:solidFill>
                    <w14:schemeClr w14:val="tx1"/>
                  </w14:solidFill>
                </w14:textFill>
              </w:rPr>
              <w:t>宦溪镇</w:t>
            </w:r>
          </w:p>
        </w:tc>
        <w:tc>
          <w:tcPr>
            <w:tcW w:w="548" w:type="pct"/>
            <w:vAlign w:val="center"/>
          </w:tcPr>
          <w:p w14:paraId="77AF605D">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宦溪村</w:t>
            </w:r>
          </w:p>
        </w:tc>
        <w:tc>
          <w:tcPr>
            <w:tcW w:w="648" w:type="pct"/>
            <w:vAlign w:val="center"/>
          </w:tcPr>
          <w:p w14:paraId="0B148263">
            <w:pPr>
              <w:jc w:val="center"/>
              <w:rPr>
                <w:color w:val="000000" w:themeColor="text1"/>
                <w14:textFill>
                  <w14:solidFill>
                    <w14:schemeClr w14:val="tx1"/>
                  </w14:solidFill>
                </w14:textFill>
              </w:rPr>
            </w:pPr>
            <w:r>
              <w:rPr>
                <w:color w:val="000000" w:themeColor="text1"/>
                <w14:textFill>
                  <w14:solidFill>
                    <w14:schemeClr w14:val="tx1"/>
                  </w14:solidFill>
                </w14:textFill>
              </w:rPr>
              <w:t>350111103201</w:t>
            </w:r>
          </w:p>
        </w:tc>
        <w:tc>
          <w:tcPr>
            <w:tcW w:w="406" w:type="pct"/>
            <w:vAlign w:val="center"/>
          </w:tcPr>
          <w:p w14:paraId="6DFA18C6">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320</w:t>
            </w:r>
          </w:p>
        </w:tc>
        <w:tc>
          <w:tcPr>
            <w:tcW w:w="712" w:type="pct"/>
            <w:vAlign w:val="center"/>
          </w:tcPr>
          <w:p w14:paraId="4C2A181F">
            <w:pPr>
              <w:jc w:val="center"/>
              <w:rPr>
                <w:color w:val="000000" w:themeColor="text1"/>
                <w14:textFill>
                  <w14:solidFill>
                    <w14:schemeClr w14:val="tx1"/>
                  </w14:solidFill>
                </w14:textFill>
              </w:rPr>
            </w:pPr>
            <w:r>
              <w:rPr>
                <w:color w:val="000000" w:themeColor="text1"/>
                <w14:textFill>
                  <w14:solidFill>
                    <w14:schemeClr w14:val="tx1"/>
                  </w14:solidFill>
                </w14:textFill>
              </w:rPr>
              <w:t>乡镇污水处理厂</w:t>
            </w:r>
          </w:p>
        </w:tc>
        <w:tc>
          <w:tcPr>
            <w:tcW w:w="762" w:type="pct"/>
            <w:vAlign w:val="center"/>
          </w:tcPr>
          <w:p w14:paraId="1E871C66">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280</w:t>
            </w:r>
          </w:p>
        </w:tc>
        <w:tc>
          <w:tcPr>
            <w:tcW w:w="559" w:type="pct"/>
            <w:vAlign w:val="center"/>
          </w:tcPr>
          <w:p w14:paraId="7E56B022">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20</w:t>
            </w:r>
          </w:p>
        </w:tc>
        <w:tc>
          <w:tcPr>
            <w:tcW w:w="632" w:type="pct"/>
            <w:vAlign w:val="center"/>
          </w:tcPr>
          <w:p w14:paraId="23044313">
            <w:pPr>
              <w:jc w:val="center"/>
              <w:rPr>
                <w:color w:val="000000" w:themeColor="text1"/>
                <w14:textFill>
                  <w14:solidFill>
                    <w14:schemeClr w14:val="tx1"/>
                  </w14:solidFill>
                </w14:textFill>
              </w:rPr>
            </w:pPr>
            <w:r>
              <w:rPr>
                <w:color w:val="000000" w:themeColor="text1"/>
                <w14:textFill>
                  <w14:solidFill>
                    <w14:schemeClr w14:val="tx1"/>
                  </w14:solidFill>
                </w14:textFill>
              </w:rPr>
              <w:t>建设三格化粪池</w:t>
            </w:r>
          </w:p>
        </w:tc>
      </w:tr>
      <w:tr w14:paraId="02726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8" w:type="pct"/>
            <w:vMerge w:val="continue"/>
            <w:vAlign w:val="center"/>
          </w:tcPr>
          <w:p w14:paraId="55903F01">
            <w:pPr>
              <w:jc w:val="center"/>
              <w:rPr>
                <w:color w:val="000000" w:themeColor="text1"/>
                <w14:textFill>
                  <w14:solidFill>
                    <w14:schemeClr w14:val="tx1"/>
                  </w14:solidFill>
                </w14:textFill>
              </w:rPr>
            </w:pPr>
          </w:p>
        </w:tc>
        <w:tc>
          <w:tcPr>
            <w:tcW w:w="436" w:type="pct"/>
            <w:vMerge w:val="continue"/>
            <w:vAlign w:val="center"/>
          </w:tcPr>
          <w:p w14:paraId="674A3449">
            <w:pPr>
              <w:jc w:val="center"/>
              <w:rPr>
                <w:color w:val="000000" w:themeColor="text1"/>
                <w14:textFill>
                  <w14:solidFill>
                    <w14:schemeClr w14:val="tx1"/>
                  </w14:solidFill>
                </w14:textFill>
              </w:rPr>
            </w:pPr>
          </w:p>
        </w:tc>
        <w:tc>
          <w:tcPr>
            <w:tcW w:w="548" w:type="pct"/>
            <w:vAlign w:val="center"/>
          </w:tcPr>
          <w:p w14:paraId="016BAC5E">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牛项村（涉及集镇区部分）</w:t>
            </w:r>
          </w:p>
        </w:tc>
        <w:tc>
          <w:tcPr>
            <w:tcW w:w="648" w:type="pct"/>
            <w:vAlign w:val="center"/>
          </w:tcPr>
          <w:p w14:paraId="44E86094">
            <w:pPr>
              <w:jc w:val="center"/>
              <w:rPr>
                <w:color w:val="000000" w:themeColor="text1"/>
                <w14:textFill>
                  <w14:solidFill>
                    <w14:schemeClr w14:val="tx1"/>
                  </w14:solidFill>
                </w14:textFill>
              </w:rPr>
            </w:pPr>
            <w:r>
              <w:rPr>
                <w:color w:val="000000" w:themeColor="text1"/>
                <w14:textFill>
                  <w14:solidFill>
                    <w14:schemeClr w14:val="tx1"/>
                  </w14:solidFill>
                </w14:textFill>
              </w:rPr>
              <w:t>350111103205</w:t>
            </w:r>
          </w:p>
        </w:tc>
        <w:tc>
          <w:tcPr>
            <w:tcW w:w="406" w:type="pct"/>
            <w:vAlign w:val="center"/>
          </w:tcPr>
          <w:p w14:paraId="7CDE4612">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60</w:t>
            </w:r>
          </w:p>
        </w:tc>
        <w:tc>
          <w:tcPr>
            <w:tcW w:w="712" w:type="pct"/>
            <w:vAlign w:val="center"/>
          </w:tcPr>
          <w:p w14:paraId="7D1F03E8">
            <w:pPr>
              <w:jc w:val="center"/>
              <w:rPr>
                <w:color w:val="000000" w:themeColor="text1"/>
                <w14:textFill>
                  <w14:solidFill>
                    <w14:schemeClr w14:val="tx1"/>
                  </w14:solidFill>
                </w14:textFill>
              </w:rPr>
            </w:pPr>
            <w:r>
              <w:rPr>
                <w:color w:val="000000" w:themeColor="text1"/>
                <w14:textFill>
                  <w14:solidFill>
                    <w14:schemeClr w14:val="tx1"/>
                  </w14:solidFill>
                </w14:textFill>
              </w:rPr>
              <w:t>乡镇污水处理厂</w:t>
            </w:r>
          </w:p>
        </w:tc>
        <w:tc>
          <w:tcPr>
            <w:tcW w:w="762" w:type="pct"/>
            <w:vAlign w:val="center"/>
          </w:tcPr>
          <w:p w14:paraId="363B8FFF">
            <w:pPr>
              <w:jc w:val="center"/>
              <w:rPr>
                <w:color w:val="000000" w:themeColor="text1"/>
                <w14:textFill>
                  <w14:solidFill>
                    <w14:schemeClr w14:val="tx1"/>
                  </w14:solidFill>
                </w14:textFill>
              </w:rPr>
            </w:pPr>
            <w:r>
              <w:rPr>
                <w:color w:val="000000" w:themeColor="text1"/>
                <w14:textFill>
                  <w14:solidFill>
                    <w14:schemeClr w14:val="tx1"/>
                  </w14:solidFill>
                </w14:textFill>
              </w:rPr>
              <w:t>60</w:t>
            </w:r>
          </w:p>
        </w:tc>
        <w:tc>
          <w:tcPr>
            <w:tcW w:w="559" w:type="pct"/>
            <w:vAlign w:val="center"/>
          </w:tcPr>
          <w:p w14:paraId="33B680BB">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632" w:type="pct"/>
            <w:vAlign w:val="center"/>
          </w:tcPr>
          <w:p w14:paraId="6DD9A0D4">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6DFFB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8" w:type="pct"/>
            <w:vMerge w:val="continue"/>
            <w:vAlign w:val="center"/>
          </w:tcPr>
          <w:p w14:paraId="6ADCEB9D">
            <w:pPr>
              <w:jc w:val="center"/>
              <w:rPr>
                <w:color w:val="000000" w:themeColor="text1"/>
                <w14:textFill>
                  <w14:solidFill>
                    <w14:schemeClr w14:val="tx1"/>
                  </w14:solidFill>
                </w14:textFill>
              </w:rPr>
            </w:pPr>
          </w:p>
        </w:tc>
        <w:tc>
          <w:tcPr>
            <w:tcW w:w="436" w:type="pct"/>
            <w:vMerge w:val="continue"/>
            <w:vAlign w:val="center"/>
          </w:tcPr>
          <w:p w14:paraId="428206DD">
            <w:pPr>
              <w:jc w:val="center"/>
              <w:rPr>
                <w:color w:val="000000" w:themeColor="text1"/>
                <w14:textFill>
                  <w14:solidFill>
                    <w14:schemeClr w14:val="tx1"/>
                  </w14:solidFill>
                </w14:textFill>
              </w:rPr>
            </w:pPr>
          </w:p>
        </w:tc>
        <w:tc>
          <w:tcPr>
            <w:tcW w:w="548" w:type="pct"/>
            <w:vAlign w:val="center"/>
          </w:tcPr>
          <w:p w14:paraId="73BE2AB1">
            <w:pPr>
              <w:autoSpaceDE w:val="0"/>
              <w:autoSpaceDN w:val="0"/>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亥由村（涉及集镇区部分）</w:t>
            </w:r>
          </w:p>
        </w:tc>
        <w:tc>
          <w:tcPr>
            <w:tcW w:w="648" w:type="pct"/>
            <w:vAlign w:val="center"/>
          </w:tcPr>
          <w:p w14:paraId="4B0CBDEF">
            <w:pPr>
              <w:jc w:val="center"/>
              <w:rPr>
                <w:color w:val="000000" w:themeColor="text1"/>
                <w14:textFill>
                  <w14:solidFill>
                    <w14:schemeClr w14:val="tx1"/>
                  </w14:solidFill>
                </w14:textFill>
              </w:rPr>
            </w:pPr>
            <w:r>
              <w:rPr>
                <w:color w:val="000000" w:themeColor="text1"/>
                <w14:textFill>
                  <w14:solidFill>
                    <w14:schemeClr w14:val="tx1"/>
                  </w14:solidFill>
                </w14:textFill>
              </w:rPr>
              <w:t>350111103210</w:t>
            </w:r>
          </w:p>
        </w:tc>
        <w:tc>
          <w:tcPr>
            <w:tcW w:w="406" w:type="pct"/>
            <w:vAlign w:val="center"/>
          </w:tcPr>
          <w:p w14:paraId="499575DA">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60</w:t>
            </w:r>
          </w:p>
        </w:tc>
        <w:tc>
          <w:tcPr>
            <w:tcW w:w="712" w:type="pct"/>
            <w:vAlign w:val="center"/>
          </w:tcPr>
          <w:p w14:paraId="5E8FDC44">
            <w:pPr>
              <w:jc w:val="center"/>
              <w:rPr>
                <w:color w:val="000000" w:themeColor="text1"/>
                <w14:textFill>
                  <w14:solidFill>
                    <w14:schemeClr w14:val="tx1"/>
                  </w14:solidFill>
                </w14:textFill>
              </w:rPr>
            </w:pPr>
            <w:r>
              <w:rPr>
                <w:color w:val="000000" w:themeColor="text1"/>
                <w14:textFill>
                  <w14:solidFill>
                    <w14:schemeClr w14:val="tx1"/>
                  </w14:solidFill>
                </w14:textFill>
              </w:rPr>
              <w:t>乡镇污水处理厂</w:t>
            </w:r>
          </w:p>
        </w:tc>
        <w:tc>
          <w:tcPr>
            <w:tcW w:w="762" w:type="pct"/>
            <w:vAlign w:val="center"/>
          </w:tcPr>
          <w:p w14:paraId="4CB790F8">
            <w:pPr>
              <w:widowControl/>
              <w:jc w:val="center"/>
              <w:rPr>
                <w:color w:val="000000" w:themeColor="text1"/>
                <w14:textFill>
                  <w14:solidFill>
                    <w14:schemeClr w14:val="tx1"/>
                  </w14:solidFill>
                </w14:textFill>
              </w:rPr>
            </w:pPr>
            <w:r>
              <w:rPr>
                <w:color w:val="000000" w:themeColor="text1"/>
                <w14:textFill>
                  <w14:solidFill>
                    <w14:schemeClr w14:val="tx1"/>
                  </w14:solidFill>
                </w14:textFill>
              </w:rPr>
              <w:t>60</w:t>
            </w:r>
          </w:p>
        </w:tc>
        <w:tc>
          <w:tcPr>
            <w:tcW w:w="559" w:type="pct"/>
            <w:vAlign w:val="center"/>
          </w:tcPr>
          <w:p w14:paraId="7C3428E0">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632" w:type="pct"/>
            <w:vAlign w:val="center"/>
          </w:tcPr>
          <w:p w14:paraId="0C09D84D">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62240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8" w:type="pct"/>
            <w:vAlign w:val="center"/>
          </w:tcPr>
          <w:p w14:paraId="6C448748">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436" w:type="pct"/>
            <w:vAlign w:val="center"/>
          </w:tcPr>
          <w:p w14:paraId="5F0CF907">
            <w:pPr>
              <w:jc w:val="center"/>
              <w:rPr>
                <w:color w:val="000000" w:themeColor="text1"/>
                <w14:textFill>
                  <w14:solidFill>
                    <w14:schemeClr w14:val="tx1"/>
                  </w14:solidFill>
                </w14:textFill>
              </w:rPr>
            </w:pPr>
            <w:r>
              <w:rPr>
                <w:color w:val="000000" w:themeColor="text1"/>
                <w14:textFill>
                  <w14:solidFill>
                    <w14:schemeClr w14:val="tx1"/>
                  </w14:solidFill>
                </w14:textFill>
              </w:rPr>
              <w:t>寿山乡</w:t>
            </w:r>
          </w:p>
        </w:tc>
        <w:tc>
          <w:tcPr>
            <w:tcW w:w="548" w:type="pct"/>
            <w:vAlign w:val="center"/>
          </w:tcPr>
          <w:p w14:paraId="2D116890">
            <w:pPr>
              <w:jc w:val="center"/>
              <w:rPr>
                <w:color w:val="000000" w:themeColor="text1"/>
                <w14:textFill>
                  <w14:solidFill>
                    <w14:schemeClr w14:val="tx1"/>
                  </w14:solidFill>
                </w14:textFill>
              </w:rPr>
            </w:pPr>
            <w:r>
              <w:rPr>
                <w:color w:val="000000" w:themeColor="text1"/>
                <w14:textFill>
                  <w14:solidFill>
                    <w14:schemeClr w14:val="tx1"/>
                  </w14:solidFill>
                </w14:textFill>
              </w:rPr>
              <w:t>岭头村</w:t>
            </w:r>
          </w:p>
        </w:tc>
        <w:tc>
          <w:tcPr>
            <w:tcW w:w="648" w:type="pct"/>
            <w:vAlign w:val="center"/>
          </w:tcPr>
          <w:p w14:paraId="796AA1D1">
            <w:pPr>
              <w:jc w:val="center"/>
              <w:rPr>
                <w:color w:val="000000" w:themeColor="text1"/>
                <w14:textFill>
                  <w14:solidFill>
                    <w14:schemeClr w14:val="tx1"/>
                  </w14:solidFill>
                </w14:textFill>
              </w:rPr>
            </w:pPr>
            <w:r>
              <w:rPr>
                <w:color w:val="000000" w:themeColor="text1"/>
                <w14:textFill>
                  <w14:solidFill>
                    <w14:schemeClr w14:val="tx1"/>
                  </w14:solidFill>
                </w14:textFill>
              </w:rPr>
              <w:t>350111201214</w:t>
            </w:r>
          </w:p>
        </w:tc>
        <w:tc>
          <w:tcPr>
            <w:tcW w:w="406" w:type="pct"/>
            <w:vAlign w:val="center"/>
          </w:tcPr>
          <w:p w14:paraId="5F7010D6">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299</w:t>
            </w:r>
          </w:p>
        </w:tc>
        <w:tc>
          <w:tcPr>
            <w:tcW w:w="712" w:type="pct"/>
            <w:vAlign w:val="center"/>
          </w:tcPr>
          <w:p w14:paraId="3D893FC0">
            <w:pPr>
              <w:jc w:val="center"/>
              <w:rPr>
                <w:color w:val="000000" w:themeColor="text1"/>
                <w14:textFill>
                  <w14:solidFill>
                    <w14:schemeClr w14:val="tx1"/>
                  </w14:solidFill>
                </w14:textFill>
              </w:rPr>
            </w:pPr>
            <w:r>
              <w:rPr>
                <w:color w:val="000000" w:themeColor="text1"/>
                <w14:textFill>
                  <w14:solidFill>
                    <w14:schemeClr w14:val="tx1"/>
                  </w14:solidFill>
                </w14:textFill>
              </w:rPr>
              <w:t>乡镇污水处理</w:t>
            </w:r>
          </w:p>
        </w:tc>
        <w:tc>
          <w:tcPr>
            <w:tcW w:w="762" w:type="pct"/>
            <w:vAlign w:val="center"/>
          </w:tcPr>
          <w:p w14:paraId="4477F10C">
            <w:pPr>
              <w:jc w:val="center"/>
              <w:rPr>
                <w:color w:val="000000" w:themeColor="text1"/>
                <w14:textFill>
                  <w14:solidFill>
                    <w14:schemeClr w14:val="tx1"/>
                  </w14:solidFill>
                </w14:textFill>
              </w:rPr>
            </w:pPr>
            <w:r>
              <w:rPr>
                <w:color w:val="000000" w:themeColor="text1"/>
                <w14:textFill>
                  <w14:solidFill>
                    <w14:schemeClr w14:val="tx1"/>
                  </w14:solidFill>
                </w14:textFill>
              </w:rPr>
              <w:t>279</w:t>
            </w:r>
          </w:p>
        </w:tc>
        <w:tc>
          <w:tcPr>
            <w:tcW w:w="559" w:type="pct"/>
            <w:vAlign w:val="center"/>
          </w:tcPr>
          <w:p w14:paraId="446FD5DD">
            <w:pPr>
              <w:jc w:val="center"/>
              <w:rPr>
                <w:color w:val="000000" w:themeColor="text1"/>
                <w14:textFill>
                  <w14:solidFill>
                    <w14:schemeClr w14:val="tx1"/>
                  </w14:solidFill>
                </w14:textFill>
              </w:rPr>
            </w:pPr>
            <w:r>
              <w:rPr>
                <w:color w:val="000000" w:themeColor="text1"/>
                <w14:textFill>
                  <w14:solidFill>
                    <w14:schemeClr w14:val="tx1"/>
                  </w14:solidFill>
                </w14:textFill>
              </w:rPr>
              <w:t>20</w:t>
            </w:r>
          </w:p>
        </w:tc>
        <w:tc>
          <w:tcPr>
            <w:tcW w:w="632" w:type="pct"/>
            <w:vAlign w:val="center"/>
          </w:tcPr>
          <w:p w14:paraId="0225701F">
            <w:pPr>
              <w:jc w:val="center"/>
              <w:rPr>
                <w:color w:val="000000" w:themeColor="text1"/>
                <w14:textFill>
                  <w14:solidFill>
                    <w14:schemeClr w14:val="tx1"/>
                  </w14:solidFill>
                </w14:textFill>
              </w:rPr>
            </w:pPr>
            <w:r>
              <w:rPr>
                <w:color w:val="000000" w:themeColor="text1"/>
                <w14:textFill>
                  <w14:solidFill>
                    <w14:schemeClr w14:val="tx1"/>
                  </w14:solidFill>
                </w14:textFill>
              </w:rPr>
              <w:t>建设三格化粪池</w:t>
            </w:r>
          </w:p>
        </w:tc>
      </w:tr>
      <w:tr w14:paraId="48E61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8" w:type="pct"/>
            <w:vAlign w:val="center"/>
          </w:tcPr>
          <w:p w14:paraId="0404CA36">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436" w:type="pct"/>
            <w:vAlign w:val="center"/>
          </w:tcPr>
          <w:p w14:paraId="1ABA73FB">
            <w:pPr>
              <w:jc w:val="center"/>
              <w:rPr>
                <w:color w:val="000000" w:themeColor="text1"/>
                <w14:textFill>
                  <w14:solidFill>
                    <w14:schemeClr w14:val="tx1"/>
                  </w14:solidFill>
                </w14:textFill>
              </w:rPr>
            </w:pPr>
            <w:r>
              <w:rPr>
                <w:color w:val="000000" w:themeColor="text1"/>
                <w14:textFill>
                  <w14:solidFill>
                    <w14:schemeClr w14:val="tx1"/>
                  </w14:solidFill>
                </w14:textFill>
              </w:rPr>
              <w:t>日溪乡</w:t>
            </w:r>
          </w:p>
        </w:tc>
        <w:tc>
          <w:tcPr>
            <w:tcW w:w="548" w:type="pct"/>
            <w:vAlign w:val="center"/>
          </w:tcPr>
          <w:p w14:paraId="5DED082D">
            <w:pPr>
              <w:jc w:val="center"/>
              <w:rPr>
                <w:color w:val="000000" w:themeColor="text1"/>
                <w14:textFill>
                  <w14:solidFill>
                    <w14:schemeClr w14:val="tx1"/>
                  </w14:solidFill>
                </w14:textFill>
              </w:rPr>
            </w:pPr>
            <w:r>
              <w:rPr>
                <w:color w:val="000000" w:themeColor="text1"/>
                <w14:textFill>
                  <w14:solidFill>
                    <w14:schemeClr w14:val="tx1"/>
                  </w14:solidFill>
                </w14:textFill>
              </w:rPr>
              <w:t>日溪村</w:t>
            </w:r>
          </w:p>
        </w:tc>
        <w:tc>
          <w:tcPr>
            <w:tcW w:w="648" w:type="pct"/>
            <w:vAlign w:val="center"/>
          </w:tcPr>
          <w:p w14:paraId="66C8C2EC">
            <w:pPr>
              <w:jc w:val="center"/>
              <w:rPr>
                <w:color w:val="000000" w:themeColor="text1"/>
                <w14:textFill>
                  <w14:solidFill>
                    <w14:schemeClr w14:val="tx1"/>
                  </w14:solidFill>
                </w14:textFill>
              </w:rPr>
            </w:pPr>
            <w:r>
              <w:rPr>
                <w:color w:val="000000" w:themeColor="text1"/>
                <w14:textFill>
                  <w14:solidFill>
                    <w14:schemeClr w14:val="tx1"/>
                  </w14:solidFill>
                </w14:textFill>
              </w:rPr>
              <w:t>350111202201</w:t>
            </w:r>
          </w:p>
        </w:tc>
        <w:tc>
          <w:tcPr>
            <w:tcW w:w="406" w:type="pct"/>
            <w:vAlign w:val="center"/>
          </w:tcPr>
          <w:p w14:paraId="4CEB7CCF">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486</w:t>
            </w:r>
          </w:p>
        </w:tc>
        <w:tc>
          <w:tcPr>
            <w:tcW w:w="712" w:type="pct"/>
            <w:vAlign w:val="center"/>
          </w:tcPr>
          <w:p w14:paraId="74E3DC5C">
            <w:pPr>
              <w:jc w:val="center"/>
              <w:rPr>
                <w:color w:val="000000" w:themeColor="text1"/>
                <w14:textFill>
                  <w14:solidFill>
                    <w14:schemeClr w14:val="tx1"/>
                  </w14:solidFill>
                </w14:textFill>
              </w:rPr>
            </w:pPr>
            <w:r>
              <w:rPr>
                <w:color w:val="000000" w:themeColor="text1"/>
                <w14:textFill>
                  <w14:solidFill>
                    <w14:schemeClr w14:val="tx1"/>
                  </w14:solidFill>
                </w14:textFill>
              </w:rPr>
              <w:t>乡镇污水处理</w:t>
            </w:r>
          </w:p>
        </w:tc>
        <w:tc>
          <w:tcPr>
            <w:tcW w:w="762" w:type="pct"/>
            <w:vAlign w:val="center"/>
          </w:tcPr>
          <w:p w14:paraId="119395F1">
            <w:pPr>
              <w:jc w:val="center"/>
              <w:rPr>
                <w:color w:val="000000" w:themeColor="text1"/>
                <w14:textFill>
                  <w14:solidFill>
                    <w14:schemeClr w14:val="tx1"/>
                  </w14:solidFill>
                </w14:textFill>
              </w:rPr>
            </w:pPr>
            <w:r>
              <w:rPr>
                <w:color w:val="000000" w:themeColor="text1"/>
                <w14:textFill>
                  <w14:solidFill>
                    <w14:schemeClr w14:val="tx1"/>
                  </w14:solidFill>
                </w14:textFill>
              </w:rPr>
              <w:t>443</w:t>
            </w:r>
          </w:p>
        </w:tc>
        <w:tc>
          <w:tcPr>
            <w:tcW w:w="559" w:type="pct"/>
            <w:vAlign w:val="center"/>
          </w:tcPr>
          <w:p w14:paraId="20AE418D">
            <w:pPr>
              <w:jc w:val="center"/>
              <w:rPr>
                <w:color w:val="000000" w:themeColor="text1"/>
                <w14:textFill>
                  <w14:solidFill>
                    <w14:schemeClr w14:val="tx1"/>
                  </w14:solidFill>
                </w14:textFill>
              </w:rPr>
            </w:pPr>
            <w:r>
              <w:rPr>
                <w:color w:val="000000" w:themeColor="text1"/>
                <w14:textFill>
                  <w14:solidFill>
                    <w14:schemeClr w14:val="tx1"/>
                  </w14:solidFill>
                </w14:textFill>
              </w:rPr>
              <w:t>43</w:t>
            </w:r>
          </w:p>
        </w:tc>
        <w:tc>
          <w:tcPr>
            <w:tcW w:w="632" w:type="pct"/>
            <w:vAlign w:val="center"/>
          </w:tcPr>
          <w:p w14:paraId="2B448066">
            <w:pPr>
              <w:jc w:val="center"/>
              <w:rPr>
                <w:color w:val="000000" w:themeColor="text1"/>
                <w14:textFill>
                  <w14:solidFill>
                    <w14:schemeClr w14:val="tx1"/>
                  </w14:solidFill>
                </w14:textFill>
              </w:rPr>
            </w:pPr>
            <w:r>
              <w:rPr>
                <w:color w:val="000000" w:themeColor="text1"/>
                <w14:textFill>
                  <w14:solidFill>
                    <w14:schemeClr w14:val="tx1"/>
                  </w14:solidFill>
                </w14:textFill>
              </w:rPr>
              <w:t>建设三格化粪池</w:t>
            </w:r>
          </w:p>
        </w:tc>
      </w:tr>
    </w:tbl>
    <w:p w14:paraId="7DD4A18C">
      <w:pPr>
        <w:pStyle w:val="52"/>
        <w:ind w:firstLine="0" w:firstLineChars="0"/>
        <w:rPr>
          <w:color w:val="000000" w:themeColor="text1"/>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63236889">
      <w:pPr>
        <w:pStyle w:val="4"/>
        <w:rPr>
          <w:rFonts w:ascii="Times New Roman" w:hAnsi="Times New Roman" w:eastAsiaTheme="minorEastAsia"/>
          <w:color w:val="000000" w:themeColor="text1"/>
          <w14:textFill>
            <w14:solidFill>
              <w14:schemeClr w14:val="tx1"/>
            </w14:solidFill>
          </w14:textFill>
        </w:rPr>
      </w:pPr>
      <w:bookmarkStart w:id="105" w:name="_Toc112693875"/>
      <w:bookmarkStart w:id="106" w:name="_Toc112694010"/>
      <w:bookmarkStart w:id="107" w:name="_Toc112861031"/>
      <w:r>
        <w:rPr>
          <w:rFonts w:hint="eastAsia" w:ascii="宋体" w:hAnsi="宋体" w:eastAsia="宋体" w:cs="宋体"/>
          <w:color w:val="000000" w:themeColor="text1"/>
          <w14:textFill>
            <w14:solidFill>
              <w14:schemeClr w14:val="tx1"/>
            </w14:solidFill>
          </w14:textFill>
        </w:rPr>
        <w:t>宦溪镇生活污水处理设施现状调查分析</w:t>
      </w:r>
      <w:bookmarkEnd w:id="105"/>
      <w:bookmarkEnd w:id="106"/>
      <w:bookmarkEnd w:id="107"/>
    </w:p>
    <w:p w14:paraId="5CB17ABB">
      <w:pPr>
        <w:pStyle w:val="6"/>
        <w:rPr>
          <w:color w:val="000000" w:themeColor="text1"/>
          <w14:textFill>
            <w14:solidFill>
              <w14:schemeClr w14:val="tx1"/>
            </w14:solidFill>
          </w14:textFill>
        </w:rPr>
      </w:pPr>
      <w:bookmarkStart w:id="108" w:name="_Toc112692578"/>
      <w:bookmarkStart w:id="109" w:name="_Toc112693876"/>
      <w:bookmarkStart w:id="110" w:name="_Toc112694011"/>
      <w:r>
        <w:rPr>
          <w:color w:val="000000" w:themeColor="text1"/>
          <w14:textFill>
            <w14:solidFill>
              <w14:schemeClr w14:val="tx1"/>
            </w14:solidFill>
          </w14:textFill>
        </w:rPr>
        <w:t>宦溪镇镇区现状排水体制</w:t>
      </w:r>
      <w:bookmarkEnd w:id="108"/>
      <w:bookmarkEnd w:id="109"/>
      <w:bookmarkEnd w:id="110"/>
    </w:p>
    <w:p w14:paraId="53987E2B">
      <w:pPr>
        <w:pStyle w:val="52"/>
        <w:rPr>
          <w:color w:val="000000" w:themeColor="text1"/>
          <w14:textFill>
            <w14:solidFill>
              <w14:schemeClr w14:val="tx1"/>
            </w14:solidFill>
          </w14:textFill>
        </w:rPr>
      </w:pPr>
      <w:r>
        <w:rPr>
          <w:color w:val="000000" w:themeColor="text1"/>
          <w14:textFill>
            <w14:solidFill>
              <w14:schemeClr w14:val="tx1"/>
            </w14:solidFill>
          </w14:textFill>
        </w:rPr>
        <w:t>宦溪镇集镇区涉及宦溪镇宦溪村全部和亥由村、牛项村部分，根据2020年晋安区统计年鉴和现场调查数据，宦溪村有本地居民170户，户籍人口580人，其中常住本地人口320人。宦溪镇区建有福建商贸职业中专、宦溪小学、宦溪中学等学校，建有宦溪镇政府、宦溪镇医院、供电所等企事业单位，位于镇区东侧亥由村有宦溪绿色工业园区，镇区实际常住人口约5000人。</w:t>
      </w:r>
    </w:p>
    <w:p w14:paraId="0565CEA8">
      <w:pPr>
        <w:pStyle w:val="52"/>
        <w:rPr>
          <w:color w:val="000000" w:themeColor="text1"/>
          <w14:textFill>
            <w14:solidFill>
              <w14:schemeClr w14:val="tx1"/>
            </w14:solidFill>
          </w14:textFill>
        </w:rPr>
      </w:pPr>
      <w:r>
        <w:rPr>
          <w:color w:val="000000" w:themeColor="text1"/>
          <w14:textFill>
            <w14:solidFill>
              <w14:schemeClr w14:val="tx1"/>
            </w14:solidFill>
          </w14:textFill>
        </w:rPr>
        <w:t>宦溪镇现状建有一座污水处理厂，位于镇区北侧黄田村范围内，项目设计处理能力500m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采用“水解酸化+接触氧化”工艺，出水执行《城镇污水处理厂污染物排放标准》(GB1891-2002)中的一级A标准，配套建有污水管网3320米，主要为沿集镇区主干道和沿河布设，东至宦溪中学门口，西至福建商贸学校宦溪校区，材质为预制水泥管（沿主干道）、PE管（沿河挂管）和双壁波纹管（沿河水泥满包）。根据运维单位提供的信息和现场勘查，集镇污水处理厂日进水量存在较大浮动，晴天状态进水量仅100-200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浓度偏低，雨天状态进水量大大超出设计处理能力，浓度较低，镇区范围内的排污方式以雨污合流制为主，部分居民生活污水经自建化粪池初步净化后，就近排入镇区雨污合流管道，还存在部分居民生活污水未经化粪池处理直接排入雨污合流管道；现有镇区污水收集管网主要沿河道布设，存在管道高程布置不合理，管道施工安装不规范，入户支管覆盖不足，接户不规范等问题。</w:t>
      </w:r>
    </w:p>
    <w:p w14:paraId="3DB40C12">
      <w:pPr>
        <w:pStyle w:val="6"/>
        <w:rPr>
          <w:color w:val="000000" w:themeColor="text1"/>
          <w14:textFill>
            <w14:solidFill>
              <w14:schemeClr w14:val="tx1"/>
            </w14:solidFill>
          </w14:textFill>
        </w:rPr>
      </w:pPr>
      <w:bookmarkStart w:id="111" w:name="_Toc112694012"/>
      <w:bookmarkStart w:id="112" w:name="_Toc112693877"/>
      <w:bookmarkStart w:id="113" w:name="_Toc112692579"/>
      <w:r>
        <w:rPr>
          <w:color w:val="000000" w:themeColor="text1"/>
          <w14:textFill>
            <w14:solidFill>
              <w14:schemeClr w14:val="tx1"/>
            </w14:solidFill>
          </w14:textFill>
        </w:rPr>
        <w:t>现状存在问题分析</w:t>
      </w:r>
      <w:bookmarkEnd w:id="111"/>
      <w:bookmarkEnd w:id="112"/>
      <w:bookmarkEnd w:id="113"/>
    </w:p>
    <w:p w14:paraId="50F77ACA">
      <w:pPr>
        <w:pStyle w:val="52"/>
        <w:rPr>
          <w:color w:val="000000" w:themeColor="text1"/>
          <w14:textFill>
            <w14:solidFill>
              <w14:schemeClr w14:val="tx1"/>
            </w14:solidFill>
          </w14:textFill>
        </w:rPr>
      </w:pPr>
      <w:r>
        <w:rPr>
          <w:color w:val="000000" w:themeColor="text1"/>
          <w14:textFill>
            <w14:solidFill>
              <w14:schemeClr w14:val="tx1"/>
            </w14:solidFill>
          </w14:textFill>
        </w:rPr>
        <w:t>（1）居民房布局缺乏科学规划。由于农村自建住房缺乏科学合理的规划，导致居民房污水排放杂乱无章，且山区地势高低差异较大，给农村污水收集造成了较大障碍；</w:t>
      </w:r>
    </w:p>
    <w:p w14:paraId="3CE56763">
      <w:pPr>
        <w:pStyle w:val="52"/>
        <w:rPr>
          <w:color w:val="000000" w:themeColor="text1"/>
          <w14:textFill>
            <w14:solidFill>
              <w14:schemeClr w14:val="tx1"/>
            </w14:solidFill>
          </w14:textFill>
        </w:rPr>
      </w:pPr>
      <w:r>
        <w:rPr>
          <w:color w:val="000000" w:themeColor="text1"/>
          <w14:textFill>
            <w14:solidFill>
              <w14:schemeClr w14:val="tx1"/>
            </w14:solidFill>
          </w14:textFill>
        </w:rPr>
        <w:t>（</w:t>
      </w:r>
      <w:r>
        <w:rPr>
          <w:rFonts w:eastAsia="TimesNewRomanPSMT"/>
          <w:color w:val="000000" w:themeColor="text1"/>
          <w14:textFill>
            <w14:solidFill>
              <w14:schemeClr w14:val="tx1"/>
            </w14:solidFill>
          </w14:textFill>
        </w:rPr>
        <w:t>2</w:t>
      </w:r>
      <w:r>
        <w:rPr>
          <w:color w:val="000000" w:themeColor="text1"/>
          <w14:textFill>
            <w14:solidFill>
              <w14:schemeClr w14:val="tx1"/>
            </w14:solidFill>
          </w14:textFill>
        </w:rPr>
        <w:t>）户内污水未严格执行相关建筑规范进行分类收集。农村居民房多为自建房屋，户内黑水（厕所污水）、灰水（洗浴废水、洗涤废水、厨房废水）未分别收集，自建化粪池也普遍未达到标准三格化粪池技术要求。</w:t>
      </w:r>
    </w:p>
    <w:p w14:paraId="65A40550">
      <w:pPr>
        <w:pStyle w:val="52"/>
        <w:rPr>
          <w:color w:val="000000" w:themeColor="text1"/>
          <w14:textFill>
            <w14:solidFill>
              <w14:schemeClr w14:val="tx1"/>
            </w14:solidFill>
          </w14:textFill>
        </w:rPr>
      </w:pPr>
      <w:r>
        <w:rPr>
          <w:color w:val="000000" w:themeColor="text1"/>
          <w14:textFill>
            <w14:solidFill>
              <w14:schemeClr w14:val="tx1"/>
            </w14:solidFill>
          </w14:textFill>
        </w:rPr>
        <w:t>（</w:t>
      </w:r>
      <w:r>
        <w:rPr>
          <w:rFonts w:eastAsia="TimesNewRomanPSMT"/>
          <w:color w:val="000000" w:themeColor="text1"/>
          <w14:textFill>
            <w14:solidFill>
              <w14:schemeClr w14:val="tx1"/>
            </w14:solidFill>
          </w14:textFill>
        </w:rPr>
        <w:t>3</w:t>
      </w:r>
      <w:r>
        <w:rPr>
          <w:color w:val="000000" w:themeColor="text1"/>
          <w14:textFill>
            <w14:solidFill>
              <w14:schemeClr w14:val="tx1"/>
            </w14:solidFill>
          </w14:textFill>
        </w:rPr>
        <w:t>）水质水量变化幅度大。农村污水排放受居民生活习惯、用水方式、节假日人员流动、风俗习惯等多种因素影响，污水排放量存在较大波动，对处理设施稳定达标排放提出了较高要求。</w:t>
      </w:r>
    </w:p>
    <w:p w14:paraId="2E8A0808">
      <w:pPr>
        <w:pStyle w:val="52"/>
        <w:rPr>
          <w:color w:val="000000" w:themeColor="text1"/>
          <w14:textFill>
            <w14:solidFill>
              <w14:schemeClr w14:val="tx1"/>
            </w14:solidFill>
          </w14:textFill>
        </w:rPr>
      </w:pPr>
      <w:r>
        <w:rPr>
          <w:color w:val="000000" w:themeColor="text1"/>
          <w14:textFill>
            <w14:solidFill>
              <w14:schemeClr w14:val="tx1"/>
            </w14:solidFill>
          </w14:textFill>
        </w:rPr>
        <w:t>（</w:t>
      </w:r>
      <w:r>
        <w:rPr>
          <w:rFonts w:eastAsia="TimesNewRomanPSMT"/>
          <w:color w:val="000000" w:themeColor="text1"/>
          <w14:textFill>
            <w14:solidFill>
              <w14:schemeClr w14:val="tx1"/>
            </w14:solidFill>
          </w14:textFill>
        </w:rPr>
        <w:t>4</w:t>
      </w:r>
      <w:r>
        <w:rPr>
          <w:color w:val="000000" w:themeColor="text1"/>
          <w14:textFill>
            <w14:solidFill>
              <w14:schemeClr w14:val="tx1"/>
            </w14:solidFill>
          </w14:textFill>
        </w:rPr>
        <w:t>）农村居民的环保意识仍旧不强。虽然近年来，随着国家各项环保政策的不断落实，全社会整体环保意识有了明显提升，但局部地区依然存在观念落后，对环保事业积极性不高的实际情况。对污水收集管网及处理设施选址、施工建设、排污费收取等方面造成了一定阻力。</w:t>
      </w:r>
    </w:p>
    <w:p w14:paraId="31BF8705">
      <w:pPr>
        <w:pStyle w:val="6"/>
        <w:rPr>
          <w:color w:val="000000" w:themeColor="text1"/>
          <w14:textFill>
            <w14:solidFill>
              <w14:schemeClr w14:val="tx1"/>
            </w14:solidFill>
          </w14:textFill>
        </w:rPr>
      </w:pPr>
      <w:bookmarkStart w:id="114" w:name="_Toc112692580"/>
      <w:bookmarkStart w:id="115" w:name="_Toc112693878"/>
      <w:bookmarkStart w:id="116" w:name="_Toc112694013"/>
      <w:r>
        <w:rPr>
          <w:color w:val="000000" w:themeColor="text1"/>
          <w14:textFill>
            <w14:solidFill>
              <w14:schemeClr w14:val="tx1"/>
            </w14:solidFill>
          </w14:textFill>
        </w:rPr>
        <w:t>治理的必要性</w:t>
      </w:r>
      <w:bookmarkEnd w:id="114"/>
      <w:bookmarkEnd w:id="115"/>
      <w:bookmarkEnd w:id="116"/>
    </w:p>
    <w:p w14:paraId="65CD074E">
      <w:pPr>
        <w:pStyle w:val="52"/>
        <w:rPr>
          <w:color w:val="000000" w:themeColor="text1"/>
          <w14:textFill>
            <w14:solidFill>
              <w14:schemeClr w14:val="tx1"/>
            </w14:solidFill>
          </w14:textFill>
        </w:rPr>
      </w:pPr>
      <w:r>
        <w:rPr>
          <w:color w:val="000000" w:themeColor="text1"/>
          <w14:textFill>
            <w14:solidFill>
              <w14:schemeClr w14:val="tx1"/>
            </w14:solidFill>
          </w14:textFill>
        </w:rPr>
        <w:t>随着社会经济不断发展，人们对生活环境的要求日益增长，当前宦溪镇镇区生活污水污染问题较为严峻。生活污水造成的环境污染</w:t>
      </w:r>
      <w:r>
        <w:rPr>
          <w:rFonts w:hint="eastAsia"/>
          <w:color w:val="000000" w:themeColor="text1"/>
          <w:lang w:eastAsia="zh-CN"/>
          <w14:textFill>
            <w14:solidFill>
              <w14:schemeClr w14:val="tx1"/>
            </w14:solidFill>
          </w14:textFill>
        </w:rPr>
        <w:t>已经</w:t>
      </w:r>
      <w:r>
        <w:rPr>
          <w:color w:val="000000" w:themeColor="text1"/>
          <w14:textFill>
            <w14:solidFill>
              <w14:schemeClr w14:val="tx1"/>
            </w14:solidFill>
          </w14:textFill>
        </w:rPr>
        <w:t>成为危及农民身体健康和财产安全的重要因素，制约了宦溪镇经济社会的可持续发展，因此开展宦溪镇镇区生活污水治理提升工程十分必要。</w:t>
      </w:r>
    </w:p>
    <w:p w14:paraId="69C0136D">
      <w:pPr>
        <w:pStyle w:val="6"/>
        <w:rPr>
          <w:color w:val="000000" w:themeColor="text1"/>
          <w14:textFill>
            <w14:solidFill>
              <w14:schemeClr w14:val="tx1"/>
            </w14:solidFill>
          </w14:textFill>
        </w:rPr>
      </w:pPr>
      <w:bookmarkStart w:id="117" w:name="_Toc112692581"/>
      <w:bookmarkStart w:id="118" w:name="_Toc112693879"/>
      <w:bookmarkStart w:id="119" w:name="_Toc112694014"/>
      <w:r>
        <w:rPr>
          <w:color w:val="000000" w:themeColor="text1"/>
          <w14:textFill>
            <w14:solidFill>
              <w14:schemeClr w14:val="tx1"/>
            </w14:solidFill>
          </w14:textFill>
        </w:rPr>
        <w:t>镇区管网提升改造建设思路</w:t>
      </w:r>
      <w:bookmarkEnd w:id="117"/>
      <w:bookmarkEnd w:id="118"/>
      <w:bookmarkEnd w:id="119"/>
    </w:p>
    <w:p w14:paraId="461AB6F2">
      <w:pPr>
        <w:pStyle w:val="52"/>
        <w:rPr>
          <w:color w:val="000000" w:themeColor="text1"/>
          <w14:textFill>
            <w14:solidFill>
              <w14:schemeClr w14:val="tx1"/>
            </w14:solidFill>
          </w14:textFill>
        </w:rPr>
      </w:pPr>
      <w:r>
        <w:rPr>
          <w:color w:val="000000" w:themeColor="text1"/>
          <w14:textFill>
            <w14:solidFill>
              <w14:schemeClr w14:val="tx1"/>
            </w14:solidFill>
          </w14:textFill>
        </w:rPr>
        <w:t>根据现场勘察，宦溪镇现有污水管网为雨污合流管。结合宦溪镇区实际情况以及污水分布情况，本次设计拟规划将镇区污水管网改造划分为4个排水分区，建设工期两年，其中2022年度改造内容主要针对排水分区一和分区四沿街两侧现有主管道新建支干管和入户支管以及对沿河两侧管道进行混凝土包封，并且新增一500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/d的中途泵站输送至污水处理厂；2023年主要排水分区二和分区三沿街两侧新建支干管和入户支管进行雨污分流改造，具体详见图3.3-1。</w:t>
      </w:r>
    </w:p>
    <w:p w14:paraId="52C34D49">
      <w:pPr>
        <w:rPr>
          <w:color w:val="000000" w:themeColor="text1"/>
          <w14:textFill>
            <w14:solidFill>
              <w14:schemeClr w14:val="tx1"/>
            </w14:solidFill>
          </w14:textFill>
        </w:rPr>
        <w:sectPr>
          <w:pgSz w:w="11906" w:h="16838"/>
          <w:pgMar w:top="1701" w:right="1701" w:bottom="1701" w:left="1701" w:header="851" w:footer="992" w:gutter="0"/>
          <w:cols w:space="720" w:num="1"/>
          <w:docGrid w:type="linesAndChars" w:linePitch="312" w:charSpace="0"/>
        </w:sectPr>
      </w:pPr>
    </w:p>
    <w:p w14:paraId="2430DBE4">
      <w:pPr>
        <w:rPr>
          <w:color w:val="000000" w:themeColor="text1"/>
          <w14:textFill>
            <w14:solidFill>
              <w14:schemeClr w14:val="tx1"/>
            </w14:solidFill>
          </w14:textFill>
        </w:rPr>
      </w:pPr>
      <w:r>
        <w:rPr>
          <w:color w:val="000000" w:themeColor="text1"/>
          <w:szCs w:val="20"/>
          <w14:textFill>
            <w14:solidFill>
              <w14:schemeClr w14:val="tx1"/>
            </w14:solidFill>
          </w14:textFill>
        </w:rPr>
        <w:drawing>
          <wp:inline distT="0" distB="0" distL="114300" distR="114300">
            <wp:extent cx="12800330" cy="8018145"/>
            <wp:effectExtent l="0" t="0" r="1270" b="1905"/>
            <wp:docPr id="19" name="图片 19" descr="页面提取自－福州市晋安区宦溪镇污水收集管网提升工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页面提取自－福州市晋安区宦溪镇污水收集管网提升工程"/>
                    <pic:cNvPicPr>
                      <a:picLocks noChangeAspect="1"/>
                    </pic:cNvPicPr>
                  </pic:nvPicPr>
                  <pic:blipFill>
                    <a:blip r:embed="rId8"/>
                    <a:srcRect l="1851" t="1886" r="1924" b="2331"/>
                    <a:stretch>
                      <a:fillRect/>
                    </a:stretch>
                  </pic:blipFill>
                  <pic:spPr>
                    <a:xfrm>
                      <a:off x="0" y="0"/>
                      <a:ext cx="12802175" cy="8018953"/>
                    </a:xfrm>
                    <a:prstGeom prst="rect">
                      <a:avLst/>
                    </a:prstGeom>
                    <a:ln>
                      <a:noFill/>
                    </a:ln>
                  </pic:spPr>
                </pic:pic>
              </a:graphicData>
            </a:graphic>
          </wp:inline>
        </w:drawing>
      </w:r>
    </w:p>
    <w:p w14:paraId="5346A5FA">
      <w:pPr>
        <w:pStyle w:val="442"/>
        <w:rPr>
          <w:color w:val="000000" w:themeColor="text1"/>
          <w14:textFill>
            <w14:solidFill>
              <w14:schemeClr w14:val="tx1"/>
            </w14:solidFill>
          </w14:textFill>
        </w:rPr>
      </w:pPr>
      <w:r>
        <w:rPr>
          <w:color w:val="000000" w:themeColor="text1"/>
          <w14:textFill>
            <w14:solidFill>
              <w14:schemeClr w14:val="tx1"/>
            </w14:solidFill>
          </w14:textFill>
        </w:rPr>
        <w:t>图3.3-1宦溪镇镇区生活污水收集管网提升工程系统图</w:t>
      </w:r>
    </w:p>
    <w:p w14:paraId="1814790E">
      <w:pPr>
        <w:rPr>
          <w:color w:val="000000" w:themeColor="text1"/>
          <w14:textFill>
            <w14:solidFill>
              <w14:schemeClr w14:val="tx1"/>
            </w14:solidFill>
          </w14:textFill>
        </w:rPr>
        <w:sectPr>
          <w:pgSz w:w="23814" w:h="16839" w:orient="landscape"/>
          <w:pgMar w:top="1701" w:right="1701" w:bottom="1701" w:left="1701" w:header="851" w:footer="992" w:gutter="0"/>
          <w:cols w:space="720" w:num="1"/>
          <w:docGrid w:type="linesAndChars" w:linePitch="312" w:charSpace="0"/>
        </w:sectPr>
      </w:pPr>
    </w:p>
    <w:p w14:paraId="1F7A7D06">
      <w:pPr>
        <w:pStyle w:val="4"/>
        <w:rPr>
          <w:rFonts w:ascii="Times New Roman" w:hAnsi="Times New Roman" w:eastAsiaTheme="minorEastAsia"/>
          <w:color w:val="000000" w:themeColor="text1"/>
          <w14:textFill>
            <w14:solidFill>
              <w14:schemeClr w14:val="tx1"/>
            </w14:solidFill>
          </w14:textFill>
        </w:rPr>
      </w:pPr>
      <w:bookmarkStart w:id="120" w:name="_Toc112861032"/>
      <w:bookmarkStart w:id="121" w:name="_Toc112694015"/>
      <w:bookmarkStart w:id="122" w:name="_Toc112693880"/>
      <w:r>
        <w:rPr>
          <w:rFonts w:hint="eastAsia" w:ascii="宋体" w:hAnsi="宋体" w:eastAsia="宋体" w:cs="宋体"/>
          <w:color w:val="000000" w:themeColor="text1"/>
          <w14:textFill>
            <w14:solidFill>
              <w14:schemeClr w14:val="tx1"/>
            </w14:solidFill>
          </w14:textFill>
        </w:rPr>
        <w:t>寿山乡生活污水治理设施现状调查分析</w:t>
      </w:r>
      <w:bookmarkEnd w:id="120"/>
      <w:bookmarkEnd w:id="121"/>
      <w:bookmarkEnd w:id="122"/>
    </w:p>
    <w:p w14:paraId="265DCC35">
      <w:pPr>
        <w:pStyle w:val="6"/>
        <w:rPr>
          <w:color w:val="000000" w:themeColor="text1"/>
          <w14:textFill>
            <w14:solidFill>
              <w14:schemeClr w14:val="tx1"/>
            </w14:solidFill>
          </w14:textFill>
        </w:rPr>
      </w:pPr>
      <w:bookmarkStart w:id="123" w:name="_Toc112694016"/>
      <w:bookmarkStart w:id="124" w:name="_Toc112693881"/>
      <w:bookmarkStart w:id="125" w:name="_Toc112692583"/>
      <w:r>
        <w:rPr>
          <w:color w:val="000000" w:themeColor="text1"/>
          <w14:textFill>
            <w14:solidFill>
              <w14:schemeClr w14:val="tx1"/>
            </w14:solidFill>
          </w14:textFill>
        </w:rPr>
        <w:t>寿山乡镇区现状排水体制</w:t>
      </w:r>
      <w:bookmarkEnd w:id="123"/>
      <w:bookmarkEnd w:id="124"/>
      <w:bookmarkEnd w:id="125"/>
    </w:p>
    <w:p w14:paraId="7A45E67E">
      <w:pPr>
        <w:pStyle w:val="52"/>
        <w:rPr>
          <w:color w:val="000000" w:themeColor="text1"/>
          <w14:textFill>
            <w14:solidFill>
              <w14:schemeClr w14:val="tx1"/>
            </w14:solidFill>
          </w14:textFill>
        </w:rPr>
      </w:pPr>
      <w:r>
        <w:rPr>
          <w:color w:val="000000" w:themeColor="text1"/>
          <w14:textFill>
            <w14:solidFill>
              <w14:schemeClr w14:val="tx1"/>
            </w14:solidFill>
          </w14:textFill>
        </w:rPr>
        <w:t>寿山乡集镇仅涉及岭头村，根据2020年晋安区统计年鉴和现场调查数据，宦溪村有本地居民122户，户籍人口432人，其中常住本地人口299人。寿山乡镇区建有寿山乡政府、寿山乡卫生院、北峰中学、岭头小学、农村商业银行等企事业单位，有华天国防教育基地，位于镇区南侧有融信有墅商业住宅小区。根据现场调查，集镇的流动人口较多，商铺多，并且还需要加上乡政府办公人员，卫生院及北峰中学等公建流动人口产生的废水，现有排水量约200吨/天。融信有墅住宅小区已于2021年陆续交房，正在装修，小区规划居住人口8000人，预估常住人口2000人，预计入住后污水排放量约400吨/天。</w:t>
      </w:r>
    </w:p>
    <w:p w14:paraId="1F6FBF0B">
      <w:pPr>
        <w:pStyle w:val="52"/>
        <w:rPr>
          <w:color w:val="000000" w:themeColor="text1"/>
          <w14:textFill>
            <w14:solidFill>
              <w14:schemeClr w14:val="tx1"/>
            </w14:solidFill>
          </w14:textFill>
        </w:rPr>
      </w:pPr>
      <w:r>
        <w:rPr>
          <w:color w:val="000000" w:themeColor="text1"/>
          <w14:textFill>
            <w14:solidFill>
              <w14:schemeClr w14:val="tx1"/>
            </w14:solidFill>
          </w14:textFill>
        </w:rPr>
        <w:t>寿山乡现状建有一座污水处理厂，位于镇区南部，项目设计处理能力500m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采用活性污泥法+生物转盘工艺，出水执行《城镇污水处理厂污染物排放标准》(GB1891-2002)中的一级A标准，配套建有污水管网4400米，已基本覆盖镇区主要干线，但因于岭头村比较分散，大部分村民住在高低错落的山岭间，无法进行管网连接。只能采用建设化粪池排田的方式处理。现有管网基本针对的是集镇上的商铺和公建以及少量的住户，同时还少量存在污水检查井破损，污水管道被油污封堵等问题。</w:t>
      </w:r>
    </w:p>
    <w:p w14:paraId="1551FCBF">
      <w:pPr>
        <w:pStyle w:val="6"/>
        <w:rPr>
          <w:color w:val="000000" w:themeColor="text1"/>
          <w14:textFill>
            <w14:solidFill>
              <w14:schemeClr w14:val="tx1"/>
            </w14:solidFill>
          </w14:textFill>
        </w:rPr>
      </w:pPr>
      <w:bookmarkStart w:id="126" w:name="_Toc112692584"/>
      <w:bookmarkStart w:id="127" w:name="_Toc112693882"/>
      <w:bookmarkStart w:id="128" w:name="_Toc112694017"/>
      <w:r>
        <w:rPr>
          <w:color w:val="000000" w:themeColor="text1"/>
          <w14:textFill>
            <w14:solidFill>
              <w14:schemeClr w14:val="tx1"/>
            </w14:solidFill>
          </w14:textFill>
        </w:rPr>
        <w:t>现状存在问题分析</w:t>
      </w:r>
      <w:bookmarkEnd w:id="126"/>
      <w:bookmarkEnd w:id="127"/>
      <w:bookmarkEnd w:id="128"/>
    </w:p>
    <w:p w14:paraId="60C2EDF2">
      <w:pPr>
        <w:pStyle w:val="52"/>
        <w:rPr>
          <w:color w:val="000000" w:themeColor="text1"/>
          <w14:textFill>
            <w14:solidFill>
              <w14:schemeClr w14:val="tx1"/>
            </w14:solidFill>
          </w14:textFill>
        </w:rPr>
      </w:pPr>
      <w:r>
        <w:rPr>
          <w:color w:val="000000" w:themeColor="text1"/>
          <w14:textFill>
            <w14:solidFill>
              <w14:schemeClr w14:val="tx1"/>
            </w14:solidFill>
          </w14:textFill>
        </w:rPr>
        <w:t>（1）根据现场调查，污水站排水口标识不明显，需按照《关于印发排放口标志牌技术规格的通知》中相关要求设置排污口标识牌。并按《排污口规范化整治技术要求(试行)》(国家环保局环监[1996]470号)对排放口进行日常管理。</w:t>
      </w:r>
    </w:p>
    <w:p w14:paraId="3EB77421">
      <w:pPr>
        <w:pStyle w:val="52"/>
        <w:rPr>
          <w:color w:val="000000" w:themeColor="text1"/>
          <w14:textFill>
            <w14:solidFill>
              <w14:schemeClr w14:val="tx1"/>
            </w14:solidFill>
          </w14:textFill>
        </w:rPr>
      </w:pPr>
      <w:r>
        <w:rPr>
          <w:color w:val="000000" w:themeColor="text1"/>
          <w14:textFill>
            <w14:solidFill>
              <w14:schemeClr w14:val="tx1"/>
            </w14:solidFill>
          </w14:textFill>
        </w:rPr>
        <w:t>（2）由于居民污水排放附带杂物，油脂沉积，未及时进行清掏等原因，现有污水管网存在堵塞，溢流等问题。需要加强平时的管理维护工作，并大力宣传，提高居民相关意识，不将污水外的杂物倒入管网中。另外现有管井存在破损的现象，需进行维修。</w:t>
      </w:r>
    </w:p>
    <w:p w14:paraId="47F729C3">
      <w:pPr>
        <w:pStyle w:val="52"/>
        <w:rPr>
          <w:color w:val="000000" w:themeColor="text1"/>
          <w14:textFill>
            <w14:solidFill>
              <w14:schemeClr w14:val="tx1"/>
            </w14:solidFill>
          </w14:textFill>
        </w:rPr>
      </w:pPr>
      <w:r>
        <w:rPr>
          <w:color w:val="000000" w:themeColor="text1"/>
          <w14:textFill>
            <w14:solidFill>
              <w14:schemeClr w14:val="tx1"/>
            </w14:solidFill>
          </w14:textFill>
        </w:rPr>
        <w:t>（3）由于前期建设资金原因，北峰中学北侧部分管网未进行实际建设，导致部分居民生活污水无法正常纳入污水水处理设施进行处理。</w:t>
      </w:r>
    </w:p>
    <w:p w14:paraId="04480A63">
      <w:pPr>
        <w:pStyle w:val="52"/>
        <w:rPr>
          <w:color w:val="000000" w:themeColor="text1"/>
          <w14:textFill>
            <w14:solidFill>
              <w14:schemeClr w14:val="tx1"/>
            </w14:solidFill>
          </w14:textFill>
        </w:rPr>
      </w:pPr>
      <w:r>
        <w:rPr>
          <w:color w:val="000000" w:themeColor="text1"/>
          <w14:textFill>
            <w14:solidFill>
              <w14:schemeClr w14:val="tx1"/>
            </w14:solidFill>
          </w14:textFill>
        </w:rPr>
        <w:t>（4）另外八一七公园南侧部分路段的管道为后期补充并实际建设，但未体现在图纸中。建议加强图纸管理工作，特别是竣工图应及时进行归档保管，以保障后期改造维护工作顺利开展。</w:t>
      </w:r>
    </w:p>
    <w:p w14:paraId="0C9BC94E">
      <w:pPr>
        <w:pStyle w:val="6"/>
        <w:rPr>
          <w:color w:val="000000" w:themeColor="text1"/>
          <w14:textFill>
            <w14:solidFill>
              <w14:schemeClr w14:val="tx1"/>
            </w14:solidFill>
          </w14:textFill>
        </w:rPr>
      </w:pPr>
      <w:bookmarkStart w:id="129" w:name="_Toc112693883"/>
      <w:bookmarkStart w:id="130" w:name="_Toc112692585"/>
      <w:bookmarkStart w:id="131" w:name="_Toc112694018"/>
      <w:r>
        <w:rPr>
          <w:color w:val="000000" w:themeColor="text1"/>
          <w14:textFill>
            <w14:solidFill>
              <w14:schemeClr w14:val="tx1"/>
            </w14:solidFill>
          </w14:textFill>
        </w:rPr>
        <w:t>镇区管网提升改造建设思路</w:t>
      </w:r>
      <w:bookmarkEnd w:id="129"/>
      <w:bookmarkEnd w:id="130"/>
      <w:bookmarkEnd w:id="131"/>
    </w:p>
    <w:p w14:paraId="7AE36ACA">
      <w:pPr>
        <w:pStyle w:val="52"/>
        <w:rPr>
          <w:color w:val="000000" w:themeColor="text1"/>
          <w14:textFill>
            <w14:solidFill>
              <w14:schemeClr w14:val="tx1"/>
            </w14:solidFill>
          </w14:textFill>
        </w:rPr>
      </w:pPr>
      <w:r>
        <w:rPr>
          <w:color w:val="000000" w:themeColor="text1"/>
          <w14:textFill>
            <w14:solidFill>
              <w14:schemeClr w14:val="tx1"/>
            </w14:solidFill>
          </w14:textFill>
        </w:rPr>
        <w:t>根据现场勘察，寿山乡现有污水干管基本已覆盖镇区主要范围和融信有墅小区，本次设计拟为主建设北峰中学北侧部分的管网和完善接户支管。具体见图3.4-1。</w:t>
      </w:r>
    </w:p>
    <w:p w14:paraId="19CB8AA4">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169535" cy="5124450"/>
            <wp:effectExtent l="0" t="0" r="0" b="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9"/>
                    <a:stretch>
                      <a:fillRect/>
                    </a:stretch>
                  </pic:blipFill>
                  <pic:spPr>
                    <a:xfrm>
                      <a:off x="0" y="0"/>
                      <a:ext cx="5170435" cy="5125396"/>
                    </a:xfrm>
                    <a:prstGeom prst="rect">
                      <a:avLst/>
                    </a:prstGeom>
                    <a:noFill/>
                    <a:ln>
                      <a:noFill/>
                    </a:ln>
                  </pic:spPr>
                </pic:pic>
              </a:graphicData>
            </a:graphic>
          </wp:inline>
        </w:drawing>
      </w:r>
    </w:p>
    <w:p w14:paraId="092462B6">
      <w:pPr>
        <w:pStyle w:val="442"/>
        <w:rPr>
          <w:color w:val="000000" w:themeColor="text1"/>
          <w14:textFill>
            <w14:solidFill>
              <w14:schemeClr w14:val="tx1"/>
            </w14:solidFill>
          </w14:textFill>
        </w:rPr>
      </w:pPr>
      <w:r>
        <w:rPr>
          <w:color w:val="000000" w:themeColor="text1"/>
          <w14:textFill>
            <w14:solidFill>
              <w14:schemeClr w14:val="tx1"/>
            </w14:solidFill>
          </w14:textFill>
        </w:rPr>
        <w:t>图3.4-1寿山乡镇区生活污水收集管网提升改造工程系统图</w:t>
      </w:r>
    </w:p>
    <w:p w14:paraId="7F4A6F61">
      <w:pPr>
        <w:pStyle w:val="4"/>
        <w:rPr>
          <w:rFonts w:ascii="Times New Roman" w:hAnsi="Times New Roman" w:eastAsiaTheme="minorEastAsia"/>
          <w:color w:val="000000" w:themeColor="text1"/>
          <w14:textFill>
            <w14:solidFill>
              <w14:schemeClr w14:val="tx1"/>
            </w14:solidFill>
          </w14:textFill>
        </w:rPr>
      </w:pPr>
      <w:bookmarkStart w:id="132" w:name="_Toc112693884"/>
      <w:bookmarkStart w:id="133" w:name="_Toc112694019"/>
      <w:bookmarkStart w:id="134" w:name="_Toc112861033"/>
      <w:r>
        <w:rPr>
          <w:rFonts w:hint="eastAsia" w:ascii="宋体" w:hAnsi="宋体" w:eastAsia="宋体" w:cs="宋体"/>
          <w:color w:val="000000" w:themeColor="text1"/>
          <w14:textFill>
            <w14:solidFill>
              <w14:schemeClr w14:val="tx1"/>
            </w14:solidFill>
          </w14:textFill>
        </w:rPr>
        <w:t>日溪乡生活污水处理设施现状调查分析</w:t>
      </w:r>
      <w:bookmarkEnd w:id="132"/>
      <w:bookmarkEnd w:id="133"/>
      <w:bookmarkEnd w:id="134"/>
    </w:p>
    <w:p w14:paraId="2BBB9475">
      <w:pPr>
        <w:pStyle w:val="6"/>
        <w:rPr>
          <w:color w:val="000000" w:themeColor="text1"/>
          <w14:textFill>
            <w14:solidFill>
              <w14:schemeClr w14:val="tx1"/>
            </w14:solidFill>
          </w14:textFill>
        </w:rPr>
      </w:pPr>
      <w:bookmarkStart w:id="135" w:name="_Toc112692587"/>
      <w:bookmarkStart w:id="136" w:name="_Toc112693885"/>
      <w:bookmarkStart w:id="137" w:name="_Toc112694020"/>
      <w:r>
        <w:rPr>
          <w:color w:val="000000" w:themeColor="text1"/>
          <w14:textFill>
            <w14:solidFill>
              <w14:schemeClr w14:val="tx1"/>
            </w14:solidFill>
          </w14:textFill>
        </w:rPr>
        <w:t>日溪乡镇区现状排水体制</w:t>
      </w:r>
      <w:bookmarkEnd w:id="135"/>
      <w:bookmarkEnd w:id="136"/>
      <w:bookmarkEnd w:id="137"/>
    </w:p>
    <w:p w14:paraId="557FF482">
      <w:pPr>
        <w:pStyle w:val="52"/>
        <w:rPr>
          <w:color w:val="000000" w:themeColor="text1"/>
          <w14:textFill>
            <w14:solidFill>
              <w14:schemeClr w14:val="tx1"/>
            </w14:solidFill>
          </w14:textFill>
        </w:rPr>
      </w:pPr>
      <w:r>
        <w:rPr>
          <w:color w:val="000000" w:themeColor="text1"/>
          <w14:textFill>
            <w14:solidFill>
              <w14:schemeClr w14:val="tx1"/>
            </w14:solidFill>
          </w14:textFill>
        </w:rPr>
        <w:t>日溪乡集镇仅涉及日溪村一队、二队两个自然村，根据2020年统计年鉴，日溪村有本地居民252户，户籍人口862人，其中常住本地人口132人。日溪乡镇区建有日溪乡政府、日溪乡卫生院、日溪小学、农村商业银行等企事业单位。根据现场调查日溪乡集镇是集旅游服务、商贸、居住为一体的农村小城镇，其主要职能为游客提供旅游吃、住等服务。2019年日溪乡年接待游客数量达5万余人次。</w:t>
      </w:r>
    </w:p>
    <w:p w14:paraId="08592C56">
      <w:pPr>
        <w:pStyle w:val="52"/>
        <w:rPr>
          <w:color w:val="000000" w:themeColor="text1"/>
          <w14:textFill>
            <w14:solidFill>
              <w14:schemeClr w14:val="tx1"/>
            </w14:solidFill>
          </w14:textFill>
        </w:rPr>
      </w:pPr>
      <w:r>
        <w:rPr>
          <w:color w:val="000000" w:themeColor="text1"/>
          <w14:textFill>
            <w14:solidFill>
              <w14:schemeClr w14:val="tx1"/>
            </w14:solidFill>
          </w14:textFill>
        </w:rPr>
        <w:t>日溪乡现状建有一座污水处理厂，位于镇区中心、桃源溪水系旁，项目设计处理能力400m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采用“水解酸化+接触氧化+氧化塘+加药+人工湿地”工艺，出水执行《城镇污水处理厂污染物排放标准》（GB1891-2002）中的一级A标准，配套建有污水管网3200米，已覆盖镇区大部分居民。但存在部分管网雨污混流严重，部分管网破损、污水处理厂进水浓度低等问题。</w:t>
      </w:r>
    </w:p>
    <w:p w14:paraId="7C0D4C21">
      <w:pPr>
        <w:pStyle w:val="6"/>
        <w:rPr>
          <w:color w:val="000000" w:themeColor="text1"/>
          <w14:textFill>
            <w14:solidFill>
              <w14:schemeClr w14:val="tx1"/>
            </w14:solidFill>
          </w14:textFill>
        </w:rPr>
      </w:pPr>
      <w:bookmarkStart w:id="138" w:name="_Toc112694021"/>
      <w:bookmarkStart w:id="139" w:name="_Toc112693886"/>
      <w:bookmarkStart w:id="140" w:name="_Toc112692588"/>
      <w:r>
        <w:rPr>
          <w:color w:val="000000" w:themeColor="text1"/>
          <w14:textFill>
            <w14:solidFill>
              <w14:schemeClr w14:val="tx1"/>
            </w14:solidFill>
          </w14:textFill>
        </w:rPr>
        <w:t>现状存在问题分析</w:t>
      </w:r>
      <w:bookmarkEnd w:id="138"/>
      <w:bookmarkEnd w:id="139"/>
      <w:bookmarkEnd w:id="140"/>
    </w:p>
    <w:p w14:paraId="7F9BF0D2">
      <w:pPr>
        <w:pStyle w:val="52"/>
        <w:rPr>
          <w:color w:val="000000" w:themeColor="text1"/>
          <w14:textFill>
            <w14:solidFill>
              <w14:schemeClr w14:val="tx1"/>
            </w14:solidFill>
          </w14:textFill>
        </w:rPr>
      </w:pPr>
      <w:r>
        <w:rPr>
          <w:color w:val="000000" w:themeColor="text1"/>
          <w14:textFill>
            <w14:solidFill>
              <w14:schemeClr w14:val="tx1"/>
            </w14:solidFill>
          </w14:textFill>
        </w:rPr>
        <w:t>（1）镇区常住人口较少，生活污水排放量受季节性游客影响较大，潮汐现象突出。</w:t>
      </w:r>
    </w:p>
    <w:p w14:paraId="428547D0">
      <w:pPr>
        <w:pStyle w:val="52"/>
        <w:rPr>
          <w:color w:val="000000" w:themeColor="text1"/>
          <w14:textFill>
            <w14:solidFill>
              <w14:schemeClr w14:val="tx1"/>
            </w14:solidFill>
          </w14:textFill>
        </w:rPr>
      </w:pPr>
      <w:r>
        <w:rPr>
          <w:color w:val="000000" w:themeColor="text1"/>
          <w14:textFill>
            <w14:solidFill>
              <w14:schemeClr w14:val="tx1"/>
            </w14:solidFill>
          </w14:textFill>
        </w:rPr>
        <w:t>（</w:t>
      </w:r>
      <w:r>
        <w:rPr>
          <w:rFonts w:eastAsia="TimesNewRomanPSMT"/>
          <w:color w:val="000000" w:themeColor="text1"/>
          <w14:textFill>
            <w14:solidFill>
              <w14:schemeClr w14:val="tx1"/>
            </w14:solidFill>
          </w14:textFill>
        </w:rPr>
        <w:t>2</w:t>
      </w:r>
      <w:r>
        <w:rPr>
          <w:color w:val="000000" w:themeColor="text1"/>
          <w14:textFill>
            <w14:solidFill>
              <w14:schemeClr w14:val="tx1"/>
            </w14:solidFill>
          </w14:textFill>
        </w:rPr>
        <w:t>）户内污水未严格执行相关建筑规范进行分类收集。农村居民房多为自建房屋，户内黑水（厕所污水）、灰水（洗浴废水、洗涤废水、厨房废水）未分别收集，少部分居民未建设三格化粪池，生活污水直排污水管网，易造成管网堵塞。</w:t>
      </w:r>
    </w:p>
    <w:p w14:paraId="70A4BC3A">
      <w:pPr>
        <w:pStyle w:val="52"/>
        <w:rPr>
          <w:color w:val="000000" w:themeColor="text1"/>
          <w14:textFill>
            <w14:solidFill>
              <w14:schemeClr w14:val="tx1"/>
            </w14:solidFill>
          </w14:textFill>
        </w:rPr>
      </w:pPr>
      <w:r>
        <w:rPr>
          <w:color w:val="000000" w:themeColor="text1"/>
          <w14:textFill>
            <w14:solidFill>
              <w14:schemeClr w14:val="tx1"/>
            </w14:solidFill>
          </w14:textFill>
        </w:rPr>
        <w:t>（</w:t>
      </w:r>
      <w:r>
        <w:rPr>
          <w:rFonts w:eastAsia="TimesNewRomanPSMT"/>
          <w:color w:val="000000" w:themeColor="text1"/>
          <w14:textFill>
            <w14:solidFill>
              <w14:schemeClr w14:val="tx1"/>
            </w14:solidFill>
          </w14:textFill>
        </w:rPr>
        <w:t>3</w:t>
      </w:r>
      <w:r>
        <w:rPr>
          <w:color w:val="000000" w:themeColor="text1"/>
          <w14:textFill>
            <w14:solidFill>
              <w14:schemeClr w14:val="tx1"/>
            </w14:solidFill>
          </w14:textFill>
        </w:rPr>
        <w:t>）厂外污水管网建设时间久远，期间多次修复改造，污水管网材质不统一，且存在渗漏等问题。</w:t>
      </w:r>
    </w:p>
    <w:p w14:paraId="7EB6D1A9">
      <w:pPr>
        <w:pStyle w:val="52"/>
        <w:rPr>
          <w:color w:val="000000" w:themeColor="text1"/>
          <w14:textFill>
            <w14:solidFill>
              <w14:schemeClr w14:val="tx1"/>
            </w14:solidFill>
          </w14:textFill>
        </w:rPr>
      </w:pPr>
      <w:r>
        <w:rPr>
          <w:color w:val="000000" w:themeColor="text1"/>
          <w14:textFill>
            <w14:solidFill>
              <w14:schemeClr w14:val="tx1"/>
            </w14:solidFill>
          </w14:textFill>
        </w:rPr>
        <w:t>（</w:t>
      </w:r>
      <w:r>
        <w:rPr>
          <w:rFonts w:eastAsia="TimesNewRomanPSMT"/>
          <w:color w:val="000000" w:themeColor="text1"/>
          <w14:textFill>
            <w14:solidFill>
              <w14:schemeClr w14:val="tx1"/>
            </w14:solidFill>
          </w14:textFill>
        </w:rPr>
        <w:t>4</w:t>
      </w:r>
      <w:r>
        <w:rPr>
          <w:color w:val="000000" w:themeColor="text1"/>
          <w14:textFill>
            <w14:solidFill>
              <w14:schemeClr w14:val="tx1"/>
            </w14:solidFill>
          </w14:textFill>
        </w:rPr>
        <w:t>）少部分居民生活污水尚未完成纳管，存在生活污水直排现象。</w:t>
      </w:r>
    </w:p>
    <w:p w14:paraId="253279AC">
      <w:pPr>
        <w:pStyle w:val="6"/>
        <w:rPr>
          <w:color w:val="000000" w:themeColor="text1"/>
          <w14:textFill>
            <w14:solidFill>
              <w14:schemeClr w14:val="tx1"/>
            </w14:solidFill>
          </w14:textFill>
        </w:rPr>
      </w:pPr>
      <w:bookmarkStart w:id="141" w:name="_Toc112692589"/>
      <w:bookmarkStart w:id="142" w:name="_Toc112693887"/>
      <w:bookmarkStart w:id="143" w:name="_Toc112694022"/>
      <w:r>
        <w:rPr>
          <w:color w:val="000000" w:themeColor="text1"/>
          <w14:textFill>
            <w14:solidFill>
              <w14:schemeClr w14:val="tx1"/>
            </w14:solidFill>
          </w14:textFill>
        </w:rPr>
        <w:t>镇区管网提升改造建设思路</w:t>
      </w:r>
      <w:bookmarkEnd w:id="141"/>
      <w:bookmarkEnd w:id="142"/>
      <w:bookmarkEnd w:id="143"/>
    </w:p>
    <w:p w14:paraId="25D49550">
      <w:pPr>
        <w:pStyle w:val="52"/>
        <w:rPr>
          <w:color w:val="000000" w:themeColor="text1"/>
          <w14:textFill>
            <w14:solidFill>
              <w14:schemeClr w14:val="tx1"/>
            </w14:solidFill>
          </w14:textFill>
        </w:rPr>
      </w:pPr>
      <w:r>
        <w:rPr>
          <w:color w:val="000000" w:themeColor="text1"/>
          <w14:textFill>
            <w14:solidFill>
              <w14:schemeClr w14:val="tx1"/>
            </w14:solidFill>
          </w14:textFill>
        </w:rPr>
        <w:t>（1）对于已建有雨污分流管网及处理设施，且处理设施能正常运行的，利用现状污水管网及处理设施。仅对未收集的农户，新建或改造化粪池，化粪池出水及其它生活排水通过接户管排入现状污水管网。</w:t>
      </w:r>
    </w:p>
    <w:p w14:paraId="770E56C0">
      <w:pPr>
        <w:pStyle w:val="52"/>
        <w:rPr>
          <w:color w:val="000000" w:themeColor="text1"/>
          <w14:textFill>
            <w14:solidFill>
              <w14:schemeClr w14:val="tx1"/>
            </w14:solidFill>
          </w14:textFill>
        </w:rPr>
      </w:pPr>
      <w:r>
        <w:rPr>
          <w:color w:val="000000" w:themeColor="text1"/>
          <w14:textFill>
            <w14:solidFill>
              <w14:schemeClr w14:val="tx1"/>
            </w14:solidFill>
          </w14:textFill>
        </w:rPr>
        <w:t>（2）对现状污水管网进行排查，统一管网材质，实现雨污分流改造。</w:t>
      </w:r>
    </w:p>
    <w:p w14:paraId="6307E2AA">
      <w:pPr>
        <w:pStyle w:val="52"/>
        <w:rPr>
          <w:color w:val="000000" w:themeColor="text1"/>
          <w14:textFill>
            <w14:solidFill>
              <w14:schemeClr w14:val="tx1"/>
            </w14:solidFill>
          </w14:textFill>
        </w:rPr>
      </w:pPr>
      <w:r>
        <w:rPr>
          <w:color w:val="000000" w:themeColor="text1"/>
          <w14:textFill>
            <w14:solidFill>
              <w14:schemeClr w14:val="tx1"/>
            </w14:solidFill>
          </w14:textFill>
        </w:rPr>
        <w:t>（3）对于污水不易集中收集的分散农户，周边有足够的田地、山地的，新建三格化粪池后就地分散处理方式，尾水排入周边田地、山地等消纳利用，污物定期清掏处置。具体见图3.5-1。</w:t>
      </w:r>
    </w:p>
    <w:p w14:paraId="3B9C7A4C">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737860" cy="5474335"/>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0"/>
                    <a:stretch>
                      <a:fillRect/>
                    </a:stretch>
                  </pic:blipFill>
                  <pic:spPr>
                    <a:xfrm>
                      <a:off x="0" y="0"/>
                      <a:ext cx="5737860" cy="5474655"/>
                    </a:xfrm>
                    <a:prstGeom prst="rect">
                      <a:avLst/>
                    </a:prstGeom>
                    <a:noFill/>
                    <a:ln>
                      <a:noFill/>
                    </a:ln>
                  </pic:spPr>
                </pic:pic>
              </a:graphicData>
            </a:graphic>
          </wp:inline>
        </w:drawing>
      </w:r>
    </w:p>
    <w:p w14:paraId="6F03F493">
      <w:pPr>
        <w:pStyle w:val="442"/>
        <w:rPr>
          <w:color w:val="000000" w:themeColor="text1"/>
          <w14:textFill>
            <w14:solidFill>
              <w14:schemeClr w14:val="tx1"/>
            </w14:solidFill>
          </w14:textFill>
        </w:rPr>
        <w:sectPr>
          <w:pgSz w:w="11906" w:h="16838"/>
          <w:pgMar w:top="1701" w:right="1701" w:bottom="1701" w:left="1701" w:header="851" w:footer="992" w:gutter="0"/>
          <w:cols w:space="720" w:num="1"/>
          <w:docGrid w:type="linesAndChars" w:linePitch="312" w:charSpace="0"/>
        </w:sectPr>
      </w:pPr>
      <w:r>
        <w:rPr>
          <w:color w:val="000000" w:themeColor="text1"/>
          <w14:textFill>
            <w14:solidFill>
              <w14:schemeClr w14:val="tx1"/>
            </w14:solidFill>
          </w14:textFill>
        </w:rPr>
        <w:t>图3.5-1日溪乡镇区生活污水收集管网提升改造工程系统图</w:t>
      </w:r>
    </w:p>
    <w:p w14:paraId="639C24F5">
      <w:pPr>
        <w:pStyle w:val="442"/>
        <w:rPr>
          <w:color w:val="000000" w:themeColor="text1"/>
          <w14:textFill>
            <w14:solidFill>
              <w14:schemeClr w14:val="tx1"/>
            </w14:solidFill>
          </w14:textFill>
        </w:rPr>
      </w:pPr>
      <w:r>
        <w:rPr>
          <w:color w:val="000000" w:themeColor="text1"/>
          <w14:textFill>
            <w14:solidFill>
              <w14:schemeClr w14:val="tx1"/>
            </w14:solidFill>
          </w14:textFill>
        </w:rPr>
        <w:t>宦溪镇宦溪污水处理厂及部分村庄污水处理设施存在的问题</w:t>
      </w:r>
    </w:p>
    <w:tbl>
      <w:tblPr>
        <w:tblStyle w:val="97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64"/>
        <w:gridCol w:w="1093"/>
        <w:gridCol w:w="8662"/>
        <w:gridCol w:w="1405"/>
        <w:gridCol w:w="3046"/>
        <w:gridCol w:w="417"/>
        <w:gridCol w:w="2428"/>
        <w:gridCol w:w="2554"/>
      </w:tblGrid>
      <w:tr w14:paraId="3870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blHeader/>
          <w:jc w:val="center"/>
        </w:trPr>
        <w:tc>
          <w:tcPr>
            <w:tcW w:w="211" w:type="pct"/>
            <w:tcBorders>
              <w:top w:val="single" w:color="000000" w:sz="4" w:space="0"/>
            </w:tcBorders>
            <w:shd w:val="clear" w:color="auto" w:fill="auto"/>
            <w:vAlign w:val="center"/>
          </w:tcPr>
          <w:p w14:paraId="726D28C5">
            <w:pPr>
              <w:adjustRightInd w:val="0"/>
              <w:snapToGrid w:val="0"/>
              <w:jc w:val="center"/>
              <w:rPr>
                <w:rFonts w:ascii="Times New Roman" w:hAnsi="Times New Roman"/>
                <w:b/>
                <w:bCs/>
                <w:color w:val="000000" w:themeColor="text1"/>
                <w:kern w:val="0"/>
                <w14:textFill>
                  <w14:solidFill>
                    <w14:schemeClr w14:val="tx1"/>
                  </w14:solidFill>
                </w14:textFill>
              </w:rPr>
            </w:pPr>
            <w:r>
              <w:rPr>
                <w:rFonts w:ascii="Times New Roman" w:hAnsi="Times New Roman"/>
                <w:b/>
                <w:bCs/>
                <w:color w:val="000000" w:themeColor="text1"/>
                <w:kern w:val="0"/>
                <w14:textFill>
                  <w14:solidFill>
                    <w14:schemeClr w14:val="tx1"/>
                  </w14:solidFill>
                </w14:textFill>
              </w:rPr>
              <w:t>序号</w:t>
            </w:r>
          </w:p>
        </w:tc>
        <w:tc>
          <w:tcPr>
            <w:tcW w:w="267" w:type="pct"/>
            <w:tcBorders>
              <w:top w:val="single" w:color="000000" w:sz="4" w:space="0"/>
            </w:tcBorders>
            <w:shd w:val="clear" w:color="auto" w:fill="auto"/>
            <w:vAlign w:val="center"/>
          </w:tcPr>
          <w:p w14:paraId="16719313">
            <w:pPr>
              <w:adjustRightInd w:val="0"/>
              <w:snapToGrid w:val="0"/>
              <w:rPr>
                <w:rFonts w:ascii="Times New Roman" w:hAnsi="Times New Roman"/>
                <w:b/>
                <w:bCs/>
                <w:color w:val="000000" w:themeColor="text1"/>
                <w:kern w:val="0"/>
                <w14:textFill>
                  <w14:solidFill>
                    <w14:schemeClr w14:val="tx1"/>
                  </w14:solidFill>
                </w14:textFill>
              </w:rPr>
            </w:pPr>
            <w:r>
              <w:rPr>
                <w:rFonts w:ascii="Times New Roman" w:hAnsi="Times New Roman"/>
                <w:b/>
                <w:bCs/>
                <w:color w:val="000000" w:themeColor="text1"/>
                <w:kern w:val="0"/>
                <w14:textFill>
                  <w14:solidFill>
                    <w14:schemeClr w14:val="tx1"/>
                  </w14:solidFill>
                </w14:textFill>
              </w:rPr>
              <w:t>名称</w:t>
            </w:r>
          </w:p>
        </w:tc>
        <w:tc>
          <w:tcPr>
            <w:tcW w:w="2116" w:type="pct"/>
            <w:tcBorders>
              <w:top w:val="single" w:color="000000" w:sz="4" w:space="0"/>
            </w:tcBorders>
            <w:shd w:val="clear" w:color="auto" w:fill="auto"/>
            <w:vAlign w:val="center"/>
          </w:tcPr>
          <w:p w14:paraId="1BF351EA">
            <w:pPr>
              <w:adjustRightInd w:val="0"/>
              <w:snapToGrid w:val="0"/>
              <w:jc w:val="center"/>
              <w:rPr>
                <w:rFonts w:ascii="Times New Roman" w:hAnsi="Times New Roman"/>
                <w:b/>
                <w:bCs/>
                <w:color w:val="000000" w:themeColor="text1"/>
                <w:kern w:val="0"/>
                <w14:textFill>
                  <w14:solidFill>
                    <w14:schemeClr w14:val="tx1"/>
                  </w14:solidFill>
                </w14:textFill>
              </w:rPr>
            </w:pPr>
            <w:r>
              <w:rPr>
                <w:rFonts w:ascii="Times New Roman" w:hAnsi="Times New Roman"/>
                <w:b/>
                <w:bCs/>
                <w:color w:val="000000" w:themeColor="text1"/>
                <w:kern w:val="0"/>
                <w14:textFill>
                  <w14:solidFill>
                    <w14:schemeClr w14:val="tx1"/>
                  </w14:solidFill>
                </w14:textFill>
              </w:rPr>
              <w:t>存在问题</w:t>
            </w:r>
          </w:p>
        </w:tc>
        <w:tc>
          <w:tcPr>
            <w:tcW w:w="343" w:type="pct"/>
            <w:tcBorders>
              <w:top w:val="single" w:color="000000" w:sz="4" w:space="0"/>
            </w:tcBorders>
            <w:shd w:val="clear" w:color="auto" w:fill="auto"/>
            <w:vAlign w:val="center"/>
          </w:tcPr>
          <w:p w14:paraId="5EB840D0">
            <w:pPr>
              <w:adjustRightInd w:val="0"/>
              <w:snapToGrid w:val="0"/>
              <w:jc w:val="center"/>
              <w:rPr>
                <w:rFonts w:ascii="Times New Roman" w:hAnsi="Times New Roman"/>
                <w:b/>
                <w:bCs/>
                <w:color w:val="000000" w:themeColor="text1"/>
                <w:kern w:val="0"/>
                <w14:textFill>
                  <w14:solidFill>
                    <w14:schemeClr w14:val="tx1"/>
                  </w14:solidFill>
                </w14:textFill>
              </w:rPr>
            </w:pPr>
            <w:r>
              <w:rPr>
                <w:rFonts w:ascii="Times New Roman" w:hAnsi="Times New Roman"/>
                <w:b/>
                <w:bCs/>
                <w:color w:val="000000" w:themeColor="text1"/>
                <w:kern w:val="0"/>
                <w14:textFill>
                  <w14:solidFill>
                    <w14:schemeClr w14:val="tx1"/>
                  </w14:solidFill>
                </w14:textFill>
              </w:rPr>
              <w:t>定级</w:t>
            </w:r>
          </w:p>
        </w:tc>
        <w:tc>
          <w:tcPr>
            <w:tcW w:w="2063" w:type="pct"/>
            <w:gridSpan w:val="4"/>
            <w:tcBorders>
              <w:top w:val="single" w:color="000000" w:sz="4" w:space="0"/>
            </w:tcBorders>
            <w:shd w:val="clear" w:color="auto" w:fill="auto"/>
            <w:vAlign w:val="center"/>
          </w:tcPr>
          <w:p w14:paraId="5B917126">
            <w:pPr>
              <w:adjustRightInd w:val="0"/>
              <w:snapToGrid w:val="0"/>
              <w:jc w:val="center"/>
              <w:rPr>
                <w:rFonts w:ascii="Times New Roman" w:hAnsi="Times New Roman"/>
                <w:b/>
                <w:bCs/>
                <w:color w:val="000000" w:themeColor="text1"/>
                <w:kern w:val="0"/>
                <w14:textFill>
                  <w14:solidFill>
                    <w14:schemeClr w14:val="tx1"/>
                  </w14:solidFill>
                </w14:textFill>
              </w:rPr>
            </w:pPr>
            <w:r>
              <w:rPr>
                <w:rFonts w:ascii="Times New Roman" w:hAnsi="Times New Roman"/>
                <w:b/>
                <w:bCs/>
                <w:color w:val="000000" w:themeColor="text1"/>
                <w:kern w:val="0"/>
                <w14:textFill>
                  <w14:solidFill>
                    <w14:schemeClr w14:val="tx1"/>
                  </w14:solidFill>
                </w14:textFill>
              </w:rPr>
              <w:t>现场照片</w:t>
            </w:r>
          </w:p>
        </w:tc>
      </w:tr>
      <w:tr w14:paraId="145F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94" w:hRule="atLeast"/>
          <w:jc w:val="center"/>
        </w:trPr>
        <w:tc>
          <w:tcPr>
            <w:tcW w:w="211" w:type="pct"/>
            <w:vMerge w:val="restart"/>
            <w:tcBorders>
              <w:top w:val="single" w:color="000000" w:sz="4" w:space="0"/>
            </w:tcBorders>
            <w:vAlign w:val="center"/>
          </w:tcPr>
          <w:p w14:paraId="461CDBE9">
            <w:pPr>
              <w:overflowPunct w:val="0"/>
              <w:autoSpaceDE w:val="0"/>
              <w:autoSpaceDN w:val="0"/>
              <w:adjustRightInd w:val="0"/>
              <w:snapToGrid w:val="0"/>
              <w:textAlignment w:val="baseline"/>
              <w:rPr>
                <w:rFonts w:ascii="Times New Roman" w:hAnsi="Times New Roman"/>
                <w:b/>
                <w:bCs/>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t>1</w:t>
            </w:r>
          </w:p>
        </w:tc>
        <w:tc>
          <w:tcPr>
            <w:tcW w:w="267" w:type="pct"/>
            <w:vMerge w:val="restart"/>
            <w:tcBorders>
              <w:top w:val="single" w:color="000000" w:sz="4" w:space="0"/>
            </w:tcBorders>
            <w:vAlign w:val="center"/>
          </w:tcPr>
          <w:p w14:paraId="7239FF75">
            <w:pPr>
              <w:overflowPunct w:val="0"/>
              <w:autoSpaceDE w:val="0"/>
              <w:autoSpaceDN w:val="0"/>
              <w:adjustRightInd w:val="0"/>
              <w:snapToGrid w:val="0"/>
              <w:jc w:val="center"/>
              <w:textAlignment w:val="baseline"/>
              <w:rPr>
                <w:rFonts w:ascii="Times New Roman" w:hAnsi="Times New Roman"/>
                <w:b/>
                <w:bCs/>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t>宦溪镇污水处理厂</w:t>
            </w:r>
          </w:p>
        </w:tc>
        <w:tc>
          <w:tcPr>
            <w:tcW w:w="2116" w:type="pct"/>
            <w:vMerge w:val="restart"/>
            <w:tcBorders>
              <w:top w:val="single" w:color="000000" w:sz="4" w:space="0"/>
            </w:tcBorders>
            <w:vAlign w:val="center"/>
          </w:tcPr>
          <w:p w14:paraId="558E1720">
            <w:pPr>
              <w:overflowPunct w:val="0"/>
              <w:autoSpaceDE w:val="0"/>
              <w:autoSpaceDN w:val="0"/>
              <w:adjustRightInd w:val="0"/>
              <w:snapToGrid w:val="0"/>
              <w:textAlignment w:val="baseline"/>
              <w:rPr>
                <w:rFonts w:ascii="Times New Roman" w:hAnsi="Times New Roman"/>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t>1、鼓风机房噪音大；影响周边居民，7:00~20:00运行。</w:t>
            </w:r>
          </w:p>
          <w:p w14:paraId="72F4720C">
            <w:pPr>
              <w:overflowPunct w:val="0"/>
              <w:autoSpaceDE w:val="0"/>
              <w:autoSpaceDN w:val="0"/>
              <w:adjustRightInd w:val="0"/>
              <w:snapToGrid w:val="0"/>
              <w:textAlignment w:val="baseline"/>
              <w:rPr>
                <w:rFonts w:ascii="Times New Roman" w:hAnsi="Times New Roman"/>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t>2、斜板二沉部分斜板塌陷。</w:t>
            </w:r>
          </w:p>
          <w:p w14:paraId="7B18D598">
            <w:pPr>
              <w:overflowPunct w:val="0"/>
              <w:autoSpaceDE w:val="0"/>
              <w:autoSpaceDN w:val="0"/>
              <w:adjustRightInd w:val="0"/>
              <w:snapToGrid w:val="0"/>
              <w:textAlignment w:val="baseline"/>
              <w:rPr>
                <w:rFonts w:ascii="Times New Roman" w:hAnsi="Times New Roman"/>
                <w:b/>
                <w:bCs/>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t>3、进水浓度低、间歇运行等导致污泥量不足。</w:t>
            </w:r>
          </w:p>
        </w:tc>
        <w:tc>
          <w:tcPr>
            <w:tcW w:w="343" w:type="pct"/>
            <w:vMerge w:val="restart"/>
            <w:tcBorders>
              <w:top w:val="single" w:color="000000" w:sz="4" w:space="0"/>
            </w:tcBorders>
            <w:vAlign w:val="center"/>
          </w:tcPr>
          <w:p w14:paraId="7D82D3A4">
            <w:pPr>
              <w:overflowPunct w:val="0"/>
              <w:autoSpaceDE w:val="0"/>
              <w:autoSpaceDN w:val="0"/>
              <w:adjustRightInd w:val="0"/>
              <w:snapToGrid w:val="0"/>
              <w:jc w:val="center"/>
              <w:textAlignment w:val="baseline"/>
              <w:rPr>
                <w:rFonts w:ascii="Times New Roman" w:hAnsi="Times New Roman"/>
                <w:b/>
                <w:bCs/>
                <w:color w:val="000000" w:themeColor="text1"/>
                <w:sz w:val="28"/>
                <w:szCs w:val="28"/>
                <w14:textFill>
                  <w14:solidFill>
                    <w14:schemeClr w14:val="tx1"/>
                  </w14:solidFill>
                </w14:textFill>
              </w:rPr>
            </w:pPr>
            <w:r>
              <w:rPr>
                <w:rFonts w:ascii="Times New Roman" w:hAnsi="Times New Roman"/>
                <w:b/>
                <w:bCs/>
                <w:color w:val="000000" w:themeColor="text1"/>
                <w:szCs w:val="28"/>
                <w14:textFill>
                  <w14:solidFill>
                    <w14:schemeClr w14:val="tx1"/>
                  </w14:solidFill>
                </w14:textFill>
              </w:rPr>
              <w:t>A</w:t>
            </w:r>
          </w:p>
        </w:tc>
        <w:tc>
          <w:tcPr>
            <w:tcW w:w="744" w:type="pct"/>
            <w:tcBorders>
              <w:top w:val="single" w:color="000000" w:sz="4" w:space="0"/>
            </w:tcBorders>
            <w:vAlign w:val="center"/>
          </w:tcPr>
          <w:p w14:paraId="5050D559">
            <w:pPr>
              <w:overflowPunct w:val="0"/>
              <w:autoSpaceDE w:val="0"/>
              <w:autoSpaceDN w:val="0"/>
              <w:adjustRightInd w:val="0"/>
              <w:snapToGrid w:val="0"/>
              <w:jc w:val="center"/>
              <w:textAlignment w:val="baseline"/>
              <w:rPr>
                <w:rFonts w:ascii="Times New Roman" w:hAnsi="Times New Roman"/>
                <w:b/>
                <w:bCs/>
                <w:color w:val="000000" w:themeColor="text1"/>
                <w:kern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drawing>
                <wp:inline distT="0" distB="0" distL="0" distR="0">
                  <wp:extent cx="1665605" cy="1664335"/>
                  <wp:effectExtent l="0" t="0" r="0" b="0"/>
                  <wp:docPr id="92" name="图片 92" descr="cef98ce29b4da868cde161aa5b325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cef98ce29b4da868cde161aa5b325e5"/>
                          <pic:cNvPicPr>
                            <a:picLocks noChangeAspect="1"/>
                          </pic:cNvPicPr>
                        </pic:nvPicPr>
                        <pic:blipFill>
                          <a:blip r:embed="rId11" cstate="email">
                            <a:extLst>
                              <a:ext uri="{28A0092B-C50C-407E-A947-70E740481C1C}">
                                <a14:useLocalDpi xmlns:a14="http://schemas.microsoft.com/office/drawing/2010/main" val="0"/>
                              </a:ext>
                            </a:extLst>
                          </a:blip>
                          <a:stretch>
                            <a:fillRect/>
                          </a:stretch>
                        </pic:blipFill>
                        <pic:spPr>
                          <a:xfrm>
                            <a:off x="0" y="0"/>
                            <a:ext cx="1672532" cy="1671271"/>
                          </a:xfrm>
                          <a:prstGeom prst="rect">
                            <a:avLst/>
                          </a:prstGeom>
                        </pic:spPr>
                      </pic:pic>
                    </a:graphicData>
                  </a:graphic>
                </wp:inline>
              </w:drawing>
            </w:r>
          </w:p>
        </w:tc>
        <w:tc>
          <w:tcPr>
            <w:tcW w:w="695" w:type="pct"/>
            <w:gridSpan w:val="2"/>
            <w:tcBorders>
              <w:top w:val="single" w:color="000000" w:sz="4" w:space="0"/>
            </w:tcBorders>
            <w:vAlign w:val="center"/>
          </w:tcPr>
          <w:p w14:paraId="49572307">
            <w:pPr>
              <w:overflowPunct w:val="0"/>
              <w:autoSpaceDE w:val="0"/>
              <w:autoSpaceDN w:val="0"/>
              <w:adjustRightInd w:val="0"/>
              <w:snapToGrid w:val="0"/>
              <w:jc w:val="center"/>
              <w:textAlignment w:val="baseline"/>
              <w:rPr>
                <w:rFonts w:ascii="Times New Roman" w:hAnsi="Times New Roman"/>
                <w:b/>
                <w:bCs/>
                <w:color w:val="000000" w:themeColor="text1"/>
                <w:kern w:val="28"/>
                <w14:textFill>
                  <w14:solidFill>
                    <w14:schemeClr w14:val="tx1"/>
                  </w14:solidFill>
                </w14:textFill>
              </w:rPr>
            </w:pPr>
            <w:r>
              <w:rPr>
                <w:rFonts w:ascii="Times New Roman" w:hAnsi="Times New Roman"/>
                <w:b/>
                <w:bCs/>
                <w:color w:val="000000" w:themeColor="text1"/>
                <w:kern w:val="28"/>
                <w14:textFill>
                  <w14:solidFill>
                    <w14:schemeClr w14:val="tx1"/>
                  </w14:solidFill>
                </w14:textFill>
              </w:rPr>
              <w:drawing>
                <wp:inline distT="0" distB="0" distL="0" distR="0">
                  <wp:extent cx="1744345" cy="1677035"/>
                  <wp:effectExtent l="0" t="0" r="8255" b="0"/>
                  <wp:docPr id="94" name="图片 94" descr="C:\Users\lenovo\Documents\Tencent Files\562752899\FileRecv\IMG_20200605_164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C:\Users\lenovo\Documents\Tencent Files\562752899\FileRecv\IMG_20200605_164740.jpg"/>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a:xfrm>
                            <a:off x="0" y="0"/>
                            <a:ext cx="1748822" cy="1681245"/>
                          </a:xfrm>
                          <a:prstGeom prst="rect">
                            <a:avLst/>
                          </a:prstGeom>
                          <a:noFill/>
                          <a:ln>
                            <a:noFill/>
                          </a:ln>
                        </pic:spPr>
                      </pic:pic>
                    </a:graphicData>
                  </a:graphic>
                </wp:inline>
              </w:drawing>
            </w:r>
          </w:p>
        </w:tc>
        <w:tc>
          <w:tcPr>
            <w:tcW w:w="624" w:type="pct"/>
            <w:tcBorders>
              <w:top w:val="single" w:color="000000" w:sz="4" w:space="0"/>
            </w:tcBorders>
            <w:vAlign w:val="center"/>
          </w:tcPr>
          <w:p w14:paraId="587E7E5E">
            <w:pPr>
              <w:overflowPunct w:val="0"/>
              <w:autoSpaceDE w:val="0"/>
              <w:autoSpaceDN w:val="0"/>
              <w:adjustRightInd w:val="0"/>
              <w:snapToGrid w:val="0"/>
              <w:jc w:val="center"/>
              <w:textAlignment w:val="baseline"/>
              <w:rPr>
                <w:rFonts w:ascii="Times New Roman" w:hAnsi="Times New Roman"/>
                <w:b/>
                <w:bCs/>
                <w:color w:val="000000" w:themeColor="text1"/>
                <w:kern w:val="28"/>
                <w:sz w:val="22"/>
                <w:szCs w:val="24"/>
                <w14:textFill>
                  <w14:solidFill>
                    <w14:schemeClr w14:val="tx1"/>
                  </w14:solidFill>
                </w14:textFill>
              </w:rPr>
            </w:pPr>
            <w:r>
              <w:rPr>
                <w:rFonts w:ascii="Times New Roman" w:hAnsi="Times New Roman"/>
                <w:b/>
                <w:bCs/>
                <w:color w:val="000000" w:themeColor="text1"/>
                <w:kern w:val="28"/>
                <w:sz w:val="22"/>
                <w:szCs w:val="24"/>
                <w14:textFill>
                  <w14:solidFill>
                    <w14:schemeClr w14:val="tx1"/>
                  </w14:solidFill>
                </w14:textFill>
              </w:rPr>
              <w:drawing>
                <wp:inline distT="0" distB="0" distL="0" distR="0">
                  <wp:extent cx="1468755" cy="1644015"/>
                  <wp:effectExtent l="0" t="0" r="0" b="0"/>
                  <wp:docPr id="95" name="图片 95" descr="C:\Users\lenovo\Documents\Tencent Files\562752899\FileRecv\IMG_20200605_164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C:\Users\lenovo\Documents\Tencent Files\562752899\FileRecv\IMG_20200605_164752.jpg"/>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a:xfrm>
                            <a:off x="0" y="0"/>
                            <a:ext cx="1471265" cy="1646696"/>
                          </a:xfrm>
                          <a:prstGeom prst="rect">
                            <a:avLst/>
                          </a:prstGeom>
                          <a:noFill/>
                          <a:ln>
                            <a:noFill/>
                          </a:ln>
                        </pic:spPr>
                      </pic:pic>
                    </a:graphicData>
                  </a:graphic>
                </wp:inline>
              </w:drawing>
            </w:r>
          </w:p>
        </w:tc>
      </w:tr>
      <w:tr w14:paraId="25AE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 w:hRule="atLeast"/>
          <w:jc w:val="center"/>
        </w:trPr>
        <w:tc>
          <w:tcPr>
            <w:tcW w:w="211" w:type="pct"/>
            <w:vMerge w:val="continue"/>
            <w:vAlign w:val="center"/>
          </w:tcPr>
          <w:p w14:paraId="315913D1">
            <w:pPr>
              <w:overflowPunct w:val="0"/>
              <w:autoSpaceDE w:val="0"/>
              <w:autoSpaceDN w:val="0"/>
              <w:adjustRightInd w:val="0"/>
              <w:snapToGrid w:val="0"/>
              <w:textAlignment w:val="baseline"/>
              <w:rPr>
                <w:rFonts w:ascii="Times New Roman" w:hAnsi="Times New Roman"/>
                <w:color w:val="000000" w:themeColor="text1"/>
                <w:kern w:val="28"/>
                <w14:textFill>
                  <w14:solidFill>
                    <w14:schemeClr w14:val="tx1"/>
                  </w14:solidFill>
                </w14:textFill>
              </w:rPr>
            </w:pPr>
          </w:p>
        </w:tc>
        <w:tc>
          <w:tcPr>
            <w:tcW w:w="267" w:type="pct"/>
            <w:vMerge w:val="continue"/>
            <w:vAlign w:val="center"/>
          </w:tcPr>
          <w:p w14:paraId="0771A42A">
            <w:pPr>
              <w:overflowPunct w:val="0"/>
              <w:autoSpaceDE w:val="0"/>
              <w:autoSpaceDN w:val="0"/>
              <w:adjustRightInd w:val="0"/>
              <w:snapToGrid w:val="0"/>
              <w:jc w:val="center"/>
              <w:textAlignment w:val="baseline"/>
              <w:rPr>
                <w:rFonts w:ascii="Times New Roman" w:hAnsi="Times New Roman"/>
                <w:color w:val="000000" w:themeColor="text1"/>
                <w:kern w:val="28"/>
                <w14:textFill>
                  <w14:solidFill>
                    <w14:schemeClr w14:val="tx1"/>
                  </w14:solidFill>
                </w14:textFill>
              </w:rPr>
            </w:pPr>
          </w:p>
        </w:tc>
        <w:tc>
          <w:tcPr>
            <w:tcW w:w="2116" w:type="pct"/>
            <w:vMerge w:val="continue"/>
            <w:vAlign w:val="center"/>
          </w:tcPr>
          <w:p w14:paraId="2BE4D622">
            <w:pPr>
              <w:overflowPunct w:val="0"/>
              <w:autoSpaceDE w:val="0"/>
              <w:autoSpaceDN w:val="0"/>
              <w:adjustRightInd w:val="0"/>
              <w:snapToGrid w:val="0"/>
              <w:textAlignment w:val="baseline"/>
              <w:rPr>
                <w:rFonts w:ascii="Times New Roman" w:hAnsi="Times New Roman"/>
                <w:color w:val="000000" w:themeColor="text1"/>
                <w:kern w:val="28"/>
                <w14:textFill>
                  <w14:solidFill>
                    <w14:schemeClr w14:val="tx1"/>
                  </w14:solidFill>
                </w14:textFill>
              </w:rPr>
            </w:pPr>
          </w:p>
        </w:tc>
        <w:tc>
          <w:tcPr>
            <w:tcW w:w="343" w:type="pct"/>
            <w:vMerge w:val="continue"/>
            <w:vAlign w:val="center"/>
          </w:tcPr>
          <w:p w14:paraId="617A6BF7">
            <w:pPr>
              <w:overflowPunct w:val="0"/>
              <w:autoSpaceDE w:val="0"/>
              <w:autoSpaceDN w:val="0"/>
              <w:adjustRightInd w:val="0"/>
              <w:snapToGrid w:val="0"/>
              <w:jc w:val="center"/>
              <w:textAlignment w:val="baseline"/>
              <w:rPr>
                <w:rFonts w:ascii="Times New Roman" w:hAnsi="Times New Roman"/>
                <w:b/>
                <w:bCs/>
                <w:color w:val="000000" w:themeColor="text1"/>
                <w:szCs w:val="28"/>
                <w14:textFill>
                  <w14:solidFill>
                    <w14:schemeClr w14:val="tx1"/>
                  </w14:solidFill>
                </w14:textFill>
              </w:rPr>
            </w:pPr>
          </w:p>
        </w:tc>
        <w:tc>
          <w:tcPr>
            <w:tcW w:w="744" w:type="pct"/>
            <w:tcBorders>
              <w:top w:val="single" w:color="auto" w:sz="4" w:space="0"/>
            </w:tcBorders>
            <w:vAlign w:val="center"/>
          </w:tcPr>
          <w:p w14:paraId="7D890930">
            <w:pPr>
              <w:overflowPunct w:val="0"/>
              <w:autoSpaceDE w:val="0"/>
              <w:autoSpaceDN w:val="0"/>
              <w:adjustRightInd w:val="0"/>
              <w:snapToGrid w:val="0"/>
              <w:jc w:val="center"/>
              <w:textAlignment w:val="baseline"/>
              <w:rPr>
                <w:rFonts w:ascii="Times New Roman" w:hAnsi="Times New Roman"/>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t>进水浓度低、污泥量不足</w:t>
            </w:r>
          </w:p>
        </w:tc>
        <w:tc>
          <w:tcPr>
            <w:tcW w:w="695" w:type="pct"/>
            <w:gridSpan w:val="2"/>
            <w:tcBorders>
              <w:top w:val="single" w:color="auto" w:sz="4" w:space="0"/>
            </w:tcBorders>
            <w:vAlign w:val="center"/>
          </w:tcPr>
          <w:p w14:paraId="7E9936F2">
            <w:pPr>
              <w:overflowPunct w:val="0"/>
              <w:autoSpaceDE w:val="0"/>
              <w:autoSpaceDN w:val="0"/>
              <w:adjustRightInd w:val="0"/>
              <w:snapToGrid w:val="0"/>
              <w:jc w:val="center"/>
              <w:textAlignment w:val="baseline"/>
              <w:rPr>
                <w:rFonts w:ascii="Times New Roman" w:hAnsi="Times New Roman"/>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t>斜板二沉部分斜板塌陷</w:t>
            </w:r>
          </w:p>
        </w:tc>
        <w:tc>
          <w:tcPr>
            <w:tcW w:w="624" w:type="pct"/>
            <w:tcBorders>
              <w:top w:val="single" w:color="auto" w:sz="4" w:space="0"/>
            </w:tcBorders>
            <w:vAlign w:val="center"/>
          </w:tcPr>
          <w:p w14:paraId="24ECF5AE">
            <w:pPr>
              <w:overflowPunct w:val="0"/>
              <w:autoSpaceDE w:val="0"/>
              <w:autoSpaceDN w:val="0"/>
              <w:adjustRightInd w:val="0"/>
              <w:snapToGrid w:val="0"/>
              <w:jc w:val="center"/>
              <w:textAlignment w:val="baseline"/>
              <w:rPr>
                <w:rFonts w:ascii="Times New Roman" w:hAnsi="Times New Roman"/>
                <w:b/>
                <w:bCs/>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t>进水浓度低、污泥量不足</w:t>
            </w:r>
          </w:p>
        </w:tc>
      </w:tr>
      <w:tr w14:paraId="2A79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01" w:hRule="atLeast"/>
          <w:jc w:val="center"/>
        </w:trPr>
        <w:tc>
          <w:tcPr>
            <w:tcW w:w="211" w:type="pct"/>
            <w:vMerge w:val="restart"/>
            <w:tcBorders>
              <w:top w:val="single" w:color="000000" w:sz="4" w:space="0"/>
            </w:tcBorders>
            <w:vAlign w:val="center"/>
          </w:tcPr>
          <w:p w14:paraId="562AA060">
            <w:pPr>
              <w:adjustRightInd w:val="0"/>
              <w:snapToGrid w:val="0"/>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2</w:t>
            </w:r>
          </w:p>
        </w:tc>
        <w:tc>
          <w:tcPr>
            <w:tcW w:w="267" w:type="pct"/>
            <w:vMerge w:val="restart"/>
            <w:tcBorders>
              <w:top w:val="single" w:color="000000" w:sz="4" w:space="0"/>
            </w:tcBorders>
            <w:vAlign w:val="center"/>
          </w:tcPr>
          <w:p w14:paraId="35442830">
            <w:pPr>
              <w:adjustRightInd w:val="0"/>
              <w:snapToGrid w:val="0"/>
              <w:jc w:val="center"/>
              <w:rPr>
                <w:rFonts w:ascii="Times New Roman" w:hAnsi="Times New Roman"/>
                <w:b/>
                <w:bCs/>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宦溪污水处理厂配套管网</w:t>
            </w:r>
          </w:p>
        </w:tc>
        <w:tc>
          <w:tcPr>
            <w:tcW w:w="2116" w:type="pct"/>
            <w:vMerge w:val="restart"/>
            <w:tcBorders>
              <w:top w:val="single" w:color="000000" w:sz="4" w:space="0"/>
            </w:tcBorders>
            <w:vAlign w:val="center"/>
          </w:tcPr>
          <w:p w14:paraId="2477242E">
            <w:pPr>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林场内污水管道约7处断裂；</w:t>
            </w:r>
          </w:p>
          <w:p w14:paraId="2AE4837F">
            <w:pPr>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林场内检查井约10个破损、塌方；</w:t>
            </w:r>
          </w:p>
          <w:p w14:paraId="22B62809">
            <w:pPr>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污水厂前端约20米处管道被沙场填埋、覆盖，填埋距离约20米，或需新建一条管道；</w:t>
            </w:r>
          </w:p>
          <w:p w14:paraId="4C2ADF28">
            <w:pPr>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污水厂前端50米处检查井污水满井、溢流；</w:t>
            </w:r>
          </w:p>
          <w:p w14:paraId="190C2B5E">
            <w:pPr>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宦溪街街道北侧检查井被沥青、混凝土覆盖、无法打开；</w:t>
            </w:r>
          </w:p>
          <w:p w14:paraId="11436727">
            <w:pPr>
              <w:widowControl/>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管网长距离无检查井（宦溪街云上茶庄侧街道）；</w:t>
            </w:r>
          </w:p>
          <w:p w14:paraId="1FFAAD00">
            <w:pPr>
              <w:widowControl/>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宦溪中心小学后侧厨余垃圾未经过隔油池，直接纳入管网；</w:t>
            </w:r>
          </w:p>
          <w:p w14:paraId="7F221AD9">
            <w:pPr>
              <w:widowControl/>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门牌宦溪204号后侧检查井内垃圾、油渣、纸巾多、积淤厚；</w:t>
            </w:r>
          </w:p>
          <w:p w14:paraId="0529408A">
            <w:pPr>
              <w:widowControl/>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门牌号宦溪154号-宦溪172号后侧污水未接入污水管道，直排河道、沟渠；</w:t>
            </w:r>
          </w:p>
          <w:p w14:paraId="658C7DA3">
            <w:pPr>
              <w:adjustRightInd w:val="0"/>
              <w:snapToGrid w:val="0"/>
              <w:jc w:val="left"/>
              <w:rPr>
                <w:rFonts w:ascii="Times New Roman" w:hAnsi="Times New Roman"/>
                <w:b/>
                <w:bCs/>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（10）门牌号宦溪194号后侧污水未做三格式化粪池，污水直接纳入管网。</w:t>
            </w:r>
          </w:p>
        </w:tc>
        <w:tc>
          <w:tcPr>
            <w:tcW w:w="343" w:type="pct"/>
            <w:vMerge w:val="restart"/>
            <w:tcBorders>
              <w:top w:val="single" w:color="000000" w:sz="4" w:space="0"/>
            </w:tcBorders>
            <w:vAlign w:val="center"/>
          </w:tcPr>
          <w:p w14:paraId="3441746E">
            <w:pPr>
              <w:adjustRightInd w:val="0"/>
              <w:snapToGrid w:val="0"/>
              <w:jc w:val="cente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B</w:t>
            </w:r>
          </w:p>
        </w:tc>
        <w:tc>
          <w:tcPr>
            <w:tcW w:w="744" w:type="pct"/>
            <w:tcBorders>
              <w:top w:val="single" w:color="000000" w:sz="4" w:space="0"/>
              <w:bottom w:val="single" w:color="auto" w:sz="4" w:space="0"/>
            </w:tcBorders>
            <w:vAlign w:val="center"/>
          </w:tcPr>
          <w:p w14:paraId="78C97AF5">
            <w:pPr>
              <w:adjustRightInd w:val="0"/>
              <w:snapToGrid w:val="0"/>
              <w:jc w:val="center"/>
              <w:rPr>
                <w:rFonts w:ascii="Times New Roman" w:hAnsi="Times New Roman"/>
                <w:b/>
                <w:bCs/>
                <w:color w:val="000000" w:themeColor="text1"/>
                <w:kern w:val="0"/>
                <w14:textFill>
                  <w14:solidFill>
                    <w14:schemeClr w14:val="tx1"/>
                  </w14:solidFill>
                </w14:textFill>
              </w:rPr>
            </w:pPr>
            <w:r>
              <w:rPr>
                <w:rFonts w:ascii="Times New Roman" w:hAnsi="Times New Roman"/>
                <w:color w:val="000000" w:themeColor="text1"/>
                <w14:textFill>
                  <w14:solidFill>
                    <w14:schemeClr w14:val="tx1"/>
                  </w14:solidFill>
                </w14:textFill>
              </w:rPr>
              <w:drawing>
                <wp:inline distT="0" distB="0" distL="0" distR="0">
                  <wp:extent cx="1760855" cy="1533525"/>
                  <wp:effectExtent l="0" t="0" r="0" b="9525"/>
                  <wp:docPr id="287" name="图片 287" descr="2e274b56d2eacdb5036aeea0b74b0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descr="2e274b56d2eacdb5036aeea0b74b0cd"/>
                          <pic:cNvPicPr>
                            <a:picLocks noChangeAspect="1"/>
                          </pic:cNvPicPr>
                        </pic:nvPicPr>
                        <pic:blipFill>
                          <a:blip r:embed="rId14" cstate="email">
                            <a:extLst>
                              <a:ext uri="{28A0092B-C50C-407E-A947-70E740481C1C}">
                                <a14:useLocalDpi xmlns:a14="http://schemas.microsoft.com/office/drawing/2010/main" val="0"/>
                              </a:ext>
                            </a:extLst>
                          </a:blip>
                          <a:stretch>
                            <a:fillRect/>
                          </a:stretch>
                        </pic:blipFill>
                        <pic:spPr>
                          <a:xfrm>
                            <a:off x="0" y="0"/>
                            <a:ext cx="1760855" cy="1533525"/>
                          </a:xfrm>
                          <a:prstGeom prst="rect">
                            <a:avLst/>
                          </a:prstGeom>
                        </pic:spPr>
                      </pic:pic>
                    </a:graphicData>
                  </a:graphic>
                </wp:inline>
              </w:drawing>
            </w:r>
          </w:p>
        </w:tc>
        <w:tc>
          <w:tcPr>
            <w:tcW w:w="695" w:type="pct"/>
            <w:gridSpan w:val="2"/>
            <w:tcBorders>
              <w:top w:val="single" w:color="000000" w:sz="4" w:space="0"/>
              <w:bottom w:val="single" w:color="auto" w:sz="4" w:space="0"/>
            </w:tcBorders>
            <w:vAlign w:val="center"/>
          </w:tcPr>
          <w:p w14:paraId="736A052B">
            <w:pPr>
              <w:adjustRightInd w:val="0"/>
              <w:snapToGrid w:val="0"/>
              <w:jc w:val="center"/>
              <w:rPr>
                <w:rFonts w:ascii="Times New Roman" w:hAnsi="Times New Roman"/>
                <w:b/>
                <w:bCs/>
                <w:color w:val="000000" w:themeColor="text1"/>
                <w:kern w:val="0"/>
                <w14:textFill>
                  <w14:solidFill>
                    <w14:schemeClr w14:val="tx1"/>
                  </w14:solidFill>
                </w14:textFill>
              </w:rPr>
            </w:pPr>
            <w:r>
              <w:rPr>
                <w:rFonts w:ascii="Times New Roman" w:hAnsi="Times New Roman"/>
                <w:color w:val="000000" w:themeColor="text1"/>
                <w14:textFill>
                  <w14:solidFill>
                    <w14:schemeClr w14:val="tx1"/>
                  </w14:solidFill>
                </w14:textFill>
              </w:rPr>
              <w:drawing>
                <wp:inline distT="0" distB="0" distL="0" distR="0">
                  <wp:extent cx="1628775" cy="1543050"/>
                  <wp:effectExtent l="0" t="0" r="9525" b="0"/>
                  <wp:docPr id="288" name="图片 288" descr="2c7c7452def1b51fb4e1b66c8f38d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descr="2c7c7452def1b51fb4e1b66c8f38d84"/>
                          <pic:cNvPicPr>
                            <a:picLocks noChangeAspect="1"/>
                          </pic:cNvPicPr>
                        </pic:nvPicPr>
                        <pic:blipFill>
                          <a:blip r:embed="rId15" cstate="email">
                            <a:extLst>
                              <a:ext uri="{28A0092B-C50C-407E-A947-70E740481C1C}">
                                <a14:useLocalDpi xmlns:a14="http://schemas.microsoft.com/office/drawing/2010/main" val="0"/>
                              </a:ext>
                            </a:extLst>
                          </a:blip>
                          <a:stretch>
                            <a:fillRect/>
                          </a:stretch>
                        </pic:blipFill>
                        <pic:spPr>
                          <a:xfrm>
                            <a:off x="0" y="0"/>
                            <a:ext cx="1628775" cy="1543050"/>
                          </a:xfrm>
                          <a:prstGeom prst="rect">
                            <a:avLst/>
                          </a:prstGeom>
                        </pic:spPr>
                      </pic:pic>
                    </a:graphicData>
                  </a:graphic>
                </wp:inline>
              </w:drawing>
            </w:r>
          </w:p>
        </w:tc>
        <w:tc>
          <w:tcPr>
            <w:tcW w:w="624" w:type="pct"/>
            <w:tcBorders>
              <w:top w:val="single" w:color="000000" w:sz="4" w:space="0"/>
              <w:bottom w:val="single" w:color="auto" w:sz="4" w:space="0"/>
            </w:tcBorders>
            <w:vAlign w:val="center"/>
          </w:tcPr>
          <w:p w14:paraId="560BC61E">
            <w:pPr>
              <w:adjustRightInd w:val="0"/>
              <w:snapToGrid w:val="0"/>
              <w:jc w:val="center"/>
              <w:rPr>
                <w:rFonts w:ascii="Times New Roman" w:hAnsi="Times New Roman"/>
                <w:b/>
                <w:bCs/>
                <w:color w:val="000000" w:themeColor="text1"/>
                <w:kern w:val="0"/>
                <w14:textFill>
                  <w14:solidFill>
                    <w14:schemeClr w14:val="tx1"/>
                  </w14:solidFill>
                </w14:textFill>
              </w:rPr>
            </w:pPr>
            <w:r>
              <w:rPr>
                <w:rFonts w:ascii="Times New Roman" w:hAnsi="Times New Roman"/>
                <w:color w:val="000000" w:themeColor="text1"/>
                <w:kern w:val="28"/>
                <w14:textFill>
                  <w14:solidFill>
                    <w14:schemeClr w14:val="tx1"/>
                  </w14:solidFill>
                </w14:textFill>
              </w:rPr>
              <w:drawing>
                <wp:inline distT="0" distB="0" distL="0" distR="0">
                  <wp:extent cx="1536700" cy="1514475"/>
                  <wp:effectExtent l="0" t="0" r="6350" b="9525"/>
                  <wp:docPr id="289" name="图片 289" descr="c0613f895076a93b4b175d9bb33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descr="c0613f895076a93b4b175d9bb334821"/>
                          <pic:cNvPicPr>
                            <a:picLocks noChangeAspect="1"/>
                          </pic:cNvPicPr>
                        </pic:nvPicPr>
                        <pic:blipFill>
                          <a:blip r:embed="rId16" cstate="email">
                            <a:extLst>
                              <a:ext uri="{28A0092B-C50C-407E-A947-70E740481C1C}">
                                <a14:useLocalDpi xmlns:a14="http://schemas.microsoft.com/office/drawing/2010/main" val="0"/>
                              </a:ext>
                            </a:extLst>
                          </a:blip>
                          <a:stretch>
                            <a:fillRect/>
                          </a:stretch>
                        </pic:blipFill>
                        <pic:spPr>
                          <a:xfrm>
                            <a:off x="0" y="0"/>
                            <a:ext cx="1536700" cy="1514475"/>
                          </a:xfrm>
                          <a:prstGeom prst="rect">
                            <a:avLst/>
                          </a:prstGeom>
                        </pic:spPr>
                      </pic:pic>
                    </a:graphicData>
                  </a:graphic>
                </wp:inline>
              </w:drawing>
            </w:r>
          </w:p>
        </w:tc>
      </w:tr>
      <w:tr w14:paraId="4780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 w:hRule="atLeast"/>
          <w:jc w:val="center"/>
        </w:trPr>
        <w:tc>
          <w:tcPr>
            <w:tcW w:w="211" w:type="pct"/>
            <w:vMerge w:val="continue"/>
            <w:vAlign w:val="center"/>
          </w:tcPr>
          <w:p w14:paraId="6B25F7E1">
            <w:pPr>
              <w:adjustRightInd w:val="0"/>
              <w:snapToGrid w:val="0"/>
              <w:rPr>
                <w:rFonts w:ascii="Times New Roman" w:hAnsi="Times New Roman"/>
                <w:color w:val="000000" w:themeColor="text1"/>
                <w:kern w:val="0"/>
                <w14:textFill>
                  <w14:solidFill>
                    <w14:schemeClr w14:val="tx1"/>
                  </w14:solidFill>
                </w14:textFill>
              </w:rPr>
            </w:pPr>
          </w:p>
        </w:tc>
        <w:tc>
          <w:tcPr>
            <w:tcW w:w="267" w:type="pct"/>
            <w:vMerge w:val="continue"/>
            <w:vAlign w:val="center"/>
          </w:tcPr>
          <w:p w14:paraId="76DC67EF">
            <w:pPr>
              <w:adjustRightInd w:val="0"/>
              <w:snapToGrid w:val="0"/>
              <w:jc w:val="center"/>
              <w:rPr>
                <w:rFonts w:ascii="Times New Roman" w:hAnsi="Times New Roman"/>
                <w:color w:val="000000" w:themeColor="text1"/>
                <w:kern w:val="0"/>
                <w14:textFill>
                  <w14:solidFill>
                    <w14:schemeClr w14:val="tx1"/>
                  </w14:solidFill>
                </w14:textFill>
              </w:rPr>
            </w:pPr>
          </w:p>
        </w:tc>
        <w:tc>
          <w:tcPr>
            <w:tcW w:w="2116" w:type="pct"/>
            <w:vMerge w:val="continue"/>
            <w:vAlign w:val="center"/>
          </w:tcPr>
          <w:p w14:paraId="312CC3F1">
            <w:pPr>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p>
        </w:tc>
        <w:tc>
          <w:tcPr>
            <w:tcW w:w="343" w:type="pct"/>
            <w:vMerge w:val="continue"/>
            <w:vAlign w:val="center"/>
          </w:tcPr>
          <w:p w14:paraId="2BB57DF3">
            <w:pPr>
              <w:adjustRightInd w:val="0"/>
              <w:snapToGrid w:val="0"/>
              <w:jc w:val="center"/>
              <w:rPr>
                <w:rFonts w:ascii="Times New Roman" w:hAnsi="Times New Roman"/>
                <w:b/>
                <w:color w:val="000000" w:themeColor="text1"/>
                <w14:textFill>
                  <w14:solidFill>
                    <w14:schemeClr w14:val="tx1"/>
                  </w14:solidFill>
                </w14:textFill>
              </w:rPr>
            </w:pPr>
          </w:p>
        </w:tc>
        <w:tc>
          <w:tcPr>
            <w:tcW w:w="744" w:type="pct"/>
            <w:tcBorders>
              <w:top w:val="single" w:color="auto" w:sz="4" w:space="0"/>
              <w:bottom w:val="single" w:color="auto" w:sz="4" w:space="0"/>
            </w:tcBorders>
            <w:vAlign w:val="center"/>
          </w:tcPr>
          <w:p w14:paraId="6DCC08A9">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kern w:val="0"/>
                <w14:textFill>
                  <w14:solidFill>
                    <w14:schemeClr w14:val="tx1"/>
                  </w14:solidFill>
                </w14:textFill>
              </w:rPr>
              <w:t>检查井破损</w:t>
            </w:r>
          </w:p>
        </w:tc>
        <w:tc>
          <w:tcPr>
            <w:tcW w:w="695" w:type="pct"/>
            <w:gridSpan w:val="2"/>
            <w:tcBorders>
              <w:top w:val="single" w:color="auto" w:sz="4" w:space="0"/>
              <w:bottom w:val="single" w:color="auto" w:sz="4" w:space="0"/>
            </w:tcBorders>
            <w:vAlign w:val="center"/>
          </w:tcPr>
          <w:p w14:paraId="013E3CEA">
            <w:pPr>
              <w:adjustRightInd w:val="0"/>
              <w:snapToGrid w:val="0"/>
              <w:jc w:val="center"/>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检查井污水溢流</w:t>
            </w:r>
          </w:p>
        </w:tc>
        <w:tc>
          <w:tcPr>
            <w:tcW w:w="624" w:type="pct"/>
            <w:tcBorders>
              <w:top w:val="single" w:color="auto" w:sz="4" w:space="0"/>
              <w:bottom w:val="single" w:color="auto" w:sz="4" w:space="0"/>
            </w:tcBorders>
            <w:vAlign w:val="center"/>
          </w:tcPr>
          <w:p w14:paraId="757B2C90">
            <w:pPr>
              <w:adjustRightInd w:val="0"/>
              <w:snapToGrid w:val="0"/>
              <w:jc w:val="center"/>
              <w:rPr>
                <w:rFonts w:ascii="Times New Roman" w:hAnsi="Times New Roman"/>
                <w:b/>
                <w:bCs/>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检查井污水满井</w:t>
            </w:r>
          </w:p>
        </w:tc>
      </w:tr>
      <w:tr w14:paraId="5FBD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58" w:hRule="atLeast"/>
          <w:jc w:val="center"/>
        </w:trPr>
        <w:tc>
          <w:tcPr>
            <w:tcW w:w="211" w:type="pct"/>
            <w:vMerge w:val="continue"/>
            <w:vAlign w:val="center"/>
          </w:tcPr>
          <w:p w14:paraId="36650C64">
            <w:pPr>
              <w:adjustRightInd w:val="0"/>
              <w:snapToGrid w:val="0"/>
              <w:rPr>
                <w:rFonts w:ascii="Times New Roman" w:hAnsi="Times New Roman"/>
                <w:color w:val="000000" w:themeColor="text1"/>
                <w:kern w:val="0"/>
                <w14:textFill>
                  <w14:solidFill>
                    <w14:schemeClr w14:val="tx1"/>
                  </w14:solidFill>
                </w14:textFill>
              </w:rPr>
            </w:pPr>
          </w:p>
        </w:tc>
        <w:tc>
          <w:tcPr>
            <w:tcW w:w="267" w:type="pct"/>
            <w:vMerge w:val="continue"/>
            <w:vAlign w:val="center"/>
          </w:tcPr>
          <w:p w14:paraId="475EE570">
            <w:pPr>
              <w:adjustRightInd w:val="0"/>
              <w:snapToGrid w:val="0"/>
              <w:jc w:val="center"/>
              <w:rPr>
                <w:rFonts w:ascii="Times New Roman" w:hAnsi="Times New Roman"/>
                <w:color w:val="000000" w:themeColor="text1"/>
                <w:kern w:val="0"/>
                <w14:textFill>
                  <w14:solidFill>
                    <w14:schemeClr w14:val="tx1"/>
                  </w14:solidFill>
                </w14:textFill>
              </w:rPr>
            </w:pPr>
          </w:p>
        </w:tc>
        <w:tc>
          <w:tcPr>
            <w:tcW w:w="2116" w:type="pct"/>
            <w:vMerge w:val="continue"/>
            <w:vAlign w:val="center"/>
          </w:tcPr>
          <w:p w14:paraId="125F20DD">
            <w:pPr>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p>
        </w:tc>
        <w:tc>
          <w:tcPr>
            <w:tcW w:w="343" w:type="pct"/>
            <w:vMerge w:val="continue"/>
            <w:vAlign w:val="center"/>
          </w:tcPr>
          <w:p w14:paraId="5DF77A9B">
            <w:pPr>
              <w:adjustRightInd w:val="0"/>
              <w:snapToGrid w:val="0"/>
              <w:jc w:val="center"/>
              <w:rPr>
                <w:rFonts w:ascii="Times New Roman" w:hAnsi="Times New Roman"/>
                <w:b/>
                <w:color w:val="000000" w:themeColor="text1"/>
                <w14:textFill>
                  <w14:solidFill>
                    <w14:schemeClr w14:val="tx1"/>
                  </w14:solidFill>
                </w14:textFill>
              </w:rPr>
            </w:pPr>
          </w:p>
        </w:tc>
        <w:tc>
          <w:tcPr>
            <w:tcW w:w="744" w:type="pct"/>
            <w:tcBorders>
              <w:top w:val="single" w:color="auto" w:sz="4" w:space="0"/>
              <w:bottom w:val="single" w:color="auto" w:sz="4" w:space="0"/>
            </w:tcBorders>
            <w:vAlign w:val="center"/>
          </w:tcPr>
          <w:p w14:paraId="2BD34002">
            <w:pPr>
              <w:adjustRightInd w:val="0"/>
              <w:snapToGrid w:val="0"/>
              <w:jc w:val="center"/>
              <w:rPr>
                <w:rFonts w:ascii="Times New Roman" w:hAnsi="Times New Roman"/>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drawing>
                <wp:inline distT="0" distB="0" distL="0" distR="0">
                  <wp:extent cx="1722755" cy="1651000"/>
                  <wp:effectExtent l="0" t="0" r="0" b="6350"/>
                  <wp:docPr id="291" name="图片 291" descr="15ff36aaa99a3c8b116ddf0d824f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descr="15ff36aaa99a3c8b116ddf0d824f66b"/>
                          <pic:cNvPicPr>
                            <a:picLocks noChangeAspect="1"/>
                          </pic:cNvPicPr>
                        </pic:nvPicPr>
                        <pic:blipFill>
                          <a:blip r:embed="rId17" cstate="email">
                            <a:extLst>
                              <a:ext uri="{28A0092B-C50C-407E-A947-70E740481C1C}">
                                <a14:useLocalDpi xmlns:a14="http://schemas.microsoft.com/office/drawing/2010/main" val="0"/>
                              </a:ext>
                            </a:extLst>
                          </a:blip>
                          <a:stretch>
                            <a:fillRect/>
                          </a:stretch>
                        </pic:blipFill>
                        <pic:spPr>
                          <a:xfrm>
                            <a:off x="0" y="0"/>
                            <a:ext cx="1724282" cy="1652842"/>
                          </a:xfrm>
                          <a:prstGeom prst="rect">
                            <a:avLst/>
                          </a:prstGeom>
                        </pic:spPr>
                      </pic:pic>
                    </a:graphicData>
                  </a:graphic>
                </wp:inline>
              </w:drawing>
            </w:r>
          </w:p>
        </w:tc>
        <w:tc>
          <w:tcPr>
            <w:tcW w:w="695" w:type="pct"/>
            <w:gridSpan w:val="2"/>
            <w:tcBorders>
              <w:top w:val="single" w:color="auto" w:sz="4" w:space="0"/>
              <w:bottom w:val="single" w:color="auto" w:sz="4" w:space="0"/>
            </w:tcBorders>
            <w:vAlign w:val="center"/>
          </w:tcPr>
          <w:p w14:paraId="61B9AE71">
            <w:pPr>
              <w:adjustRightInd w:val="0"/>
              <w:snapToGrid w:val="0"/>
              <w:jc w:val="center"/>
              <w:rPr>
                <w:rFonts w:ascii="Times New Roman" w:hAnsi="Times New Roman"/>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drawing>
                <wp:inline distT="0" distB="0" distL="0" distR="0">
                  <wp:extent cx="1628775" cy="1651000"/>
                  <wp:effectExtent l="0" t="0" r="0" b="6350"/>
                  <wp:docPr id="290" name="图片 290" descr="dd947fbce4b5806dda083204b59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descr="dd947fbce4b5806dda083204b592234"/>
                          <pic:cNvPicPr>
                            <a:picLocks noChangeAspect="1"/>
                          </pic:cNvPicPr>
                        </pic:nvPicPr>
                        <pic:blipFill>
                          <a:blip r:embed="rId18" cstate="email">
                            <a:extLst>
                              <a:ext uri="{28A0092B-C50C-407E-A947-70E740481C1C}">
                                <a14:useLocalDpi xmlns:a14="http://schemas.microsoft.com/office/drawing/2010/main" val="0"/>
                              </a:ext>
                            </a:extLst>
                          </a:blip>
                          <a:stretch>
                            <a:fillRect/>
                          </a:stretch>
                        </pic:blipFill>
                        <pic:spPr>
                          <a:xfrm>
                            <a:off x="0" y="0"/>
                            <a:ext cx="1630153" cy="1652776"/>
                          </a:xfrm>
                          <a:prstGeom prst="rect">
                            <a:avLst/>
                          </a:prstGeom>
                          <a:noFill/>
                          <a:ln>
                            <a:noFill/>
                          </a:ln>
                        </pic:spPr>
                      </pic:pic>
                    </a:graphicData>
                  </a:graphic>
                </wp:inline>
              </w:drawing>
            </w:r>
          </w:p>
        </w:tc>
        <w:tc>
          <w:tcPr>
            <w:tcW w:w="624" w:type="pct"/>
            <w:tcBorders>
              <w:top w:val="single" w:color="auto" w:sz="4" w:space="0"/>
              <w:bottom w:val="single" w:color="auto" w:sz="4" w:space="0"/>
            </w:tcBorders>
            <w:vAlign w:val="center"/>
          </w:tcPr>
          <w:p w14:paraId="18A2C30B">
            <w:pPr>
              <w:adjustRightInd w:val="0"/>
              <w:snapToGrid w:val="0"/>
              <w:jc w:val="center"/>
              <w:rPr>
                <w:rFonts w:ascii="Times New Roman" w:hAnsi="Times New Roman"/>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drawing>
                <wp:inline distT="0" distB="0" distL="0" distR="0">
                  <wp:extent cx="1555750" cy="1678305"/>
                  <wp:effectExtent l="0" t="0" r="6350" b="0"/>
                  <wp:docPr id="292" name="图片 292" descr="3c0869bc4889d3153218a44e29db4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descr="3c0869bc4889d3153218a44e29db4c4"/>
                          <pic:cNvPicPr>
                            <a:picLocks noChangeAspect="1"/>
                          </pic:cNvPicPr>
                        </pic:nvPicPr>
                        <pic:blipFill>
                          <a:blip r:embed="rId19" cstate="email">
                            <a:extLst>
                              <a:ext uri="{28A0092B-C50C-407E-A947-70E740481C1C}">
                                <a14:useLocalDpi xmlns:a14="http://schemas.microsoft.com/office/drawing/2010/main" val="0"/>
                              </a:ext>
                            </a:extLst>
                          </a:blip>
                          <a:stretch>
                            <a:fillRect/>
                          </a:stretch>
                        </pic:blipFill>
                        <pic:spPr>
                          <a:xfrm>
                            <a:off x="0" y="0"/>
                            <a:ext cx="1555750" cy="1678305"/>
                          </a:xfrm>
                          <a:prstGeom prst="rect">
                            <a:avLst/>
                          </a:prstGeom>
                        </pic:spPr>
                      </pic:pic>
                    </a:graphicData>
                  </a:graphic>
                </wp:inline>
              </w:drawing>
            </w:r>
          </w:p>
        </w:tc>
      </w:tr>
      <w:tr w14:paraId="19E4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6" w:hRule="atLeast"/>
          <w:jc w:val="center"/>
        </w:trPr>
        <w:tc>
          <w:tcPr>
            <w:tcW w:w="211" w:type="pct"/>
            <w:vMerge w:val="continue"/>
            <w:tcBorders>
              <w:bottom w:val="single" w:color="000000" w:sz="4" w:space="0"/>
            </w:tcBorders>
            <w:vAlign w:val="center"/>
          </w:tcPr>
          <w:p w14:paraId="3388327F">
            <w:pPr>
              <w:adjustRightInd w:val="0"/>
              <w:snapToGrid w:val="0"/>
              <w:rPr>
                <w:rFonts w:ascii="Times New Roman" w:hAnsi="Times New Roman"/>
                <w:color w:val="000000" w:themeColor="text1"/>
                <w:kern w:val="0"/>
                <w14:textFill>
                  <w14:solidFill>
                    <w14:schemeClr w14:val="tx1"/>
                  </w14:solidFill>
                </w14:textFill>
              </w:rPr>
            </w:pPr>
          </w:p>
        </w:tc>
        <w:tc>
          <w:tcPr>
            <w:tcW w:w="267" w:type="pct"/>
            <w:vMerge w:val="continue"/>
            <w:tcBorders>
              <w:bottom w:val="single" w:color="000000" w:sz="4" w:space="0"/>
            </w:tcBorders>
            <w:vAlign w:val="center"/>
          </w:tcPr>
          <w:p w14:paraId="381F331D">
            <w:pPr>
              <w:adjustRightInd w:val="0"/>
              <w:snapToGrid w:val="0"/>
              <w:jc w:val="center"/>
              <w:rPr>
                <w:rFonts w:ascii="Times New Roman" w:hAnsi="Times New Roman"/>
                <w:color w:val="000000" w:themeColor="text1"/>
                <w:kern w:val="0"/>
                <w14:textFill>
                  <w14:solidFill>
                    <w14:schemeClr w14:val="tx1"/>
                  </w14:solidFill>
                </w14:textFill>
              </w:rPr>
            </w:pPr>
          </w:p>
        </w:tc>
        <w:tc>
          <w:tcPr>
            <w:tcW w:w="2116" w:type="pct"/>
            <w:vMerge w:val="continue"/>
            <w:tcBorders>
              <w:bottom w:val="single" w:color="000000" w:sz="4" w:space="0"/>
            </w:tcBorders>
            <w:vAlign w:val="center"/>
          </w:tcPr>
          <w:p w14:paraId="58B3C9B1">
            <w:pPr>
              <w:numPr>
                <w:ilvl w:val="0"/>
                <w:numId w:val="5"/>
              </w:numPr>
              <w:adjustRightInd w:val="0"/>
              <w:snapToGrid w:val="0"/>
              <w:jc w:val="left"/>
              <w:rPr>
                <w:rFonts w:ascii="Times New Roman" w:hAnsi="Times New Roman"/>
                <w:color w:val="000000" w:themeColor="text1"/>
                <w:kern w:val="0"/>
                <w14:textFill>
                  <w14:solidFill>
                    <w14:schemeClr w14:val="tx1"/>
                  </w14:solidFill>
                </w14:textFill>
              </w:rPr>
            </w:pPr>
          </w:p>
        </w:tc>
        <w:tc>
          <w:tcPr>
            <w:tcW w:w="343" w:type="pct"/>
            <w:vMerge w:val="continue"/>
            <w:tcBorders>
              <w:bottom w:val="single" w:color="000000" w:sz="4" w:space="0"/>
            </w:tcBorders>
            <w:vAlign w:val="center"/>
          </w:tcPr>
          <w:p w14:paraId="3E58B124">
            <w:pPr>
              <w:adjustRightInd w:val="0"/>
              <w:snapToGrid w:val="0"/>
              <w:jc w:val="center"/>
              <w:rPr>
                <w:rFonts w:ascii="Times New Roman" w:hAnsi="Times New Roman"/>
                <w:b/>
                <w:color w:val="000000" w:themeColor="text1"/>
                <w14:textFill>
                  <w14:solidFill>
                    <w14:schemeClr w14:val="tx1"/>
                  </w14:solidFill>
                </w14:textFill>
              </w:rPr>
            </w:pPr>
          </w:p>
        </w:tc>
        <w:tc>
          <w:tcPr>
            <w:tcW w:w="744" w:type="pct"/>
            <w:tcBorders>
              <w:top w:val="single" w:color="auto" w:sz="4" w:space="0"/>
              <w:bottom w:val="single" w:color="000000" w:sz="4" w:space="0"/>
            </w:tcBorders>
            <w:vAlign w:val="center"/>
          </w:tcPr>
          <w:p w14:paraId="0CF60CBF">
            <w:pPr>
              <w:adjustRightInd w:val="0"/>
              <w:snapToGrid w:val="0"/>
              <w:jc w:val="center"/>
              <w:rPr>
                <w:rFonts w:ascii="Times New Roman" w:hAnsi="Times New Roman"/>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t>未做三格式化粪池</w:t>
            </w:r>
          </w:p>
        </w:tc>
        <w:tc>
          <w:tcPr>
            <w:tcW w:w="695" w:type="pct"/>
            <w:gridSpan w:val="2"/>
            <w:tcBorders>
              <w:top w:val="single" w:color="auto" w:sz="4" w:space="0"/>
              <w:bottom w:val="single" w:color="000000" w:sz="4" w:space="0"/>
            </w:tcBorders>
            <w:vAlign w:val="center"/>
          </w:tcPr>
          <w:p w14:paraId="583FE191">
            <w:pPr>
              <w:adjustRightInd w:val="0"/>
              <w:snapToGrid w:val="0"/>
              <w:jc w:val="center"/>
              <w:rPr>
                <w:rFonts w:ascii="Times New Roman" w:hAnsi="Times New Roman"/>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t>未接入污水管道，直排河道</w:t>
            </w:r>
          </w:p>
        </w:tc>
        <w:tc>
          <w:tcPr>
            <w:tcW w:w="624" w:type="pct"/>
            <w:tcBorders>
              <w:top w:val="single" w:color="auto" w:sz="4" w:space="0"/>
              <w:bottom w:val="single" w:color="000000" w:sz="4" w:space="0"/>
            </w:tcBorders>
            <w:vAlign w:val="center"/>
          </w:tcPr>
          <w:p w14:paraId="72200D94">
            <w:pPr>
              <w:adjustRightInd w:val="0"/>
              <w:snapToGrid w:val="0"/>
              <w:jc w:val="center"/>
              <w:rPr>
                <w:rFonts w:ascii="Times New Roman" w:hAnsi="Times New Roman"/>
                <w:color w:val="000000" w:themeColor="text1"/>
                <w:kern w:val="28"/>
                <w14:textFill>
                  <w14:solidFill>
                    <w14:schemeClr w14:val="tx1"/>
                  </w14:solidFill>
                </w14:textFill>
              </w:rPr>
            </w:pPr>
            <w:r>
              <w:rPr>
                <w:rFonts w:ascii="Times New Roman" w:hAnsi="Times New Roman"/>
                <w:color w:val="000000" w:themeColor="text1"/>
                <w:kern w:val="28"/>
                <w14:textFill>
                  <w14:solidFill>
                    <w14:schemeClr w14:val="tx1"/>
                  </w14:solidFill>
                </w14:textFill>
              </w:rPr>
              <w:t>检查井被混凝土覆盖</w:t>
            </w:r>
          </w:p>
        </w:tc>
      </w:tr>
      <w:tr w14:paraId="4EDC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0" w:hRule="atLeast"/>
          <w:jc w:val="center"/>
        </w:trPr>
        <w:tc>
          <w:tcPr>
            <w:tcW w:w="211" w:type="pct"/>
            <w:vMerge w:val="restart"/>
            <w:tcBorders>
              <w:top w:val="single" w:color="000000" w:sz="4" w:space="0"/>
            </w:tcBorders>
            <w:vAlign w:val="center"/>
          </w:tcPr>
          <w:p w14:paraId="15B62705">
            <w:pPr>
              <w:adjustRightInd w:val="0"/>
              <w:snapToGrid w:val="0"/>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3</w:t>
            </w:r>
          </w:p>
        </w:tc>
        <w:tc>
          <w:tcPr>
            <w:tcW w:w="267" w:type="pct"/>
            <w:vMerge w:val="restart"/>
            <w:tcBorders>
              <w:top w:val="single" w:color="000000" w:sz="4" w:space="0"/>
            </w:tcBorders>
            <w:vAlign w:val="center"/>
          </w:tcPr>
          <w:p w14:paraId="0F4171B6">
            <w:pPr>
              <w:adjustRightInd w:val="0"/>
              <w:snapToGrid w:val="0"/>
              <w:jc w:val="center"/>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寿山乡岭头污水处理厂配套管网</w:t>
            </w:r>
          </w:p>
        </w:tc>
        <w:tc>
          <w:tcPr>
            <w:tcW w:w="2116" w:type="pct"/>
            <w:vMerge w:val="restart"/>
            <w:tcBorders>
              <w:top w:val="single" w:color="000000" w:sz="4" w:space="0"/>
            </w:tcBorders>
            <w:vAlign w:val="center"/>
          </w:tcPr>
          <w:p w14:paraId="13D19E35">
            <w:pPr>
              <w:widowControl/>
              <w:adjustRightInd w:val="0"/>
              <w:snapToGrid w:val="0"/>
              <w:jc w:val="left"/>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1）由于居民污水排放附带杂物，油脂沉积，未及时进行清掏等原因，现有污水管网存在堵塞，溢流等问题。需要加强平时的管理维护工作，并大力宣传，提高居民相关意识，不将污水外的杂物倒入管网中。另外现有管井存在破损的现象，需进行维修。</w:t>
            </w:r>
          </w:p>
          <w:p w14:paraId="79FA081C">
            <w:pPr>
              <w:widowControl/>
              <w:adjustRightInd w:val="0"/>
              <w:snapToGrid w:val="0"/>
              <w:jc w:val="left"/>
              <w:rPr>
                <w:rFonts w:ascii="Times New Roman" w:hAnsi="Times New Roman"/>
                <w:color w:val="000000" w:themeColor="text1"/>
                <w:kern w:val="0"/>
                <w14:textFill>
                  <w14:solidFill>
                    <w14:schemeClr w14:val="tx1"/>
                  </w14:solidFill>
                </w14:textFill>
              </w:rPr>
            </w:pPr>
            <w:r>
              <w:rPr>
                <w:rFonts w:ascii="Times New Roman" w:hAnsi="Times New Roman"/>
                <w:color w:val="000000" w:themeColor="text1"/>
                <w:kern w:val="0"/>
                <w14:textFill>
                  <w14:solidFill>
                    <w14:schemeClr w14:val="tx1"/>
                  </w14:solidFill>
                </w14:textFill>
              </w:rPr>
              <w:t>（2）由于前期建设资金原因，北峰中学北侧部分管网未进行实际建设，导致部分居民生活污水无法正常纳入污水水处理设施进行处理。</w:t>
            </w:r>
          </w:p>
        </w:tc>
        <w:tc>
          <w:tcPr>
            <w:tcW w:w="343" w:type="pct"/>
            <w:vMerge w:val="restart"/>
            <w:tcBorders>
              <w:top w:val="single" w:color="000000" w:sz="4" w:space="0"/>
            </w:tcBorders>
            <w:vAlign w:val="center"/>
          </w:tcPr>
          <w:p w14:paraId="25743276">
            <w:pPr>
              <w:adjustRightInd w:val="0"/>
              <w:snapToGrid w:val="0"/>
              <w:jc w:val="center"/>
              <w:rPr>
                <w:rFonts w:ascii="Times New Roman" w:hAnsi="Times New Roman"/>
                <w:color w:val="000000" w:themeColor="text1"/>
                <w14:textFill>
                  <w14:solidFill>
                    <w14:schemeClr w14:val="tx1"/>
                  </w14:solidFill>
                </w14:textFill>
              </w:rPr>
            </w:pPr>
          </w:p>
        </w:tc>
        <w:tc>
          <w:tcPr>
            <w:tcW w:w="846" w:type="pct"/>
            <w:gridSpan w:val="2"/>
            <w:tcBorders>
              <w:top w:val="single" w:color="000000" w:sz="4" w:space="0"/>
              <w:bottom w:val="single" w:color="auto" w:sz="4" w:space="0"/>
            </w:tcBorders>
            <w:vAlign w:val="center"/>
          </w:tcPr>
          <w:p w14:paraId="767AE36C">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drawing>
                <wp:inline distT="0" distB="0" distL="0" distR="0">
                  <wp:extent cx="1801495" cy="2222500"/>
                  <wp:effectExtent l="0" t="0" r="8255"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0"/>
                          <a:stretch>
                            <a:fillRect/>
                          </a:stretch>
                        </pic:blipFill>
                        <pic:spPr>
                          <a:xfrm>
                            <a:off x="0" y="0"/>
                            <a:ext cx="1813404" cy="2237171"/>
                          </a:xfrm>
                          <a:prstGeom prst="rect">
                            <a:avLst/>
                          </a:prstGeom>
                          <a:noFill/>
                          <a:ln>
                            <a:noFill/>
                          </a:ln>
                        </pic:spPr>
                      </pic:pic>
                    </a:graphicData>
                  </a:graphic>
                </wp:inline>
              </w:drawing>
            </w:r>
          </w:p>
        </w:tc>
        <w:tc>
          <w:tcPr>
            <w:tcW w:w="1217" w:type="pct"/>
            <w:gridSpan w:val="2"/>
            <w:tcBorders>
              <w:top w:val="single" w:color="000000" w:sz="4" w:space="0"/>
              <w:bottom w:val="single" w:color="auto" w:sz="4" w:space="0"/>
            </w:tcBorders>
            <w:vAlign w:val="center"/>
          </w:tcPr>
          <w:p w14:paraId="4ED5B1F3">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drawing>
                <wp:inline distT="0" distB="0" distL="0" distR="0">
                  <wp:extent cx="2959735" cy="2205990"/>
                  <wp:effectExtent l="0" t="0" r="0" b="381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1"/>
                          <a:stretch>
                            <a:fillRect/>
                          </a:stretch>
                        </pic:blipFill>
                        <pic:spPr>
                          <a:xfrm>
                            <a:off x="0" y="0"/>
                            <a:ext cx="2959735" cy="2205990"/>
                          </a:xfrm>
                          <a:prstGeom prst="rect">
                            <a:avLst/>
                          </a:prstGeom>
                          <a:noFill/>
                          <a:ln>
                            <a:noFill/>
                          </a:ln>
                        </pic:spPr>
                      </pic:pic>
                    </a:graphicData>
                  </a:graphic>
                </wp:inline>
              </w:drawing>
            </w:r>
          </w:p>
        </w:tc>
      </w:tr>
      <w:tr w14:paraId="5DF5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0" w:hRule="atLeast"/>
          <w:jc w:val="center"/>
        </w:trPr>
        <w:tc>
          <w:tcPr>
            <w:tcW w:w="211" w:type="pct"/>
            <w:vMerge w:val="continue"/>
            <w:vAlign w:val="center"/>
          </w:tcPr>
          <w:p w14:paraId="36FCB48B">
            <w:pPr>
              <w:adjustRightInd w:val="0"/>
              <w:snapToGrid w:val="0"/>
              <w:rPr>
                <w:rFonts w:ascii="Times New Roman" w:hAnsi="Times New Roman"/>
                <w:color w:val="000000" w:themeColor="text1"/>
                <w:kern w:val="0"/>
                <w14:textFill>
                  <w14:solidFill>
                    <w14:schemeClr w14:val="tx1"/>
                  </w14:solidFill>
                </w14:textFill>
              </w:rPr>
            </w:pPr>
          </w:p>
        </w:tc>
        <w:tc>
          <w:tcPr>
            <w:tcW w:w="267" w:type="pct"/>
            <w:vMerge w:val="continue"/>
            <w:vAlign w:val="center"/>
          </w:tcPr>
          <w:p w14:paraId="155CEDDD">
            <w:pPr>
              <w:adjustRightInd w:val="0"/>
              <w:snapToGrid w:val="0"/>
              <w:jc w:val="center"/>
              <w:rPr>
                <w:rFonts w:ascii="Times New Roman" w:hAnsi="Times New Roman"/>
                <w:color w:val="000000" w:themeColor="text1"/>
                <w:kern w:val="0"/>
                <w14:textFill>
                  <w14:solidFill>
                    <w14:schemeClr w14:val="tx1"/>
                  </w14:solidFill>
                </w14:textFill>
              </w:rPr>
            </w:pPr>
          </w:p>
        </w:tc>
        <w:tc>
          <w:tcPr>
            <w:tcW w:w="2116" w:type="pct"/>
            <w:vMerge w:val="continue"/>
            <w:vAlign w:val="center"/>
          </w:tcPr>
          <w:p w14:paraId="3162BA7B">
            <w:pPr>
              <w:widowControl/>
              <w:adjustRightInd w:val="0"/>
              <w:snapToGrid w:val="0"/>
              <w:jc w:val="left"/>
              <w:rPr>
                <w:rFonts w:ascii="Times New Roman" w:hAnsi="Times New Roman"/>
                <w:color w:val="000000" w:themeColor="text1"/>
                <w:kern w:val="0"/>
                <w14:textFill>
                  <w14:solidFill>
                    <w14:schemeClr w14:val="tx1"/>
                  </w14:solidFill>
                </w14:textFill>
              </w:rPr>
            </w:pPr>
          </w:p>
        </w:tc>
        <w:tc>
          <w:tcPr>
            <w:tcW w:w="343" w:type="pct"/>
            <w:vMerge w:val="continue"/>
            <w:vAlign w:val="center"/>
          </w:tcPr>
          <w:p w14:paraId="7B6D4FAC">
            <w:pPr>
              <w:adjustRightInd w:val="0"/>
              <w:snapToGrid w:val="0"/>
              <w:jc w:val="center"/>
              <w:rPr>
                <w:rFonts w:ascii="Times New Roman" w:hAnsi="Times New Roman"/>
                <w:color w:val="000000" w:themeColor="text1"/>
                <w14:textFill>
                  <w14:solidFill>
                    <w14:schemeClr w14:val="tx1"/>
                  </w14:solidFill>
                </w14:textFill>
              </w:rPr>
            </w:pPr>
          </w:p>
        </w:tc>
        <w:tc>
          <w:tcPr>
            <w:tcW w:w="2063" w:type="pct"/>
            <w:gridSpan w:val="4"/>
            <w:tcBorders>
              <w:top w:val="single" w:color="auto" w:sz="4" w:space="0"/>
            </w:tcBorders>
            <w:vAlign w:val="center"/>
          </w:tcPr>
          <w:p w14:paraId="615308F8">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北峰中学北侧部分管网未进行实际建设，部分生活污水无法纳入污水水处理设施处理</w:t>
            </w:r>
          </w:p>
        </w:tc>
      </w:tr>
    </w:tbl>
    <w:p w14:paraId="4B342AF7">
      <w:pPr>
        <w:pStyle w:val="442"/>
        <w:rPr>
          <w:color w:val="000000" w:themeColor="text1"/>
          <w14:textFill>
            <w14:solidFill>
              <w14:schemeClr w14:val="tx1"/>
            </w14:solidFill>
          </w14:textFill>
        </w:rPr>
        <w:sectPr>
          <w:pgSz w:w="23814" w:h="16839" w:orient="landscape"/>
          <w:pgMar w:top="1701" w:right="1701" w:bottom="1701" w:left="1701" w:header="851" w:footer="992" w:gutter="0"/>
          <w:cols w:space="720" w:num="1"/>
          <w:docGrid w:type="linesAndChars" w:linePitch="312" w:charSpace="0"/>
        </w:sectPr>
      </w:pPr>
    </w:p>
    <w:p w14:paraId="73595D54">
      <w:pPr>
        <w:pStyle w:val="4"/>
        <w:rPr>
          <w:rFonts w:ascii="Times New Roman" w:hAnsi="Times New Roman" w:eastAsiaTheme="minorEastAsia"/>
          <w:color w:val="000000" w:themeColor="text1"/>
          <w:sz w:val="32"/>
          <w14:textFill>
            <w14:solidFill>
              <w14:schemeClr w14:val="tx1"/>
            </w14:solidFill>
          </w14:textFill>
        </w:rPr>
      </w:pPr>
      <w:bookmarkStart w:id="144" w:name="_Toc112693888"/>
      <w:bookmarkStart w:id="145" w:name="_Toc112694023"/>
      <w:bookmarkStart w:id="146" w:name="_Toc112861034"/>
      <w:r>
        <w:rPr>
          <w:rFonts w:hint="eastAsia" w:ascii="宋体" w:hAnsi="宋体" w:eastAsia="宋体" w:cs="宋体"/>
          <w:color w:val="000000" w:themeColor="text1"/>
          <w:sz w:val="32"/>
          <w14:textFill>
            <w14:solidFill>
              <w14:schemeClr w14:val="tx1"/>
            </w14:solidFill>
          </w14:textFill>
        </w:rPr>
        <w:t>北峰山区乡镇生活污水处理设施出水水质达标情况调查</w:t>
      </w:r>
      <w:bookmarkEnd w:id="144"/>
      <w:bookmarkEnd w:id="145"/>
      <w:bookmarkEnd w:id="146"/>
    </w:p>
    <w:p w14:paraId="4B9B29D6">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根据现场调查以及收集资料分析，结果表明，晋安区宦溪镇、寿山乡、日溪乡集镇污水处理厂出水水质均达到所设计允许排放标准。</w:t>
      </w:r>
    </w:p>
    <w:p w14:paraId="004CC755">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晋安区北峰山区乡镇生活污水处理工程PPP项目新建污水处理设施出水基本达到合同约定排放标准。江南竹村因村庄内三格化粪池建设缺失，导致粪便废水直排进入管网，站点进水水质总氮、总磷、氨氮超出设计标准，使污水处理站运行不稳定，从而导则出水不稳定。</w:t>
      </w:r>
    </w:p>
    <w:p w14:paraId="552024E7">
      <w:pPr>
        <w:pStyle w:val="52"/>
        <w:adjustRightInd w:val="0"/>
        <w:snapToGrid w:val="0"/>
        <w:rPr>
          <w:color w:val="000000" w:themeColor="text1"/>
          <w14:textFill>
            <w14:solidFill>
              <w14:schemeClr w14:val="tx1"/>
            </w14:solidFill>
          </w14:textFill>
        </w:rPr>
        <w:sectPr>
          <w:pgSz w:w="11906" w:h="16838"/>
          <w:pgMar w:top="1701" w:right="1701" w:bottom="1701" w:left="1701" w:header="851" w:footer="992" w:gutter="0"/>
          <w:cols w:space="720" w:num="1"/>
          <w:docGrid w:type="linesAndChars" w:linePitch="312" w:charSpace="0"/>
        </w:sectPr>
      </w:pPr>
      <w:r>
        <w:rPr>
          <w:color w:val="000000" w:themeColor="text1"/>
          <w14:textFill>
            <w14:solidFill>
              <w14:schemeClr w14:val="tx1"/>
            </w14:solidFill>
          </w14:textFill>
        </w:rPr>
        <w:t>其余由福建北峰海峡环保科技有限公司运营维护的污水处理站点，由于接收时存在较多问题，运行极不稳定，甚至部分未有运行，污水处理设施和纳污管网系统需要进一步整改和修复后方能稳定运行。</w:t>
      </w:r>
    </w:p>
    <w:p w14:paraId="3517D907">
      <w:pPr>
        <w:pStyle w:val="442"/>
        <w:rPr>
          <w:color w:val="000000" w:themeColor="text1"/>
          <w14:textFill>
            <w14:solidFill>
              <w14:schemeClr w14:val="tx1"/>
            </w14:solidFill>
          </w14:textFill>
        </w:rPr>
      </w:pPr>
      <w:r>
        <w:rPr>
          <w:color w:val="000000" w:themeColor="text1"/>
          <w14:textFill>
            <w14:solidFill>
              <w14:schemeClr w14:val="tx1"/>
            </w14:solidFill>
          </w14:textFill>
        </w:rPr>
        <w:t>表4.6-1各乡镇污水处理设施进出水水质情况</w:t>
      </w:r>
    </w:p>
    <w:tbl>
      <w:tblPr>
        <w:tblStyle w:val="55"/>
        <w:tblW w:w="5000" w:type="pct"/>
        <w:jc w:val="center"/>
        <w:tblLayout w:type="fixed"/>
        <w:tblCellMar>
          <w:top w:w="0" w:type="dxa"/>
          <w:left w:w="108" w:type="dxa"/>
          <w:bottom w:w="0" w:type="dxa"/>
          <w:right w:w="108" w:type="dxa"/>
        </w:tblCellMar>
      </w:tblPr>
      <w:tblGrid>
        <w:gridCol w:w="1853"/>
        <w:gridCol w:w="1391"/>
        <w:gridCol w:w="1522"/>
        <w:gridCol w:w="1487"/>
        <w:gridCol w:w="1487"/>
        <w:gridCol w:w="1487"/>
        <w:gridCol w:w="1619"/>
        <w:gridCol w:w="1513"/>
        <w:gridCol w:w="1294"/>
      </w:tblGrid>
      <w:tr w14:paraId="22E892C2">
        <w:tblPrEx>
          <w:tblCellMar>
            <w:top w:w="0" w:type="dxa"/>
            <w:left w:w="108" w:type="dxa"/>
            <w:bottom w:w="0" w:type="dxa"/>
            <w:right w:w="108" w:type="dxa"/>
          </w:tblCellMar>
        </w:tblPrEx>
        <w:trPr>
          <w:trHeight w:val="510" w:hRule="atLeast"/>
          <w:tblHeader/>
          <w:jc w:val="center"/>
        </w:trPr>
        <w:tc>
          <w:tcPr>
            <w:tcW w:w="677" w:type="pct"/>
            <w:vMerge w:val="restart"/>
            <w:tcBorders>
              <w:top w:val="single" w:color="auto" w:sz="4" w:space="0"/>
              <w:left w:val="single" w:color="auto" w:sz="4" w:space="0"/>
              <w:right w:val="single" w:color="auto" w:sz="4" w:space="0"/>
            </w:tcBorders>
            <w:shd w:val="clear" w:color="auto" w:fill="auto"/>
            <w:noWrap/>
            <w:vAlign w:val="center"/>
          </w:tcPr>
          <w:p w14:paraId="5BB12100">
            <w:pPr>
              <w:pStyle w:val="476"/>
              <w:rPr>
                <w:b/>
                <w:color w:val="000000" w:themeColor="text1"/>
                <w14:textFill>
                  <w14:solidFill>
                    <w14:schemeClr w14:val="tx1"/>
                  </w14:solidFill>
                </w14:textFill>
              </w:rPr>
            </w:pPr>
            <w:r>
              <w:rPr>
                <w:b/>
                <w:color w:val="000000" w:themeColor="text1"/>
                <w14:textFill>
                  <w14:solidFill>
                    <w14:schemeClr w14:val="tx1"/>
                  </w14:solidFill>
                </w14:textFill>
              </w:rPr>
              <w:t>乡镇污水处理设施</w:t>
            </w:r>
          </w:p>
        </w:tc>
        <w:tc>
          <w:tcPr>
            <w:tcW w:w="509" w:type="pct"/>
            <w:tcBorders>
              <w:top w:val="single" w:color="auto" w:sz="4" w:space="0"/>
              <w:left w:val="nil"/>
              <w:bottom w:val="single" w:color="auto" w:sz="4" w:space="0"/>
              <w:right w:val="single" w:color="auto" w:sz="4" w:space="0"/>
            </w:tcBorders>
            <w:shd w:val="clear" w:color="auto" w:fill="auto"/>
            <w:noWrap/>
            <w:vAlign w:val="center"/>
          </w:tcPr>
          <w:p w14:paraId="7D2906AD">
            <w:pPr>
              <w:pStyle w:val="476"/>
              <w:rPr>
                <w:b/>
                <w:color w:val="000000" w:themeColor="text1"/>
                <w14:textFill>
                  <w14:solidFill>
                    <w14:schemeClr w14:val="tx1"/>
                  </w14:solidFill>
                </w14:textFill>
              </w:rPr>
            </w:pPr>
            <w:r>
              <w:rPr>
                <w:b/>
                <w:color w:val="000000" w:themeColor="text1"/>
                <w14:textFill>
                  <w14:solidFill>
                    <w14:schemeClr w14:val="tx1"/>
                  </w14:solidFill>
                </w14:textFill>
              </w:rPr>
              <w:t>检测时间</w:t>
            </w:r>
          </w:p>
        </w:tc>
        <w:tc>
          <w:tcPr>
            <w:tcW w:w="557" w:type="pct"/>
            <w:tcBorders>
              <w:top w:val="single" w:color="auto" w:sz="4" w:space="0"/>
              <w:left w:val="nil"/>
              <w:bottom w:val="single" w:color="auto" w:sz="4" w:space="0"/>
              <w:right w:val="single" w:color="auto" w:sz="4" w:space="0"/>
            </w:tcBorders>
            <w:shd w:val="clear" w:color="auto" w:fill="auto"/>
            <w:vAlign w:val="center"/>
          </w:tcPr>
          <w:p w14:paraId="7BD5FFE8">
            <w:pPr>
              <w:pStyle w:val="476"/>
              <w:rPr>
                <w:b/>
                <w:color w:val="000000" w:themeColor="text1"/>
                <w14:textFill>
                  <w14:solidFill>
                    <w14:schemeClr w14:val="tx1"/>
                  </w14:solidFill>
                </w14:textFill>
              </w:rPr>
            </w:pPr>
            <w:r>
              <w:rPr>
                <w:b/>
                <w:color w:val="000000" w:themeColor="text1"/>
                <w14:textFill>
                  <w14:solidFill>
                    <w14:schemeClr w14:val="tx1"/>
                  </w14:solidFill>
                </w14:textFill>
              </w:rPr>
              <w:t>检测项目</w:t>
            </w:r>
          </w:p>
        </w:tc>
        <w:tc>
          <w:tcPr>
            <w:tcW w:w="544" w:type="pct"/>
            <w:tcBorders>
              <w:top w:val="single" w:color="auto" w:sz="4" w:space="0"/>
              <w:left w:val="nil"/>
              <w:bottom w:val="single" w:color="auto" w:sz="4" w:space="0"/>
              <w:right w:val="single" w:color="auto" w:sz="4" w:space="0"/>
            </w:tcBorders>
            <w:shd w:val="clear" w:color="auto" w:fill="auto"/>
            <w:vAlign w:val="center"/>
          </w:tcPr>
          <w:p w14:paraId="199A345B">
            <w:pPr>
              <w:pStyle w:val="476"/>
              <w:rPr>
                <w:b/>
                <w:color w:val="000000" w:themeColor="text1"/>
                <w14:textFill>
                  <w14:solidFill>
                    <w14:schemeClr w14:val="tx1"/>
                  </w14:solidFill>
                </w14:textFill>
              </w:rPr>
            </w:pPr>
            <w:r>
              <w:rPr>
                <w:b/>
                <w:color w:val="000000" w:themeColor="text1"/>
                <w14:textFill>
                  <w14:solidFill>
                    <w14:schemeClr w14:val="tx1"/>
                  </w14:solidFill>
                </w14:textFill>
              </w:rPr>
              <w:t>COD</w:t>
            </w:r>
          </w:p>
        </w:tc>
        <w:tc>
          <w:tcPr>
            <w:tcW w:w="544" w:type="pct"/>
            <w:tcBorders>
              <w:top w:val="single" w:color="auto" w:sz="4" w:space="0"/>
              <w:left w:val="nil"/>
              <w:bottom w:val="single" w:color="auto" w:sz="4" w:space="0"/>
              <w:right w:val="single" w:color="auto" w:sz="4" w:space="0"/>
            </w:tcBorders>
            <w:shd w:val="clear" w:color="auto" w:fill="auto"/>
            <w:vAlign w:val="center"/>
          </w:tcPr>
          <w:p w14:paraId="2731F08E">
            <w:pPr>
              <w:pStyle w:val="476"/>
              <w:rPr>
                <w:b/>
                <w:color w:val="000000" w:themeColor="text1"/>
                <w14:textFill>
                  <w14:solidFill>
                    <w14:schemeClr w14:val="tx1"/>
                  </w14:solidFill>
                </w14:textFill>
              </w:rPr>
            </w:pPr>
            <w:r>
              <w:rPr>
                <w:b/>
                <w:color w:val="000000" w:themeColor="text1"/>
                <w14:textFill>
                  <w14:solidFill>
                    <w14:schemeClr w14:val="tx1"/>
                  </w14:solidFill>
                </w14:textFill>
              </w:rPr>
              <w:t>SS</w:t>
            </w:r>
          </w:p>
        </w:tc>
        <w:tc>
          <w:tcPr>
            <w:tcW w:w="544" w:type="pct"/>
            <w:tcBorders>
              <w:top w:val="single" w:color="auto" w:sz="4" w:space="0"/>
              <w:left w:val="nil"/>
              <w:bottom w:val="single" w:color="auto" w:sz="4" w:space="0"/>
              <w:right w:val="single" w:color="auto" w:sz="4" w:space="0"/>
            </w:tcBorders>
            <w:shd w:val="clear" w:color="auto" w:fill="auto"/>
            <w:vAlign w:val="center"/>
          </w:tcPr>
          <w:p w14:paraId="6ED8D755">
            <w:pPr>
              <w:pStyle w:val="476"/>
              <w:rPr>
                <w:b/>
                <w:color w:val="000000" w:themeColor="text1"/>
                <w14:textFill>
                  <w14:solidFill>
                    <w14:schemeClr w14:val="tx1"/>
                  </w14:solidFill>
                </w14:textFill>
              </w:rPr>
            </w:pPr>
            <w:r>
              <w:rPr>
                <w:b/>
                <w:color w:val="000000" w:themeColor="text1"/>
                <w14:textFill>
                  <w14:solidFill>
                    <w14:schemeClr w14:val="tx1"/>
                  </w14:solidFill>
                </w14:textFill>
              </w:rPr>
              <w:t>TP</w:t>
            </w:r>
          </w:p>
        </w:tc>
        <w:tc>
          <w:tcPr>
            <w:tcW w:w="593" w:type="pct"/>
            <w:tcBorders>
              <w:top w:val="single" w:color="auto" w:sz="4" w:space="0"/>
              <w:left w:val="nil"/>
              <w:bottom w:val="single" w:color="auto" w:sz="4" w:space="0"/>
              <w:right w:val="single" w:color="auto" w:sz="4" w:space="0"/>
            </w:tcBorders>
            <w:shd w:val="clear" w:color="auto" w:fill="auto"/>
            <w:vAlign w:val="center"/>
          </w:tcPr>
          <w:p w14:paraId="331922E8">
            <w:pPr>
              <w:pStyle w:val="476"/>
              <w:rPr>
                <w:b/>
                <w:color w:val="000000" w:themeColor="text1"/>
                <w14:textFill>
                  <w14:solidFill>
                    <w14:schemeClr w14:val="tx1"/>
                  </w14:solidFill>
                </w14:textFill>
              </w:rPr>
            </w:pPr>
            <w:bookmarkStart w:id="147" w:name="RANGE!G5:G11"/>
            <w:r>
              <w:rPr>
                <w:b/>
                <w:color w:val="000000" w:themeColor="text1"/>
                <w14:textFill>
                  <w14:solidFill>
                    <w14:schemeClr w14:val="tx1"/>
                  </w14:solidFill>
                </w14:textFill>
              </w:rPr>
              <w:t>TN</w:t>
            </w:r>
            <w:bookmarkEnd w:id="147"/>
          </w:p>
        </w:tc>
        <w:tc>
          <w:tcPr>
            <w:tcW w:w="554" w:type="pct"/>
            <w:tcBorders>
              <w:top w:val="single" w:color="auto" w:sz="4" w:space="0"/>
              <w:left w:val="nil"/>
              <w:bottom w:val="single" w:color="auto" w:sz="4" w:space="0"/>
              <w:right w:val="single" w:color="auto" w:sz="4" w:space="0"/>
            </w:tcBorders>
            <w:shd w:val="clear" w:color="auto" w:fill="auto"/>
            <w:vAlign w:val="center"/>
          </w:tcPr>
          <w:p w14:paraId="16C65925">
            <w:pPr>
              <w:pStyle w:val="476"/>
              <w:rPr>
                <w:b/>
                <w:color w:val="000000" w:themeColor="text1"/>
                <w14:textFill>
                  <w14:solidFill>
                    <w14:schemeClr w14:val="tx1"/>
                  </w14:solidFill>
                </w14:textFill>
              </w:rPr>
            </w:pPr>
            <w:r>
              <w:rPr>
                <w:b/>
                <w:color w:val="000000" w:themeColor="text1"/>
                <w14:textFill>
                  <w14:solidFill>
                    <w14:schemeClr w14:val="tx1"/>
                  </w14:solidFill>
                </w14:textFill>
              </w:rPr>
              <w:t>NH</w:t>
            </w:r>
            <w:r>
              <w:rPr>
                <w:b/>
                <w:color w:val="000000" w:themeColor="text1"/>
                <w:vertAlign w:val="subscript"/>
                <w14:textFill>
                  <w14:solidFill>
                    <w14:schemeClr w14:val="tx1"/>
                  </w14:solidFill>
                </w14:textFill>
              </w:rPr>
              <w:t>3</w:t>
            </w:r>
            <w:r>
              <w:rPr>
                <w:b/>
                <w:color w:val="000000" w:themeColor="text1"/>
                <w14:textFill>
                  <w14:solidFill>
                    <w14:schemeClr w14:val="tx1"/>
                  </w14:solidFill>
                </w14:textFill>
              </w:rPr>
              <w:t>-N</w:t>
            </w:r>
          </w:p>
        </w:tc>
        <w:tc>
          <w:tcPr>
            <w:tcW w:w="474" w:type="pct"/>
            <w:tcBorders>
              <w:top w:val="single" w:color="auto" w:sz="4" w:space="0"/>
              <w:left w:val="nil"/>
              <w:bottom w:val="single" w:color="auto" w:sz="4" w:space="0"/>
              <w:right w:val="single" w:color="auto" w:sz="4" w:space="0"/>
            </w:tcBorders>
            <w:shd w:val="clear" w:color="auto" w:fill="auto"/>
            <w:vAlign w:val="center"/>
          </w:tcPr>
          <w:p w14:paraId="3E1393BB">
            <w:pPr>
              <w:pStyle w:val="476"/>
              <w:rPr>
                <w:b/>
                <w:color w:val="000000" w:themeColor="text1"/>
                <w14:textFill>
                  <w14:solidFill>
                    <w14:schemeClr w14:val="tx1"/>
                  </w14:solidFill>
                </w14:textFill>
              </w:rPr>
            </w:pPr>
            <w:r>
              <w:rPr>
                <w:b/>
                <w:color w:val="000000" w:themeColor="text1"/>
                <w14:textFill>
                  <w14:solidFill>
                    <w14:schemeClr w14:val="tx1"/>
                  </w14:solidFill>
                </w14:textFill>
              </w:rPr>
              <w:t>pH</w:t>
            </w:r>
          </w:p>
        </w:tc>
      </w:tr>
      <w:tr w14:paraId="5836FFAA">
        <w:tblPrEx>
          <w:tblCellMar>
            <w:top w:w="0" w:type="dxa"/>
            <w:left w:w="108" w:type="dxa"/>
            <w:bottom w:w="0" w:type="dxa"/>
            <w:right w:w="108" w:type="dxa"/>
          </w:tblCellMar>
        </w:tblPrEx>
        <w:trPr>
          <w:trHeight w:val="510" w:hRule="atLeast"/>
          <w:tblHeader/>
          <w:jc w:val="center"/>
        </w:trPr>
        <w:tc>
          <w:tcPr>
            <w:tcW w:w="677" w:type="pct"/>
            <w:vMerge w:val="continue"/>
            <w:tcBorders>
              <w:left w:val="single" w:color="auto" w:sz="4" w:space="0"/>
              <w:right w:val="single" w:color="auto" w:sz="4" w:space="0"/>
            </w:tcBorders>
            <w:shd w:val="clear" w:color="auto" w:fill="auto"/>
            <w:noWrap/>
            <w:vAlign w:val="center"/>
          </w:tcPr>
          <w:p w14:paraId="512114B6">
            <w:pPr>
              <w:pStyle w:val="476"/>
              <w:rPr>
                <w:b/>
                <w:color w:val="000000" w:themeColor="text1"/>
                <w14:textFill>
                  <w14:solidFill>
                    <w14:schemeClr w14:val="tx1"/>
                  </w14:solidFill>
                </w14:textFill>
              </w:rPr>
            </w:pPr>
          </w:p>
        </w:tc>
        <w:tc>
          <w:tcPr>
            <w:tcW w:w="1066" w:type="pct"/>
            <w:gridSpan w:val="2"/>
            <w:tcBorders>
              <w:top w:val="single" w:color="auto" w:sz="4" w:space="0"/>
              <w:left w:val="nil"/>
              <w:bottom w:val="single" w:color="auto" w:sz="4" w:space="0"/>
              <w:right w:val="single" w:color="auto" w:sz="4" w:space="0"/>
            </w:tcBorders>
            <w:shd w:val="clear" w:color="auto" w:fill="auto"/>
            <w:noWrap/>
            <w:vAlign w:val="center"/>
          </w:tcPr>
          <w:p w14:paraId="39B166CB">
            <w:pPr>
              <w:pStyle w:val="476"/>
              <w:rPr>
                <w:b/>
                <w:color w:val="000000" w:themeColor="text1"/>
                <w14:textFill>
                  <w14:solidFill>
                    <w14:schemeClr w14:val="tx1"/>
                  </w14:solidFill>
                </w14:textFill>
              </w:rPr>
            </w:pPr>
            <w:r>
              <w:rPr>
                <w:b/>
                <w:color w:val="000000" w:themeColor="text1"/>
                <w14:textFill>
                  <w14:solidFill>
                    <w14:schemeClr w14:val="tx1"/>
                  </w14:solidFill>
                </w14:textFill>
              </w:rPr>
              <w:t>GB18918-2002一级A标准</w:t>
            </w:r>
          </w:p>
        </w:tc>
        <w:tc>
          <w:tcPr>
            <w:tcW w:w="544" w:type="pct"/>
            <w:tcBorders>
              <w:top w:val="single" w:color="auto" w:sz="4" w:space="0"/>
              <w:left w:val="nil"/>
              <w:bottom w:val="single" w:color="auto" w:sz="4" w:space="0"/>
              <w:right w:val="single" w:color="auto" w:sz="4" w:space="0"/>
            </w:tcBorders>
            <w:shd w:val="clear" w:color="auto" w:fill="auto"/>
            <w:vAlign w:val="center"/>
          </w:tcPr>
          <w:p w14:paraId="2E2A74BA">
            <w:pPr>
              <w:pStyle w:val="476"/>
              <w:rPr>
                <w:b/>
                <w:color w:val="000000" w:themeColor="text1"/>
                <w14:textFill>
                  <w14:solidFill>
                    <w14:schemeClr w14:val="tx1"/>
                  </w14:solidFill>
                </w14:textFill>
              </w:rPr>
            </w:pPr>
            <w:r>
              <w:rPr>
                <w:b/>
                <w:color w:val="000000" w:themeColor="text1"/>
                <w14:textFill>
                  <w14:solidFill>
                    <w14:schemeClr w14:val="tx1"/>
                  </w14:solidFill>
                </w14:textFill>
              </w:rPr>
              <w:t>50</w:t>
            </w:r>
          </w:p>
        </w:tc>
        <w:tc>
          <w:tcPr>
            <w:tcW w:w="544" w:type="pct"/>
            <w:tcBorders>
              <w:top w:val="single" w:color="auto" w:sz="4" w:space="0"/>
              <w:left w:val="nil"/>
              <w:bottom w:val="single" w:color="auto" w:sz="4" w:space="0"/>
              <w:right w:val="single" w:color="auto" w:sz="4" w:space="0"/>
            </w:tcBorders>
            <w:shd w:val="clear" w:color="auto" w:fill="auto"/>
            <w:vAlign w:val="center"/>
          </w:tcPr>
          <w:p w14:paraId="361D90A0">
            <w:pPr>
              <w:pStyle w:val="476"/>
              <w:rPr>
                <w:b/>
                <w:color w:val="000000" w:themeColor="text1"/>
                <w14:textFill>
                  <w14:solidFill>
                    <w14:schemeClr w14:val="tx1"/>
                  </w14:solidFill>
                </w14:textFill>
              </w:rPr>
            </w:pPr>
            <w:r>
              <w:rPr>
                <w:b/>
                <w:color w:val="000000" w:themeColor="text1"/>
                <w14:textFill>
                  <w14:solidFill>
                    <w14:schemeClr w14:val="tx1"/>
                  </w14:solidFill>
                </w14:textFill>
              </w:rPr>
              <w:t>10</w:t>
            </w:r>
          </w:p>
        </w:tc>
        <w:tc>
          <w:tcPr>
            <w:tcW w:w="544" w:type="pct"/>
            <w:tcBorders>
              <w:top w:val="single" w:color="auto" w:sz="4" w:space="0"/>
              <w:left w:val="nil"/>
              <w:bottom w:val="single" w:color="auto" w:sz="4" w:space="0"/>
              <w:right w:val="single" w:color="auto" w:sz="4" w:space="0"/>
            </w:tcBorders>
            <w:shd w:val="clear" w:color="auto" w:fill="auto"/>
            <w:vAlign w:val="center"/>
          </w:tcPr>
          <w:p w14:paraId="4A7DE12D">
            <w:pPr>
              <w:pStyle w:val="476"/>
              <w:rPr>
                <w:b/>
                <w:color w:val="000000" w:themeColor="text1"/>
                <w14:textFill>
                  <w14:solidFill>
                    <w14:schemeClr w14:val="tx1"/>
                  </w14:solidFill>
                </w14:textFill>
              </w:rPr>
            </w:pPr>
            <w:r>
              <w:rPr>
                <w:b/>
                <w:color w:val="000000" w:themeColor="text1"/>
                <w14:textFill>
                  <w14:solidFill>
                    <w14:schemeClr w14:val="tx1"/>
                  </w14:solidFill>
                </w14:textFill>
              </w:rPr>
              <w:t>0.5</w:t>
            </w:r>
          </w:p>
        </w:tc>
        <w:tc>
          <w:tcPr>
            <w:tcW w:w="593" w:type="pct"/>
            <w:tcBorders>
              <w:top w:val="single" w:color="auto" w:sz="4" w:space="0"/>
              <w:left w:val="nil"/>
              <w:bottom w:val="single" w:color="auto" w:sz="4" w:space="0"/>
              <w:right w:val="single" w:color="auto" w:sz="4" w:space="0"/>
            </w:tcBorders>
            <w:shd w:val="clear" w:color="auto" w:fill="auto"/>
            <w:vAlign w:val="center"/>
          </w:tcPr>
          <w:p w14:paraId="3F7588F6">
            <w:pPr>
              <w:pStyle w:val="476"/>
              <w:rPr>
                <w:b/>
                <w:color w:val="000000" w:themeColor="text1"/>
                <w14:textFill>
                  <w14:solidFill>
                    <w14:schemeClr w14:val="tx1"/>
                  </w14:solidFill>
                </w14:textFill>
              </w:rPr>
            </w:pPr>
            <w:r>
              <w:rPr>
                <w:b/>
                <w:color w:val="000000" w:themeColor="text1"/>
                <w14:textFill>
                  <w14:solidFill>
                    <w14:schemeClr w14:val="tx1"/>
                  </w14:solidFill>
                </w14:textFill>
              </w:rPr>
              <w:t>15</w:t>
            </w:r>
          </w:p>
        </w:tc>
        <w:tc>
          <w:tcPr>
            <w:tcW w:w="554" w:type="pct"/>
            <w:tcBorders>
              <w:top w:val="single" w:color="auto" w:sz="4" w:space="0"/>
              <w:left w:val="nil"/>
              <w:bottom w:val="single" w:color="auto" w:sz="4" w:space="0"/>
              <w:right w:val="single" w:color="auto" w:sz="4" w:space="0"/>
            </w:tcBorders>
            <w:shd w:val="clear" w:color="auto" w:fill="auto"/>
            <w:vAlign w:val="center"/>
          </w:tcPr>
          <w:p w14:paraId="20858FF9">
            <w:pPr>
              <w:pStyle w:val="476"/>
              <w:rPr>
                <w:b/>
                <w:color w:val="000000" w:themeColor="text1"/>
                <w14:textFill>
                  <w14:solidFill>
                    <w14:schemeClr w14:val="tx1"/>
                  </w14:solidFill>
                </w14:textFill>
              </w:rPr>
            </w:pPr>
            <w:r>
              <w:rPr>
                <w:b/>
                <w:color w:val="000000" w:themeColor="text1"/>
                <w14:textFill>
                  <w14:solidFill>
                    <w14:schemeClr w14:val="tx1"/>
                  </w14:solidFill>
                </w14:textFill>
              </w:rPr>
              <w:t>5</w:t>
            </w:r>
          </w:p>
        </w:tc>
        <w:tc>
          <w:tcPr>
            <w:tcW w:w="474" w:type="pct"/>
            <w:tcBorders>
              <w:top w:val="single" w:color="auto" w:sz="4" w:space="0"/>
              <w:left w:val="nil"/>
              <w:bottom w:val="single" w:color="auto" w:sz="4" w:space="0"/>
              <w:right w:val="single" w:color="auto" w:sz="4" w:space="0"/>
            </w:tcBorders>
            <w:shd w:val="clear" w:color="auto" w:fill="auto"/>
            <w:vAlign w:val="center"/>
          </w:tcPr>
          <w:p w14:paraId="7836EE67">
            <w:pPr>
              <w:pStyle w:val="476"/>
              <w:rPr>
                <w:b/>
                <w:color w:val="000000" w:themeColor="text1"/>
                <w14:textFill>
                  <w14:solidFill>
                    <w14:schemeClr w14:val="tx1"/>
                  </w14:solidFill>
                </w14:textFill>
              </w:rPr>
            </w:pPr>
            <w:r>
              <w:rPr>
                <w:b/>
                <w:color w:val="000000" w:themeColor="text1"/>
                <w14:textFill>
                  <w14:solidFill>
                    <w14:schemeClr w14:val="tx1"/>
                  </w14:solidFill>
                </w14:textFill>
              </w:rPr>
              <w:t>6-9</w:t>
            </w:r>
          </w:p>
        </w:tc>
      </w:tr>
      <w:tr w14:paraId="033D66D4">
        <w:tblPrEx>
          <w:tblCellMar>
            <w:top w:w="0" w:type="dxa"/>
            <w:left w:w="108" w:type="dxa"/>
            <w:bottom w:w="0" w:type="dxa"/>
            <w:right w:w="108" w:type="dxa"/>
          </w:tblCellMar>
        </w:tblPrEx>
        <w:trPr>
          <w:trHeight w:val="510" w:hRule="atLeast"/>
          <w:tblHeader/>
          <w:jc w:val="center"/>
        </w:trPr>
        <w:tc>
          <w:tcPr>
            <w:tcW w:w="677" w:type="pct"/>
            <w:vMerge w:val="continue"/>
            <w:tcBorders>
              <w:left w:val="single" w:color="auto" w:sz="4" w:space="0"/>
              <w:right w:val="single" w:color="auto" w:sz="4" w:space="0"/>
            </w:tcBorders>
            <w:shd w:val="clear" w:color="auto" w:fill="auto"/>
            <w:noWrap/>
            <w:vAlign w:val="center"/>
          </w:tcPr>
          <w:p w14:paraId="0ABA4017">
            <w:pPr>
              <w:pStyle w:val="476"/>
              <w:rPr>
                <w:b/>
                <w:color w:val="000000" w:themeColor="text1"/>
                <w14:textFill>
                  <w14:solidFill>
                    <w14:schemeClr w14:val="tx1"/>
                  </w14:solidFill>
                </w14:textFill>
              </w:rPr>
            </w:pPr>
          </w:p>
        </w:tc>
        <w:tc>
          <w:tcPr>
            <w:tcW w:w="1066" w:type="pct"/>
            <w:gridSpan w:val="2"/>
            <w:tcBorders>
              <w:top w:val="single" w:color="auto" w:sz="4" w:space="0"/>
              <w:left w:val="nil"/>
              <w:bottom w:val="single" w:color="auto" w:sz="4" w:space="0"/>
              <w:right w:val="single" w:color="auto" w:sz="4" w:space="0"/>
            </w:tcBorders>
            <w:shd w:val="clear" w:color="auto" w:fill="auto"/>
            <w:noWrap/>
            <w:vAlign w:val="center"/>
          </w:tcPr>
          <w:p w14:paraId="2B93941F">
            <w:pPr>
              <w:pStyle w:val="476"/>
              <w:rPr>
                <w:b/>
                <w:color w:val="000000" w:themeColor="text1"/>
                <w14:textFill>
                  <w14:solidFill>
                    <w14:schemeClr w14:val="tx1"/>
                  </w14:solidFill>
                </w14:textFill>
              </w:rPr>
            </w:pPr>
            <w:r>
              <w:rPr>
                <w:b/>
                <w:color w:val="000000" w:themeColor="text1"/>
                <w14:textFill>
                  <w14:solidFill>
                    <w14:schemeClr w14:val="tx1"/>
                  </w14:solidFill>
                </w14:textFill>
              </w:rPr>
              <w:t>GB18918-2002一级B标准</w:t>
            </w:r>
          </w:p>
        </w:tc>
        <w:tc>
          <w:tcPr>
            <w:tcW w:w="544" w:type="pct"/>
            <w:tcBorders>
              <w:top w:val="single" w:color="auto" w:sz="4" w:space="0"/>
              <w:left w:val="nil"/>
              <w:bottom w:val="single" w:color="auto" w:sz="4" w:space="0"/>
              <w:right w:val="single" w:color="auto" w:sz="4" w:space="0"/>
            </w:tcBorders>
            <w:shd w:val="clear" w:color="auto" w:fill="auto"/>
            <w:vAlign w:val="center"/>
          </w:tcPr>
          <w:p w14:paraId="4C55944D">
            <w:pPr>
              <w:pStyle w:val="476"/>
              <w:rPr>
                <w:b/>
                <w:color w:val="000000" w:themeColor="text1"/>
                <w14:textFill>
                  <w14:solidFill>
                    <w14:schemeClr w14:val="tx1"/>
                  </w14:solidFill>
                </w14:textFill>
              </w:rPr>
            </w:pPr>
            <w:r>
              <w:rPr>
                <w:b/>
                <w:color w:val="000000" w:themeColor="text1"/>
                <w14:textFill>
                  <w14:solidFill>
                    <w14:schemeClr w14:val="tx1"/>
                  </w14:solidFill>
                </w14:textFill>
              </w:rPr>
              <w:t>60</w:t>
            </w:r>
          </w:p>
        </w:tc>
        <w:tc>
          <w:tcPr>
            <w:tcW w:w="544" w:type="pct"/>
            <w:tcBorders>
              <w:top w:val="single" w:color="auto" w:sz="4" w:space="0"/>
              <w:left w:val="nil"/>
              <w:bottom w:val="single" w:color="auto" w:sz="4" w:space="0"/>
              <w:right w:val="single" w:color="auto" w:sz="4" w:space="0"/>
            </w:tcBorders>
            <w:shd w:val="clear" w:color="auto" w:fill="auto"/>
            <w:vAlign w:val="center"/>
          </w:tcPr>
          <w:p w14:paraId="3C26A126">
            <w:pPr>
              <w:pStyle w:val="476"/>
              <w:rPr>
                <w:b/>
                <w:color w:val="000000" w:themeColor="text1"/>
                <w14:textFill>
                  <w14:solidFill>
                    <w14:schemeClr w14:val="tx1"/>
                  </w14:solidFill>
                </w14:textFill>
              </w:rPr>
            </w:pPr>
            <w:r>
              <w:rPr>
                <w:b/>
                <w:color w:val="000000" w:themeColor="text1"/>
                <w14:textFill>
                  <w14:solidFill>
                    <w14:schemeClr w14:val="tx1"/>
                  </w14:solidFill>
                </w14:textFill>
              </w:rPr>
              <w:t>20</w:t>
            </w:r>
          </w:p>
        </w:tc>
        <w:tc>
          <w:tcPr>
            <w:tcW w:w="544" w:type="pct"/>
            <w:tcBorders>
              <w:top w:val="single" w:color="auto" w:sz="4" w:space="0"/>
              <w:left w:val="nil"/>
              <w:bottom w:val="single" w:color="auto" w:sz="4" w:space="0"/>
              <w:right w:val="single" w:color="auto" w:sz="4" w:space="0"/>
            </w:tcBorders>
            <w:shd w:val="clear" w:color="auto" w:fill="auto"/>
            <w:vAlign w:val="center"/>
          </w:tcPr>
          <w:p w14:paraId="2644AC35">
            <w:pPr>
              <w:pStyle w:val="476"/>
              <w:rPr>
                <w:b/>
                <w:color w:val="000000" w:themeColor="text1"/>
                <w14:textFill>
                  <w14:solidFill>
                    <w14:schemeClr w14:val="tx1"/>
                  </w14:solidFill>
                </w14:textFill>
              </w:rPr>
            </w:pPr>
            <w:r>
              <w:rPr>
                <w:b/>
                <w:color w:val="000000" w:themeColor="text1"/>
                <w14:textFill>
                  <w14:solidFill>
                    <w14:schemeClr w14:val="tx1"/>
                  </w14:solidFill>
                </w14:textFill>
              </w:rPr>
              <w:t>1.0</w:t>
            </w:r>
          </w:p>
        </w:tc>
        <w:tc>
          <w:tcPr>
            <w:tcW w:w="593" w:type="pct"/>
            <w:tcBorders>
              <w:top w:val="single" w:color="auto" w:sz="4" w:space="0"/>
              <w:left w:val="nil"/>
              <w:bottom w:val="single" w:color="auto" w:sz="4" w:space="0"/>
              <w:right w:val="single" w:color="auto" w:sz="4" w:space="0"/>
            </w:tcBorders>
            <w:shd w:val="clear" w:color="auto" w:fill="auto"/>
            <w:vAlign w:val="center"/>
          </w:tcPr>
          <w:p w14:paraId="74ED34AA">
            <w:pPr>
              <w:pStyle w:val="476"/>
              <w:rPr>
                <w:b/>
                <w:color w:val="000000" w:themeColor="text1"/>
                <w14:textFill>
                  <w14:solidFill>
                    <w14:schemeClr w14:val="tx1"/>
                  </w14:solidFill>
                </w14:textFill>
              </w:rPr>
            </w:pPr>
            <w:r>
              <w:rPr>
                <w:b/>
                <w:color w:val="000000" w:themeColor="text1"/>
                <w14:textFill>
                  <w14:solidFill>
                    <w14:schemeClr w14:val="tx1"/>
                  </w14:solidFill>
                </w14:textFill>
              </w:rPr>
              <w:t>20</w:t>
            </w:r>
          </w:p>
        </w:tc>
        <w:tc>
          <w:tcPr>
            <w:tcW w:w="554" w:type="pct"/>
            <w:tcBorders>
              <w:top w:val="single" w:color="auto" w:sz="4" w:space="0"/>
              <w:left w:val="nil"/>
              <w:bottom w:val="single" w:color="auto" w:sz="4" w:space="0"/>
              <w:right w:val="single" w:color="auto" w:sz="4" w:space="0"/>
            </w:tcBorders>
            <w:shd w:val="clear" w:color="auto" w:fill="auto"/>
            <w:vAlign w:val="center"/>
          </w:tcPr>
          <w:p w14:paraId="7E0BF6E5">
            <w:pPr>
              <w:pStyle w:val="476"/>
              <w:rPr>
                <w:b/>
                <w:color w:val="000000" w:themeColor="text1"/>
                <w14:textFill>
                  <w14:solidFill>
                    <w14:schemeClr w14:val="tx1"/>
                  </w14:solidFill>
                </w14:textFill>
              </w:rPr>
            </w:pPr>
            <w:r>
              <w:rPr>
                <w:b/>
                <w:color w:val="000000" w:themeColor="text1"/>
                <w14:textFill>
                  <w14:solidFill>
                    <w14:schemeClr w14:val="tx1"/>
                  </w14:solidFill>
                </w14:textFill>
              </w:rPr>
              <w:t>8</w:t>
            </w:r>
          </w:p>
        </w:tc>
        <w:tc>
          <w:tcPr>
            <w:tcW w:w="474" w:type="pct"/>
            <w:tcBorders>
              <w:top w:val="single" w:color="auto" w:sz="4" w:space="0"/>
              <w:left w:val="nil"/>
              <w:bottom w:val="single" w:color="auto" w:sz="4" w:space="0"/>
              <w:right w:val="single" w:color="auto" w:sz="4" w:space="0"/>
            </w:tcBorders>
            <w:shd w:val="clear" w:color="auto" w:fill="auto"/>
            <w:vAlign w:val="center"/>
          </w:tcPr>
          <w:p w14:paraId="09E67917">
            <w:pPr>
              <w:pStyle w:val="476"/>
              <w:rPr>
                <w:b/>
                <w:color w:val="000000" w:themeColor="text1"/>
                <w14:textFill>
                  <w14:solidFill>
                    <w14:schemeClr w14:val="tx1"/>
                  </w14:solidFill>
                </w14:textFill>
              </w:rPr>
            </w:pPr>
            <w:r>
              <w:rPr>
                <w:b/>
                <w:color w:val="000000" w:themeColor="text1"/>
                <w14:textFill>
                  <w14:solidFill>
                    <w14:schemeClr w14:val="tx1"/>
                  </w14:solidFill>
                </w14:textFill>
              </w:rPr>
              <w:t>6-9</w:t>
            </w:r>
          </w:p>
        </w:tc>
      </w:tr>
      <w:tr w14:paraId="6B7B5FDC">
        <w:tblPrEx>
          <w:tblCellMar>
            <w:top w:w="0" w:type="dxa"/>
            <w:left w:w="108" w:type="dxa"/>
            <w:bottom w:w="0" w:type="dxa"/>
            <w:right w:w="108" w:type="dxa"/>
          </w:tblCellMar>
        </w:tblPrEx>
        <w:trPr>
          <w:trHeight w:val="510" w:hRule="atLeast"/>
          <w:jc w:val="center"/>
        </w:trPr>
        <w:tc>
          <w:tcPr>
            <w:tcW w:w="677" w:type="pct"/>
            <w:vMerge w:val="restart"/>
            <w:tcBorders>
              <w:top w:val="nil"/>
              <w:left w:val="single" w:color="auto" w:sz="4" w:space="0"/>
              <w:right w:val="single" w:color="auto" w:sz="4" w:space="0"/>
            </w:tcBorders>
            <w:shd w:val="clear" w:color="auto" w:fill="auto"/>
            <w:vAlign w:val="center"/>
          </w:tcPr>
          <w:p w14:paraId="34ABAB36">
            <w:pPr>
              <w:pStyle w:val="476"/>
              <w:rPr>
                <w:color w:val="000000" w:themeColor="text1"/>
                <w14:textFill>
                  <w14:solidFill>
                    <w14:schemeClr w14:val="tx1"/>
                  </w14:solidFill>
                </w14:textFill>
              </w:rPr>
            </w:pPr>
            <w:r>
              <w:rPr>
                <w:color w:val="000000" w:themeColor="text1"/>
                <w14:textFill>
                  <w14:solidFill>
                    <w14:schemeClr w14:val="tx1"/>
                  </w14:solidFill>
                </w14:textFill>
              </w:rPr>
              <w:t>寿山乡污水处理厂</w:t>
            </w:r>
          </w:p>
        </w:tc>
        <w:tc>
          <w:tcPr>
            <w:tcW w:w="509" w:type="pct"/>
            <w:vMerge w:val="restart"/>
            <w:tcBorders>
              <w:top w:val="nil"/>
              <w:left w:val="single" w:color="auto" w:sz="4" w:space="0"/>
              <w:right w:val="single" w:color="auto" w:sz="4" w:space="0"/>
            </w:tcBorders>
            <w:shd w:val="clear" w:color="auto" w:fill="auto"/>
            <w:noWrap/>
            <w:vAlign w:val="center"/>
          </w:tcPr>
          <w:p w14:paraId="7583D52F">
            <w:pPr>
              <w:pStyle w:val="476"/>
              <w:rPr>
                <w:color w:val="000000" w:themeColor="text1"/>
                <w14:textFill>
                  <w14:solidFill>
                    <w14:schemeClr w14:val="tx1"/>
                  </w14:solidFill>
                </w14:textFill>
              </w:rPr>
            </w:pPr>
            <w:r>
              <w:rPr>
                <w:color w:val="000000" w:themeColor="text1"/>
                <w14:textFill>
                  <w14:solidFill>
                    <w14:schemeClr w14:val="tx1"/>
                  </w14:solidFill>
                </w14:textFill>
              </w:rPr>
              <w:t>2020.6.30</w:t>
            </w:r>
          </w:p>
        </w:tc>
        <w:tc>
          <w:tcPr>
            <w:tcW w:w="557" w:type="pct"/>
            <w:tcBorders>
              <w:top w:val="nil"/>
              <w:left w:val="nil"/>
              <w:bottom w:val="single" w:color="auto" w:sz="4" w:space="0"/>
              <w:right w:val="single" w:color="auto" w:sz="4" w:space="0"/>
            </w:tcBorders>
            <w:shd w:val="clear" w:color="auto" w:fill="auto"/>
            <w:vAlign w:val="center"/>
          </w:tcPr>
          <w:p w14:paraId="2949925B">
            <w:pPr>
              <w:pStyle w:val="476"/>
              <w:rPr>
                <w:color w:val="000000" w:themeColor="text1"/>
                <w14:textFill>
                  <w14:solidFill>
                    <w14:schemeClr w14:val="tx1"/>
                  </w14:solidFill>
                </w14:textFill>
              </w:rPr>
            </w:pPr>
            <w:r>
              <w:rPr>
                <w:color w:val="000000" w:themeColor="text1"/>
                <w14:textFill>
                  <w14:solidFill>
                    <w14:schemeClr w14:val="tx1"/>
                  </w14:solidFill>
                </w14:textFill>
              </w:rPr>
              <w:t>进水</w:t>
            </w:r>
          </w:p>
        </w:tc>
        <w:tc>
          <w:tcPr>
            <w:tcW w:w="544" w:type="pct"/>
            <w:tcBorders>
              <w:top w:val="nil"/>
              <w:left w:val="nil"/>
              <w:bottom w:val="single" w:color="auto" w:sz="4" w:space="0"/>
              <w:right w:val="single" w:color="auto" w:sz="4" w:space="0"/>
            </w:tcBorders>
            <w:shd w:val="clear" w:color="auto" w:fill="auto"/>
            <w:vAlign w:val="center"/>
          </w:tcPr>
          <w:p w14:paraId="7A23C564">
            <w:pPr>
              <w:pStyle w:val="476"/>
              <w:rPr>
                <w:color w:val="000000" w:themeColor="text1"/>
                <w14:textFill>
                  <w14:solidFill>
                    <w14:schemeClr w14:val="tx1"/>
                  </w14:solidFill>
                </w14:textFill>
              </w:rPr>
            </w:pPr>
            <w:r>
              <w:rPr>
                <w:color w:val="000000" w:themeColor="text1"/>
                <w14:textFill>
                  <w14:solidFill>
                    <w14:schemeClr w14:val="tx1"/>
                  </w14:solidFill>
                </w14:textFill>
              </w:rPr>
              <w:t>134</w:t>
            </w:r>
          </w:p>
        </w:tc>
        <w:tc>
          <w:tcPr>
            <w:tcW w:w="544" w:type="pct"/>
            <w:tcBorders>
              <w:top w:val="nil"/>
              <w:left w:val="nil"/>
              <w:bottom w:val="single" w:color="auto" w:sz="4" w:space="0"/>
              <w:right w:val="single" w:color="auto" w:sz="4" w:space="0"/>
            </w:tcBorders>
            <w:shd w:val="clear" w:color="auto" w:fill="auto"/>
            <w:vAlign w:val="center"/>
          </w:tcPr>
          <w:p w14:paraId="5D428F96">
            <w:pPr>
              <w:pStyle w:val="476"/>
              <w:rPr>
                <w:color w:val="000000" w:themeColor="text1"/>
                <w14:textFill>
                  <w14:solidFill>
                    <w14:schemeClr w14:val="tx1"/>
                  </w14:solidFill>
                </w14:textFill>
              </w:rPr>
            </w:pPr>
            <w:r>
              <w:rPr>
                <w:color w:val="000000" w:themeColor="text1"/>
                <w14:textFill>
                  <w14:solidFill>
                    <w14:schemeClr w14:val="tx1"/>
                  </w14:solidFill>
                </w14:textFill>
              </w:rPr>
              <w:t>70</w:t>
            </w:r>
          </w:p>
        </w:tc>
        <w:tc>
          <w:tcPr>
            <w:tcW w:w="544" w:type="pct"/>
            <w:tcBorders>
              <w:top w:val="nil"/>
              <w:left w:val="nil"/>
              <w:bottom w:val="single" w:color="auto" w:sz="4" w:space="0"/>
              <w:right w:val="single" w:color="auto" w:sz="4" w:space="0"/>
            </w:tcBorders>
            <w:shd w:val="clear" w:color="auto" w:fill="auto"/>
            <w:vAlign w:val="center"/>
          </w:tcPr>
          <w:p w14:paraId="6643042E">
            <w:pPr>
              <w:pStyle w:val="476"/>
              <w:rPr>
                <w:color w:val="000000" w:themeColor="text1"/>
                <w14:textFill>
                  <w14:solidFill>
                    <w14:schemeClr w14:val="tx1"/>
                  </w14:solidFill>
                </w14:textFill>
              </w:rPr>
            </w:pPr>
            <w:r>
              <w:rPr>
                <w:color w:val="000000" w:themeColor="text1"/>
                <w14:textFill>
                  <w14:solidFill>
                    <w14:schemeClr w14:val="tx1"/>
                  </w14:solidFill>
                </w14:textFill>
              </w:rPr>
              <w:t>1.13</w:t>
            </w:r>
          </w:p>
        </w:tc>
        <w:tc>
          <w:tcPr>
            <w:tcW w:w="593" w:type="pct"/>
            <w:tcBorders>
              <w:top w:val="nil"/>
              <w:left w:val="nil"/>
              <w:bottom w:val="single" w:color="auto" w:sz="4" w:space="0"/>
              <w:right w:val="single" w:color="auto" w:sz="4" w:space="0"/>
            </w:tcBorders>
            <w:shd w:val="clear" w:color="auto" w:fill="auto"/>
            <w:vAlign w:val="center"/>
          </w:tcPr>
          <w:p w14:paraId="54C89FCF">
            <w:pPr>
              <w:pStyle w:val="476"/>
              <w:rPr>
                <w:color w:val="000000" w:themeColor="text1"/>
                <w14:textFill>
                  <w14:solidFill>
                    <w14:schemeClr w14:val="tx1"/>
                  </w14:solidFill>
                </w14:textFill>
              </w:rPr>
            </w:pPr>
            <w:r>
              <w:rPr>
                <w:color w:val="000000" w:themeColor="text1"/>
                <w14:textFill>
                  <w14:solidFill>
                    <w14:schemeClr w14:val="tx1"/>
                  </w14:solidFill>
                </w14:textFill>
              </w:rPr>
              <w:t>11.2</w:t>
            </w:r>
          </w:p>
        </w:tc>
        <w:tc>
          <w:tcPr>
            <w:tcW w:w="554" w:type="pct"/>
            <w:tcBorders>
              <w:top w:val="nil"/>
              <w:left w:val="nil"/>
              <w:bottom w:val="single" w:color="auto" w:sz="4" w:space="0"/>
              <w:right w:val="single" w:color="auto" w:sz="4" w:space="0"/>
            </w:tcBorders>
            <w:shd w:val="clear" w:color="auto" w:fill="auto"/>
            <w:vAlign w:val="center"/>
          </w:tcPr>
          <w:p w14:paraId="04C455CE">
            <w:pPr>
              <w:pStyle w:val="476"/>
              <w:rPr>
                <w:color w:val="000000" w:themeColor="text1"/>
                <w14:textFill>
                  <w14:solidFill>
                    <w14:schemeClr w14:val="tx1"/>
                  </w14:solidFill>
                </w14:textFill>
              </w:rPr>
            </w:pPr>
            <w:r>
              <w:rPr>
                <w:color w:val="000000" w:themeColor="text1"/>
                <w14:textFill>
                  <w14:solidFill>
                    <w14:schemeClr w14:val="tx1"/>
                  </w14:solidFill>
                </w14:textFill>
              </w:rPr>
              <w:t>8.98</w:t>
            </w:r>
          </w:p>
        </w:tc>
        <w:tc>
          <w:tcPr>
            <w:tcW w:w="474" w:type="pct"/>
            <w:tcBorders>
              <w:top w:val="nil"/>
              <w:left w:val="nil"/>
              <w:bottom w:val="single" w:color="auto" w:sz="4" w:space="0"/>
              <w:right w:val="single" w:color="auto" w:sz="4" w:space="0"/>
            </w:tcBorders>
            <w:shd w:val="clear" w:color="auto" w:fill="auto"/>
            <w:vAlign w:val="center"/>
          </w:tcPr>
          <w:p w14:paraId="081332CE">
            <w:pPr>
              <w:pStyle w:val="476"/>
              <w:rPr>
                <w:color w:val="000000" w:themeColor="text1"/>
                <w14:textFill>
                  <w14:solidFill>
                    <w14:schemeClr w14:val="tx1"/>
                  </w14:solidFill>
                </w14:textFill>
              </w:rPr>
            </w:pPr>
            <w:r>
              <w:rPr>
                <w:color w:val="000000" w:themeColor="text1"/>
                <w14:textFill>
                  <w14:solidFill>
                    <w14:schemeClr w14:val="tx1"/>
                  </w14:solidFill>
                </w14:textFill>
              </w:rPr>
              <w:t>6.87</w:t>
            </w:r>
          </w:p>
        </w:tc>
      </w:tr>
      <w:tr w14:paraId="7636930C">
        <w:tblPrEx>
          <w:tblCellMar>
            <w:top w:w="0" w:type="dxa"/>
            <w:left w:w="108" w:type="dxa"/>
            <w:bottom w:w="0" w:type="dxa"/>
            <w:right w:w="108" w:type="dxa"/>
          </w:tblCellMar>
        </w:tblPrEx>
        <w:trPr>
          <w:trHeight w:val="510" w:hRule="atLeast"/>
          <w:jc w:val="center"/>
        </w:trPr>
        <w:tc>
          <w:tcPr>
            <w:tcW w:w="677" w:type="pct"/>
            <w:vMerge w:val="continue"/>
            <w:tcBorders>
              <w:left w:val="single" w:color="auto" w:sz="4" w:space="0"/>
              <w:bottom w:val="single" w:color="auto" w:sz="4" w:space="0"/>
              <w:right w:val="single" w:color="auto" w:sz="4" w:space="0"/>
            </w:tcBorders>
            <w:shd w:val="clear" w:color="auto" w:fill="auto"/>
            <w:vAlign w:val="center"/>
          </w:tcPr>
          <w:p w14:paraId="5B1EB7F5">
            <w:pPr>
              <w:pStyle w:val="476"/>
              <w:rPr>
                <w:color w:val="000000" w:themeColor="text1"/>
                <w14:textFill>
                  <w14:solidFill>
                    <w14:schemeClr w14:val="tx1"/>
                  </w14:solidFill>
                </w14:textFill>
              </w:rPr>
            </w:pPr>
          </w:p>
        </w:tc>
        <w:tc>
          <w:tcPr>
            <w:tcW w:w="509" w:type="pct"/>
            <w:vMerge w:val="continue"/>
            <w:tcBorders>
              <w:left w:val="single" w:color="auto" w:sz="4" w:space="0"/>
              <w:bottom w:val="single" w:color="auto" w:sz="4" w:space="0"/>
              <w:right w:val="single" w:color="auto" w:sz="4" w:space="0"/>
            </w:tcBorders>
            <w:shd w:val="clear" w:color="auto" w:fill="auto"/>
            <w:noWrap/>
            <w:vAlign w:val="center"/>
          </w:tcPr>
          <w:p w14:paraId="51B9B3F5">
            <w:pPr>
              <w:pStyle w:val="476"/>
              <w:rPr>
                <w:color w:val="000000" w:themeColor="text1"/>
                <w14:textFill>
                  <w14:solidFill>
                    <w14:schemeClr w14:val="tx1"/>
                  </w14:solidFill>
                </w14:textFill>
              </w:rPr>
            </w:pPr>
          </w:p>
        </w:tc>
        <w:tc>
          <w:tcPr>
            <w:tcW w:w="557" w:type="pct"/>
            <w:tcBorders>
              <w:top w:val="nil"/>
              <w:left w:val="nil"/>
              <w:bottom w:val="single" w:color="auto" w:sz="4" w:space="0"/>
              <w:right w:val="single" w:color="auto" w:sz="4" w:space="0"/>
            </w:tcBorders>
            <w:shd w:val="clear" w:color="auto" w:fill="auto"/>
            <w:vAlign w:val="center"/>
          </w:tcPr>
          <w:p w14:paraId="0CF84B66">
            <w:pPr>
              <w:pStyle w:val="476"/>
              <w:rPr>
                <w:color w:val="000000" w:themeColor="text1"/>
                <w14:textFill>
                  <w14:solidFill>
                    <w14:schemeClr w14:val="tx1"/>
                  </w14:solidFill>
                </w14:textFill>
              </w:rPr>
            </w:pPr>
            <w:r>
              <w:rPr>
                <w:color w:val="000000" w:themeColor="text1"/>
                <w14:textFill>
                  <w14:solidFill>
                    <w14:schemeClr w14:val="tx1"/>
                  </w14:solidFill>
                </w14:textFill>
              </w:rPr>
              <w:t>出水</w:t>
            </w:r>
          </w:p>
        </w:tc>
        <w:tc>
          <w:tcPr>
            <w:tcW w:w="544" w:type="pct"/>
            <w:tcBorders>
              <w:top w:val="nil"/>
              <w:left w:val="nil"/>
              <w:bottom w:val="single" w:color="auto" w:sz="4" w:space="0"/>
              <w:right w:val="single" w:color="auto" w:sz="4" w:space="0"/>
            </w:tcBorders>
            <w:shd w:val="clear" w:color="auto" w:fill="auto"/>
            <w:vAlign w:val="center"/>
          </w:tcPr>
          <w:p w14:paraId="58CD5023">
            <w:pPr>
              <w:pStyle w:val="476"/>
              <w:rPr>
                <w:color w:val="000000" w:themeColor="text1"/>
                <w14:textFill>
                  <w14:solidFill>
                    <w14:schemeClr w14:val="tx1"/>
                  </w14:solidFill>
                </w14:textFill>
              </w:rPr>
            </w:pPr>
            <w:r>
              <w:rPr>
                <w:color w:val="000000" w:themeColor="text1"/>
                <w14:textFill>
                  <w14:solidFill>
                    <w14:schemeClr w14:val="tx1"/>
                  </w14:solidFill>
                </w14:textFill>
              </w:rPr>
              <w:t>10</w:t>
            </w:r>
          </w:p>
        </w:tc>
        <w:tc>
          <w:tcPr>
            <w:tcW w:w="544" w:type="pct"/>
            <w:tcBorders>
              <w:top w:val="nil"/>
              <w:left w:val="nil"/>
              <w:bottom w:val="single" w:color="auto" w:sz="4" w:space="0"/>
              <w:right w:val="single" w:color="auto" w:sz="4" w:space="0"/>
            </w:tcBorders>
            <w:shd w:val="clear" w:color="auto" w:fill="auto"/>
            <w:vAlign w:val="center"/>
          </w:tcPr>
          <w:p w14:paraId="74F38735">
            <w:pPr>
              <w:pStyle w:val="476"/>
              <w:rPr>
                <w:color w:val="000000" w:themeColor="text1"/>
                <w14:textFill>
                  <w14:solidFill>
                    <w14:schemeClr w14:val="tx1"/>
                  </w14:solidFill>
                </w14:textFill>
              </w:rPr>
            </w:pPr>
            <w:r>
              <w:rPr>
                <w:color w:val="000000" w:themeColor="text1"/>
                <w14:textFill>
                  <w14:solidFill>
                    <w14:schemeClr w14:val="tx1"/>
                  </w14:solidFill>
                </w14:textFill>
              </w:rPr>
              <w:t>4</w:t>
            </w:r>
          </w:p>
        </w:tc>
        <w:tc>
          <w:tcPr>
            <w:tcW w:w="544" w:type="pct"/>
            <w:tcBorders>
              <w:top w:val="nil"/>
              <w:left w:val="nil"/>
              <w:bottom w:val="single" w:color="auto" w:sz="4" w:space="0"/>
              <w:right w:val="single" w:color="auto" w:sz="4" w:space="0"/>
            </w:tcBorders>
            <w:shd w:val="clear" w:color="auto" w:fill="auto"/>
            <w:vAlign w:val="center"/>
          </w:tcPr>
          <w:p w14:paraId="5B224B47">
            <w:pPr>
              <w:pStyle w:val="476"/>
              <w:rPr>
                <w:color w:val="000000" w:themeColor="text1"/>
                <w14:textFill>
                  <w14:solidFill>
                    <w14:schemeClr w14:val="tx1"/>
                  </w14:solidFill>
                </w14:textFill>
              </w:rPr>
            </w:pPr>
            <w:r>
              <w:rPr>
                <w:color w:val="000000" w:themeColor="text1"/>
                <w14:textFill>
                  <w14:solidFill>
                    <w14:schemeClr w14:val="tx1"/>
                  </w14:solidFill>
                </w14:textFill>
              </w:rPr>
              <w:t>0.42</w:t>
            </w:r>
          </w:p>
        </w:tc>
        <w:tc>
          <w:tcPr>
            <w:tcW w:w="593" w:type="pct"/>
            <w:tcBorders>
              <w:top w:val="nil"/>
              <w:left w:val="nil"/>
              <w:bottom w:val="single" w:color="auto" w:sz="4" w:space="0"/>
              <w:right w:val="single" w:color="auto" w:sz="4" w:space="0"/>
            </w:tcBorders>
            <w:shd w:val="clear" w:color="auto" w:fill="auto"/>
            <w:vAlign w:val="center"/>
          </w:tcPr>
          <w:p w14:paraId="7B486630">
            <w:pPr>
              <w:pStyle w:val="476"/>
              <w:rPr>
                <w:color w:val="000000" w:themeColor="text1"/>
                <w14:textFill>
                  <w14:solidFill>
                    <w14:schemeClr w14:val="tx1"/>
                  </w14:solidFill>
                </w14:textFill>
              </w:rPr>
            </w:pPr>
            <w:r>
              <w:rPr>
                <w:color w:val="000000" w:themeColor="text1"/>
                <w14:textFill>
                  <w14:solidFill>
                    <w14:schemeClr w14:val="tx1"/>
                  </w14:solidFill>
                </w14:textFill>
              </w:rPr>
              <w:t>4.92</w:t>
            </w:r>
          </w:p>
        </w:tc>
        <w:tc>
          <w:tcPr>
            <w:tcW w:w="554" w:type="pct"/>
            <w:tcBorders>
              <w:top w:val="nil"/>
              <w:left w:val="nil"/>
              <w:bottom w:val="single" w:color="auto" w:sz="4" w:space="0"/>
              <w:right w:val="single" w:color="auto" w:sz="4" w:space="0"/>
            </w:tcBorders>
            <w:shd w:val="clear" w:color="auto" w:fill="auto"/>
            <w:vAlign w:val="center"/>
          </w:tcPr>
          <w:p w14:paraId="127EF755">
            <w:pPr>
              <w:pStyle w:val="476"/>
              <w:rPr>
                <w:color w:val="000000" w:themeColor="text1"/>
                <w14:textFill>
                  <w14:solidFill>
                    <w14:schemeClr w14:val="tx1"/>
                  </w14:solidFill>
                </w14:textFill>
              </w:rPr>
            </w:pPr>
            <w:r>
              <w:rPr>
                <w:color w:val="000000" w:themeColor="text1"/>
                <w14:textFill>
                  <w14:solidFill>
                    <w14:schemeClr w14:val="tx1"/>
                  </w14:solidFill>
                </w14:textFill>
              </w:rPr>
              <w:t>1.64</w:t>
            </w:r>
          </w:p>
        </w:tc>
        <w:tc>
          <w:tcPr>
            <w:tcW w:w="474" w:type="pct"/>
            <w:tcBorders>
              <w:top w:val="nil"/>
              <w:left w:val="nil"/>
              <w:bottom w:val="single" w:color="auto" w:sz="4" w:space="0"/>
              <w:right w:val="single" w:color="auto" w:sz="4" w:space="0"/>
            </w:tcBorders>
            <w:shd w:val="clear" w:color="auto" w:fill="auto"/>
            <w:vAlign w:val="center"/>
          </w:tcPr>
          <w:p w14:paraId="11116BD0">
            <w:pPr>
              <w:pStyle w:val="476"/>
              <w:rPr>
                <w:color w:val="000000" w:themeColor="text1"/>
                <w14:textFill>
                  <w14:solidFill>
                    <w14:schemeClr w14:val="tx1"/>
                  </w14:solidFill>
                </w14:textFill>
              </w:rPr>
            </w:pPr>
            <w:r>
              <w:rPr>
                <w:color w:val="000000" w:themeColor="text1"/>
                <w14:textFill>
                  <w14:solidFill>
                    <w14:schemeClr w14:val="tx1"/>
                  </w14:solidFill>
                </w14:textFill>
              </w:rPr>
              <w:t>6.86</w:t>
            </w:r>
          </w:p>
        </w:tc>
      </w:tr>
      <w:tr w14:paraId="4A31F000">
        <w:tblPrEx>
          <w:tblCellMar>
            <w:top w:w="0" w:type="dxa"/>
            <w:left w:w="108" w:type="dxa"/>
            <w:bottom w:w="0" w:type="dxa"/>
            <w:right w:w="108" w:type="dxa"/>
          </w:tblCellMar>
        </w:tblPrEx>
        <w:trPr>
          <w:trHeight w:val="510" w:hRule="atLeast"/>
          <w:jc w:val="center"/>
        </w:trPr>
        <w:tc>
          <w:tcPr>
            <w:tcW w:w="677" w:type="pct"/>
            <w:vMerge w:val="restart"/>
            <w:tcBorders>
              <w:top w:val="nil"/>
              <w:left w:val="single" w:color="auto" w:sz="4" w:space="0"/>
              <w:right w:val="single" w:color="auto" w:sz="4" w:space="0"/>
            </w:tcBorders>
            <w:shd w:val="clear" w:color="auto" w:fill="auto"/>
            <w:vAlign w:val="center"/>
          </w:tcPr>
          <w:p w14:paraId="00EEC64A">
            <w:pPr>
              <w:pStyle w:val="476"/>
              <w:rPr>
                <w:color w:val="000000" w:themeColor="text1"/>
                <w14:textFill>
                  <w14:solidFill>
                    <w14:schemeClr w14:val="tx1"/>
                  </w14:solidFill>
                </w14:textFill>
              </w:rPr>
            </w:pPr>
            <w:r>
              <w:rPr>
                <w:color w:val="000000" w:themeColor="text1"/>
                <w14:textFill>
                  <w14:solidFill>
                    <w14:schemeClr w14:val="tx1"/>
                  </w14:solidFill>
                </w14:textFill>
              </w:rPr>
              <w:t>日溪乡污水处理厂</w:t>
            </w:r>
          </w:p>
        </w:tc>
        <w:tc>
          <w:tcPr>
            <w:tcW w:w="509" w:type="pct"/>
            <w:vMerge w:val="restart"/>
            <w:tcBorders>
              <w:top w:val="nil"/>
              <w:left w:val="single" w:color="auto" w:sz="4" w:space="0"/>
              <w:right w:val="single" w:color="auto" w:sz="4" w:space="0"/>
            </w:tcBorders>
            <w:shd w:val="clear" w:color="auto" w:fill="auto"/>
            <w:noWrap/>
            <w:vAlign w:val="center"/>
          </w:tcPr>
          <w:p w14:paraId="59FF6828">
            <w:pPr>
              <w:pStyle w:val="476"/>
              <w:rPr>
                <w:color w:val="000000" w:themeColor="text1"/>
                <w14:textFill>
                  <w14:solidFill>
                    <w14:schemeClr w14:val="tx1"/>
                  </w14:solidFill>
                </w14:textFill>
              </w:rPr>
            </w:pPr>
            <w:r>
              <w:rPr>
                <w:color w:val="000000" w:themeColor="text1"/>
                <w14:textFill>
                  <w14:solidFill>
                    <w14:schemeClr w14:val="tx1"/>
                  </w14:solidFill>
                </w14:textFill>
              </w:rPr>
              <w:t>2020.6.2</w:t>
            </w:r>
          </w:p>
        </w:tc>
        <w:tc>
          <w:tcPr>
            <w:tcW w:w="557" w:type="pct"/>
            <w:tcBorders>
              <w:top w:val="nil"/>
              <w:left w:val="nil"/>
              <w:bottom w:val="single" w:color="auto" w:sz="4" w:space="0"/>
              <w:right w:val="single" w:color="auto" w:sz="4" w:space="0"/>
            </w:tcBorders>
            <w:shd w:val="clear" w:color="auto" w:fill="auto"/>
            <w:vAlign w:val="center"/>
          </w:tcPr>
          <w:p w14:paraId="707FADF1">
            <w:pPr>
              <w:pStyle w:val="476"/>
              <w:rPr>
                <w:color w:val="000000" w:themeColor="text1"/>
                <w14:textFill>
                  <w14:solidFill>
                    <w14:schemeClr w14:val="tx1"/>
                  </w14:solidFill>
                </w14:textFill>
              </w:rPr>
            </w:pPr>
            <w:r>
              <w:rPr>
                <w:color w:val="000000" w:themeColor="text1"/>
                <w14:textFill>
                  <w14:solidFill>
                    <w14:schemeClr w14:val="tx1"/>
                  </w14:solidFill>
                </w14:textFill>
              </w:rPr>
              <w:t>进水</w:t>
            </w:r>
          </w:p>
        </w:tc>
        <w:tc>
          <w:tcPr>
            <w:tcW w:w="544" w:type="pct"/>
            <w:tcBorders>
              <w:top w:val="nil"/>
              <w:left w:val="nil"/>
              <w:bottom w:val="single" w:color="auto" w:sz="4" w:space="0"/>
              <w:right w:val="single" w:color="auto" w:sz="4" w:space="0"/>
            </w:tcBorders>
            <w:shd w:val="clear" w:color="auto" w:fill="auto"/>
            <w:vAlign w:val="center"/>
          </w:tcPr>
          <w:p w14:paraId="77E74AE6">
            <w:pPr>
              <w:pStyle w:val="476"/>
              <w:rPr>
                <w:color w:val="000000" w:themeColor="text1"/>
                <w14:textFill>
                  <w14:solidFill>
                    <w14:schemeClr w14:val="tx1"/>
                  </w14:solidFill>
                </w14:textFill>
              </w:rPr>
            </w:pPr>
            <w:r>
              <w:rPr>
                <w:color w:val="000000" w:themeColor="text1"/>
                <w14:textFill>
                  <w14:solidFill>
                    <w14:schemeClr w14:val="tx1"/>
                  </w14:solidFill>
                </w14:textFill>
              </w:rPr>
              <w:t>80</w:t>
            </w:r>
          </w:p>
        </w:tc>
        <w:tc>
          <w:tcPr>
            <w:tcW w:w="544" w:type="pct"/>
            <w:tcBorders>
              <w:top w:val="nil"/>
              <w:left w:val="nil"/>
              <w:bottom w:val="single" w:color="auto" w:sz="4" w:space="0"/>
              <w:right w:val="single" w:color="auto" w:sz="4" w:space="0"/>
            </w:tcBorders>
            <w:shd w:val="clear" w:color="auto" w:fill="auto"/>
            <w:vAlign w:val="center"/>
          </w:tcPr>
          <w:p w14:paraId="359FC703">
            <w:pPr>
              <w:pStyle w:val="476"/>
              <w:rPr>
                <w:color w:val="000000" w:themeColor="text1"/>
                <w14:textFill>
                  <w14:solidFill>
                    <w14:schemeClr w14:val="tx1"/>
                  </w14:solidFill>
                </w14:textFill>
              </w:rPr>
            </w:pPr>
            <w:r>
              <w:rPr>
                <w:color w:val="000000" w:themeColor="text1"/>
                <w14:textFill>
                  <w14:solidFill>
                    <w14:schemeClr w14:val="tx1"/>
                  </w14:solidFill>
                </w14:textFill>
              </w:rPr>
              <w:t>40</w:t>
            </w:r>
          </w:p>
        </w:tc>
        <w:tc>
          <w:tcPr>
            <w:tcW w:w="544" w:type="pct"/>
            <w:tcBorders>
              <w:top w:val="nil"/>
              <w:left w:val="nil"/>
              <w:bottom w:val="single" w:color="auto" w:sz="4" w:space="0"/>
              <w:right w:val="single" w:color="auto" w:sz="4" w:space="0"/>
            </w:tcBorders>
            <w:shd w:val="clear" w:color="auto" w:fill="auto"/>
            <w:vAlign w:val="center"/>
          </w:tcPr>
          <w:p w14:paraId="0A3F0BE8">
            <w:pPr>
              <w:pStyle w:val="476"/>
              <w:rPr>
                <w:color w:val="000000" w:themeColor="text1"/>
                <w14:textFill>
                  <w14:solidFill>
                    <w14:schemeClr w14:val="tx1"/>
                  </w14:solidFill>
                </w14:textFill>
              </w:rPr>
            </w:pPr>
            <w:r>
              <w:rPr>
                <w:color w:val="000000" w:themeColor="text1"/>
                <w14:textFill>
                  <w14:solidFill>
                    <w14:schemeClr w14:val="tx1"/>
                  </w14:solidFill>
                </w14:textFill>
              </w:rPr>
              <w:t>1.55</w:t>
            </w:r>
          </w:p>
        </w:tc>
        <w:tc>
          <w:tcPr>
            <w:tcW w:w="593" w:type="pct"/>
            <w:tcBorders>
              <w:top w:val="nil"/>
              <w:left w:val="nil"/>
              <w:bottom w:val="single" w:color="auto" w:sz="4" w:space="0"/>
              <w:right w:val="single" w:color="auto" w:sz="4" w:space="0"/>
            </w:tcBorders>
            <w:shd w:val="clear" w:color="auto" w:fill="auto"/>
            <w:vAlign w:val="center"/>
          </w:tcPr>
          <w:p w14:paraId="53F1EF30">
            <w:pPr>
              <w:pStyle w:val="476"/>
              <w:rPr>
                <w:color w:val="000000" w:themeColor="text1"/>
                <w14:textFill>
                  <w14:solidFill>
                    <w14:schemeClr w14:val="tx1"/>
                  </w14:solidFill>
                </w14:textFill>
              </w:rPr>
            </w:pPr>
            <w:r>
              <w:rPr>
                <w:color w:val="000000" w:themeColor="text1"/>
                <w14:textFill>
                  <w14:solidFill>
                    <w14:schemeClr w14:val="tx1"/>
                  </w14:solidFill>
                </w14:textFill>
              </w:rPr>
              <w:t>17.4</w:t>
            </w:r>
          </w:p>
        </w:tc>
        <w:tc>
          <w:tcPr>
            <w:tcW w:w="554" w:type="pct"/>
            <w:tcBorders>
              <w:top w:val="nil"/>
              <w:left w:val="nil"/>
              <w:bottom w:val="single" w:color="auto" w:sz="4" w:space="0"/>
              <w:right w:val="single" w:color="auto" w:sz="4" w:space="0"/>
            </w:tcBorders>
            <w:shd w:val="clear" w:color="auto" w:fill="auto"/>
            <w:vAlign w:val="center"/>
          </w:tcPr>
          <w:p w14:paraId="1EC42A7E">
            <w:pPr>
              <w:pStyle w:val="476"/>
              <w:rPr>
                <w:color w:val="000000" w:themeColor="text1"/>
                <w14:textFill>
                  <w14:solidFill>
                    <w14:schemeClr w14:val="tx1"/>
                  </w14:solidFill>
                </w14:textFill>
              </w:rPr>
            </w:pPr>
            <w:r>
              <w:rPr>
                <w:color w:val="000000" w:themeColor="text1"/>
                <w14:textFill>
                  <w14:solidFill>
                    <w14:schemeClr w14:val="tx1"/>
                  </w14:solidFill>
                </w14:textFill>
              </w:rPr>
              <w:t>4.04</w:t>
            </w:r>
          </w:p>
        </w:tc>
        <w:tc>
          <w:tcPr>
            <w:tcW w:w="474" w:type="pct"/>
            <w:tcBorders>
              <w:top w:val="nil"/>
              <w:left w:val="nil"/>
              <w:bottom w:val="single" w:color="auto" w:sz="4" w:space="0"/>
              <w:right w:val="single" w:color="auto" w:sz="4" w:space="0"/>
            </w:tcBorders>
            <w:shd w:val="clear" w:color="auto" w:fill="auto"/>
            <w:vAlign w:val="center"/>
          </w:tcPr>
          <w:p w14:paraId="37A2D46D">
            <w:pPr>
              <w:pStyle w:val="476"/>
              <w:rPr>
                <w:color w:val="000000" w:themeColor="text1"/>
                <w14:textFill>
                  <w14:solidFill>
                    <w14:schemeClr w14:val="tx1"/>
                  </w14:solidFill>
                </w14:textFill>
              </w:rPr>
            </w:pPr>
            <w:r>
              <w:rPr>
                <w:color w:val="000000" w:themeColor="text1"/>
                <w14:textFill>
                  <w14:solidFill>
                    <w14:schemeClr w14:val="tx1"/>
                  </w14:solidFill>
                </w14:textFill>
              </w:rPr>
              <w:t>6.71</w:t>
            </w:r>
          </w:p>
        </w:tc>
      </w:tr>
      <w:tr w14:paraId="160B995B">
        <w:tblPrEx>
          <w:tblCellMar>
            <w:top w:w="0" w:type="dxa"/>
            <w:left w:w="108" w:type="dxa"/>
            <w:bottom w:w="0" w:type="dxa"/>
            <w:right w:w="108" w:type="dxa"/>
          </w:tblCellMar>
        </w:tblPrEx>
        <w:trPr>
          <w:trHeight w:val="510" w:hRule="atLeast"/>
          <w:jc w:val="center"/>
        </w:trPr>
        <w:tc>
          <w:tcPr>
            <w:tcW w:w="677" w:type="pct"/>
            <w:vMerge w:val="continue"/>
            <w:tcBorders>
              <w:left w:val="single" w:color="auto" w:sz="4" w:space="0"/>
              <w:bottom w:val="single" w:color="auto" w:sz="4" w:space="0"/>
              <w:right w:val="single" w:color="auto" w:sz="4" w:space="0"/>
            </w:tcBorders>
            <w:shd w:val="clear" w:color="auto" w:fill="auto"/>
            <w:vAlign w:val="center"/>
          </w:tcPr>
          <w:p w14:paraId="13BA9562">
            <w:pPr>
              <w:pStyle w:val="476"/>
              <w:rPr>
                <w:color w:val="000000" w:themeColor="text1"/>
                <w14:textFill>
                  <w14:solidFill>
                    <w14:schemeClr w14:val="tx1"/>
                  </w14:solidFill>
                </w14:textFill>
              </w:rPr>
            </w:pPr>
          </w:p>
        </w:tc>
        <w:tc>
          <w:tcPr>
            <w:tcW w:w="509" w:type="pct"/>
            <w:vMerge w:val="continue"/>
            <w:tcBorders>
              <w:left w:val="single" w:color="auto" w:sz="4" w:space="0"/>
              <w:bottom w:val="single" w:color="auto" w:sz="4" w:space="0"/>
              <w:right w:val="single" w:color="auto" w:sz="4" w:space="0"/>
            </w:tcBorders>
            <w:shd w:val="clear" w:color="auto" w:fill="auto"/>
            <w:noWrap/>
            <w:vAlign w:val="center"/>
          </w:tcPr>
          <w:p w14:paraId="5D204EFC">
            <w:pPr>
              <w:pStyle w:val="476"/>
              <w:rPr>
                <w:color w:val="000000" w:themeColor="text1"/>
                <w14:textFill>
                  <w14:solidFill>
                    <w14:schemeClr w14:val="tx1"/>
                  </w14:solidFill>
                </w14:textFill>
              </w:rPr>
            </w:pPr>
          </w:p>
        </w:tc>
        <w:tc>
          <w:tcPr>
            <w:tcW w:w="557" w:type="pct"/>
            <w:tcBorders>
              <w:top w:val="nil"/>
              <w:left w:val="nil"/>
              <w:bottom w:val="single" w:color="auto" w:sz="4" w:space="0"/>
              <w:right w:val="single" w:color="auto" w:sz="4" w:space="0"/>
            </w:tcBorders>
            <w:shd w:val="clear" w:color="auto" w:fill="auto"/>
            <w:vAlign w:val="center"/>
          </w:tcPr>
          <w:p w14:paraId="091B61FC">
            <w:pPr>
              <w:pStyle w:val="476"/>
              <w:rPr>
                <w:color w:val="000000" w:themeColor="text1"/>
                <w14:textFill>
                  <w14:solidFill>
                    <w14:schemeClr w14:val="tx1"/>
                  </w14:solidFill>
                </w14:textFill>
              </w:rPr>
            </w:pPr>
            <w:r>
              <w:rPr>
                <w:color w:val="000000" w:themeColor="text1"/>
                <w14:textFill>
                  <w14:solidFill>
                    <w14:schemeClr w14:val="tx1"/>
                  </w14:solidFill>
                </w14:textFill>
              </w:rPr>
              <w:t>出水</w:t>
            </w:r>
          </w:p>
        </w:tc>
        <w:tc>
          <w:tcPr>
            <w:tcW w:w="544" w:type="pct"/>
            <w:tcBorders>
              <w:top w:val="nil"/>
              <w:left w:val="nil"/>
              <w:bottom w:val="single" w:color="auto" w:sz="4" w:space="0"/>
              <w:right w:val="single" w:color="auto" w:sz="4" w:space="0"/>
            </w:tcBorders>
            <w:shd w:val="clear" w:color="auto" w:fill="auto"/>
            <w:vAlign w:val="center"/>
          </w:tcPr>
          <w:p w14:paraId="323B9EC1">
            <w:pPr>
              <w:pStyle w:val="476"/>
              <w:rPr>
                <w:color w:val="000000" w:themeColor="text1"/>
                <w14:textFill>
                  <w14:solidFill>
                    <w14:schemeClr w14:val="tx1"/>
                  </w14:solidFill>
                </w14:textFill>
              </w:rPr>
            </w:pPr>
            <w:r>
              <w:rPr>
                <w:color w:val="000000" w:themeColor="text1"/>
                <w14:textFill>
                  <w14:solidFill>
                    <w14:schemeClr w14:val="tx1"/>
                  </w14:solidFill>
                </w14:textFill>
              </w:rPr>
              <w:t>15</w:t>
            </w:r>
          </w:p>
        </w:tc>
        <w:tc>
          <w:tcPr>
            <w:tcW w:w="544" w:type="pct"/>
            <w:tcBorders>
              <w:top w:val="nil"/>
              <w:left w:val="nil"/>
              <w:bottom w:val="single" w:color="auto" w:sz="4" w:space="0"/>
              <w:right w:val="single" w:color="auto" w:sz="4" w:space="0"/>
            </w:tcBorders>
            <w:shd w:val="clear" w:color="auto" w:fill="auto"/>
            <w:vAlign w:val="center"/>
          </w:tcPr>
          <w:p w14:paraId="291EA4BA">
            <w:pPr>
              <w:pStyle w:val="476"/>
              <w:rPr>
                <w:color w:val="000000" w:themeColor="text1"/>
                <w14:textFill>
                  <w14:solidFill>
                    <w14:schemeClr w14:val="tx1"/>
                  </w14:solidFill>
                </w14:textFill>
              </w:rPr>
            </w:pPr>
            <w:r>
              <w:rPr>
                <w:color w:val="000000" w:themeColor="text1"/>
                <w14:textFill>
                  <w14:solidFill>
                    <w14:schemeClr w14:val="tx1"/>
                  </w14:solidFill>
                </w14:textFill>
              </w:rPr>
              <w:t>9</w:t>
            </w:r>
          </w:p>
        </w:tc>
        <w:tc>
          <w:tcPr>
            <w:tcW w:w="544" w:type="pct"/>
            <w:tcBorders>
              <w:top w:val="nil"/>
              <w:left w:val="nil"/>
              <w:bottom w:val="single" w:color="auto" w:sz="4" w:space="0"/>
              <w:right w:val="single" w:color="auto" w:sz="4" w:space="0"/>
            </w:tcBorders>
            <w:shd w:val="clear" w:color="auto" w:fill="auto"/>
            <w:vAlign w:val="center"/>
          </w:tcPr>
          <w:p w14:paraId="3942A8FF">
            <w:pPr>
              <w:pStyle w:val="476"/>
              <w:rPr>
                <w:color w:val="000000" w:themeColor="text1"/>
                <w14:textFill>
                  <w14:solidFill>
                    <w14:schemeClr w14:val="tx1"/>
                  </w14:solidFill>
                </w14:textFill>
              </w:rPr>
            </w:pPr>
            <w:r>
              <w:rPr>
                <w:color w:val="000000" w:themeColor="text1"/>
                <w14:textFill>
                  <w14:solidFill>
                    <w14:schemeClr w14:val="tx1"/>
                  </w14:solidFill>
                </w14:textFill>
              </w:rPr>
              <w:t>0.15</w:t>
            </w:r>
          </w:p>
        </w:tc>
        <w:tc>
          <w:tcPr>
            <w:tcW w:w="593" w:type="pct"/>
            <w:tcBorders>
              <w:top w:val="nil"/>
              <w:left w:val="nil"/>
              <w:bottom w:val="single" w:color="auto" w:sz="4" w:space="0"/>
              <w:right w:val="single" w:color="auto" w:sz="4" w:space="0"/>
            </w:tcBorders>
            <w:shd w:val="clear" w:color="auto" w:fill="auto"/>
            <w:vAlign w:val="center"/>
          </w:tcPr>
          <w:p w14:paraId="41D04ED7">
            <w:pPr>
              <w:pStyle w:val="476"/>
              <w:rPr>
                <w:color w:val="000000" w:themeColor="text1"/>
                <w14:textFill>
                  <w14:solidFill>
                    <w14:schemeClr w14:val="tx1"/>
                  </w14:solidFill>
                </w14:textFill>
              </w:rPr>
            </w:pPr>
            <w:r>
              <w:rPr>
                <w:color w:val="000000" w:themeColor="text1"/>
                <w14:textFill>
                  <w14:solidFill>
                    <w14:schemeClr w14:val="tx1"/>
                  </w14:solidFill>
                </w14:textFill>
              </w:rPr>
              <w:t>1.40</w:t>
            </w:r>
          </w:p>
        </w:tc>
        <w:tc>
          <w:tcPr>
            <w:tcW w:w="554" w:type="pct"/>
            <w:tcBorders>
              <w:top w:val="nil"/>
              <w:left w:val="nil"/>
              <w:bottom w:val="single" w:color="auto" w:sz="4" w:space="0"/>
              <w:right w:val="single" w:color="auto" w:sz="4" w:space="0"/>
            </w:tcBorders>
            <w:shd w:val="clear" w:color="auto" w:fill="auto"/>
            <w:vAlign w:val="center"/>
          </w:tcPr>
          <w:p w14:paraId="20D1346B">
            <w:pPr>
              <w:pStyle w:val="476"/>
              <w:rPr>
                <w:color w:val="000000" w:themeColor="text1"/>
                <w14:textFill>
                  <w14:solidFill>
                    <w14:schemeClr w14:val="tx1"/>
                  </w14:solidFill>
                </w14:textFill>
              </w:rPr>
            </w:pPr>
            <w:r>
              <w:rPr>
                <w:color w:val="000000" w:themeColor="text1"/>
                <w14:textFill>
                  <w14:solidFill>
                    <w14:schemeClr w14:val="tx1"/>
                  </w14:solidFill>
                </w14:textFill>
              </w:rPr>
              <w:t>0.34</w:t>
            </w:r>
          </w:p>
        </w:tc>
        <w:tc>
          <w:tcPr>
            <w:tcW w:w="474" w:type="pct"/>
            <w:tcBorders>
              <w:top w:val="nil"/>
              <w:left w:val="nil"/>
              <w:bottom w:val="single" w:color="auto" w:sz="4" w:space="0"/>
              <w:right w:val="single" w:color="auto" w:sz="4" w:space="0"/>
            </w:tcBorders>
            <w:shd w:val="clear" w:color="auto" w:fill="auto"/>
            <w:vAlign w:val="center"/>
          </w:tcPr>
          <w:p w14:paraId="47FBBEB3">
            <w:pPr>
              <w:pStyle w:val="476"/>
              <w:rPr>
                <w:color w:val="000000" w:themeColor="text1"/>
                <w14:textFill>
                  <w14:solidFill>
                    <w14:schemeClr w14:val="tx1"/>
                  </w14:solidFill>
                </w14:textFill>
              </w:rPr>
            </w:pPr>
            <w:r>
              <w:rPr>
                <w:color w:val="000000" w:themeColor="text1"/>
                <w14:textFill>
                  <w14:solidFill>
                    <w14:schemeClr w14:val="tx1"/>
                  </w14:solidFill>
                </w14:textFill>
              </w:rPr>
              <w:t>7.01</w:t>
            </w:r>
          </w:p>
        </w:tc>
      </w:tr>
      <w:tr w14:paraId="6938C9D4">
        <w:tblPrEx>
          <w:tblCellMar>
            <w:top w:w="0" w:type="dxa"/>
            <w:left w:w="108" w:type="dxa"/>
            <w:bottom w:w="0" w:type="dxa"/>
            <w:right w:w="108" w:type="dxa"/>
          </w:tblCellMar>
        </w:tblPrEx>
        <w:trPr>
          <w:trHeight w:val="510" w:hRule="atLeast"/>
          <w:jc w:val="center"/>
        </w:trPr>
        <w:tc>
          <w:tcPr>
            <w:tcW w:w="677" w:type="pct"/>
            <w:vMerge w:val="restart"/>
            <w:tcBorders>
              <w:top w:val="nil"/>
              <w:left w:val="single" w:color="auto" w:sz="4" w:space="0"/>
              <w:right w:val="single" w:color="auto" w:sz="4" w:space="0"/>
            </w:tcBorders>
            <w:shd w:val="clear" w:color="auto" w:fill="auto"/>
            <w:vAlign w:val="center"/>
          </w:tcPr>
          <w:p w14:paraId="61D17B46">
            <w:pPr>
              <w:pStyle w:val="476"/>
              <w:rPr>
                <w:color w:val="000000" w:themeColor="text1"/>
                <w14:textFill>
                  <w14:solidFill>
                    <w14:schemeClr w14:val="tx1"/>
                  </w14:solidFill>
                </w14:textFill>
              </w:rPr>
            </w:pPr>
            <w:r>
              <w:rPr>
                <w:color w:val="000000" w:themeColor="text1"/>
                <w14:textFill>
                  <w14:solidFill>
                    <w14:schemeClr w14:val="tx1"/>
                  </w14:solidFill>
                </w14:textFill>
              </w:rPr>
              <w:t>宦溪镇污水处理厂</w:t>
            </w:r>
          </w:p>
        </w:tc>
        <w:tc>
          <w:tcPr>
            <w:tcW w:w="509" w:type="pct"/>
            <w:vMerge w:val="restart"/>
            <w:tcBorders>
              <w:top w:val="nil"/>
              <w:left w:val="single" w:color="auto" w:sz="4" w:space="0"/>
              <w:right w:val="single" w:color="auto" w:sz="4" w:space="0"/>
            </w:tcBorders>
            <w:shd w:val="clear" w:color="auto" w:fill="auto"/>
            <w:noWrap/>
            <w:vAlign w:val="center"/>
          </w:tcPr>
          <w:p w14:paraId="2AE4FC52">
            <w:pPr>
              <w:pStyle w:val="476"/>
              <w:rPr>
                <w:color w:val="000000" w:themeColor="text1"/>
                <w14:textFill>
                  <w14:solidFill>
                    <w14:schemeClr w14:val="tx1"/>
                  </w14:solidFill>
                </w14:textFill>
              </w:rPr>
            </w:pPr>
            <w:r>
              <w:rPr>
                <w:color w:val="000000" w:themeColor="text1"/>
                <w14:textFill>
                  <w14:solidFill>
                    <w14:schemeClr w14:val="tx1"/>
                  </w14:solidFill>
                </w14:textFill>
              </w:rPr>
              <w:t>2020.6.4</w:t>
            </w:r>
          </w:p>
        </w:tc>
        <w:tc>
          <w:tcPr>
            <w:tcW w:w="557" w:type="pct"/>
            <w:tcBorders>
              <w:top w:val="nil"/>
              <w:left w:val="nil"/>
              <w:bottom w:val="single" w:color="auto" w:sz="4" w:space="0"/>
              <w:right w:val="single" w:color="auto" w:sz="4" w:space="0"/>
            </w:tcBorders>
            <w:shd w:val="clear" w:color="auto" w:fill="auto"/>
            <w:vAlign w:val="center"/>
          </w:tcPr>
          <w:p w14:paraId="32694C42">
            <w:pPr>
              <w:pStyle w:val="476"/>
              <w:rPr>
                <w:color w:val="000000" w:themeColor="text1"/>
                <w14:textFill>
                  <w14:solidFill>
                    <w14:schemeClr w14:val="tx1"/>
                  </w14:solidFill>
                </w14:textFill>
              </w:rPr>
            </w:pPr>
            <w:r>
              <w:rPr>
                <w:color w:val="000000" w:themeColor="text1"/>
                <w14:textFill>
                  <w14:solidFill>
                    <w14:schemeClr w14:val="tx1"/>
                  </w14:solidFill>
                </w14:textFill>
              </w:rPr>
              <w:t>进水</w:t>
            </w:r>
          </w:p>
        </w:tc>
        <w:tc>
          <w:tcPr>
            <w:tcW w:w="544" w:type="pct"/>
            <w:tcBorders>
              <w:top w:val="nil"/>
              <w:left w:val="nil"/>
              <w:bottom w:val="single" w:color="auto" w:sz="4" w:space="0"/>
              <w:right w:val="single" w:color="auto" w:sz="4" w:space="0"/>
            </w:tcBorders>
            <w:shd w:val="clear" w:color="auto" w:fill="auto"/>
            <w:vAlign w:val="center"/>
          </w:tcPr>
          <w:p w14:paraId="26C12FCC">
            <w:pPr>
              <w:pStyle w:val="476"/>
              <w:rPr>
                <w:color w:val="000000" w:themeColor="text1"/>
                <w14:textFill>
                  <w14:solidFill>
                    <w14:schemeClr w14:val="tx1"/>
                  </w14:solidFill>
                </w14:textFill>
              </w:rPr>
            </w:pPr>
            <w:r>
              <w:rPr>
                <w:color w:val="000000" w:themeColor="text1"/>
                <w14:textFill>
                  <w14:solidFill>
                    <w14:schemeClr w14:val="tx1"/>
                  </w14:solidFill>
                </w14:textFill>
              </w:rPr>
              <w:t>130</w:t>
            </w:r>
          </w:p>
        </w:tc>
        <w:tc>
          <w:tcPr>
            <w:tcW w:w="544" w:type="pct"/>
            <w:tcBorders>
              <w:top w:val="nil"/>
              <w:left w:val="nil"/>
              <w:bottom w:val="single" w:color="auto" w:sz="4" w:space="0"/>
              <w:right w:val="single" w:color="auto" w:sz="4" w:space="0"/>
            </w:tcBorders>
            <w:shd w:val="clear" w:color="auto" w:fill="auto"/>
            <w:vAlign w:val="center"/>
          </w:tcPr>
          <w:p w14:paraId="5144EB08">
            <w:pPr>
              <w:pStyle w:val="476"/>
              <w:rPr>
                <w:color w:val="000000" w:themeColor="text1"/>
                <w14:textFill>
                  <w14:solidFill>
                    <w14:schemeClr w14:val="tx1"/>
                  </w14:solidFill>
                </w14:textFill>
              </w:rPr>
            </w:pPr>
            <w:r>
              <w:rPr>
                <w:color w:val="000000" w:themeColor="text1"/>
                <w14:textFill>
                  <w14:solidFill>
                    <w14:schemeClr w14:val="tx1"/>
                  </w14:solidFill>
                </w14:textFill>
              </w:rPr>
              <w:t>100</w:t>
            </w:r>
          </w:p>
        </w:tc>
        <w:tc>
          <w:tcPr>
            <w:tcW w:w="544" w:type="pct"/>
            <w:tcBorders>
              <w:top w:val="nil"/>
              <w:left w:val="nil"/>
              <w:bottom w:val="single" w:color="auto" w:sz="4" w:space="0"/>
              <w:right w:val="single" w:color="auto" w:sz="4" w:space="0"/>
            </w:tcBorders>
            <w:shd w:val="clear" w:color="auto" w:fill="auto"/>
            <w:vAlign w:val="center"/>
          </w:tcPr>
          <w:p w14:paraId="3A85806D">
            <w:pPr>
              <w:pStyle w:val="476"/>
              <w:rPr>
                <w:color w:val="000000" w:themeColor="text1"/>
                <w14:textFill>
                  <w14:solidFill>
                    <w14:schemeClr w14:val="tx1"/>
                  </w14:solidFill>
                </w14:textFill>
              </w:rPr>
            </w:pPr>
            <w:r>
              <w:rPr>
                <w:color w:val="000000" w:themeColor="text1"/>
                <w14:textFill>
                  <w14:solidFill>
                    <w14:schemeClr w14:val="tx1"/>
                  </w14:solidFill>
                </w14:textFill>
              </w:rPr>
              <w:t>4.84</w:t>
            </w:r>
          </w:p>
        </w:tc>
        <w:tc>
          <w:tcPr>
            <w:tcW w:w="593" w:type="pct"/>
            <w:tcBorders>
              <w:top w:val="nil"/>
              <w:left w:val="nil"/>
              <w:bottom w:val="single" w:color="auto" w:sz="4" w:space="0"/>
              <w:right w:val="single" w:color="auto" w:sz="4" w:space="0"/>
            </w:tcBorders>
            <w:shd w:val="clear" w:color="auto" w:fill="auto"/>
            <w:vAlign w:val="center"/>
          </w:tcPr>
          <w:p w14:paraId="1C9FDF3D">
            <w:pPr>
              <w:pStyle w:val="476"/>
              <w:rPr>
                <w:color w:val="000000" w:themeColor="text1"/>
                <w14:textFill>
                  <w14:solidFill>
                    <w14:schemeClr w14:val="tx1"/>
                  </w14:solidFill>
                </w14:textFill>
              </w:rPr>
            </w:pPr>
            <w:r>
              <w:rPr>
                <w:color w:val="000000" w:themeColor="text1"/>
                <w14:textFill>
                  <w14:solidFill>
                    <w14:schemeClr w14:val="tx1"/>
                  </w14:solidFill>
                </w14:textFill>
              </w:rPr>
              <w:t>20.9</w:t>
            </w:r>
          </w:p>
        </w:tc>
        <w:tc>
          <w:tcPr>
            <w:tcW w:w="554" w:type="pct"/>
            <w:tcBorders>
              <w:top w:val="nil"/>
              <w:left w:val="nil"/>
              <w:bottom w:val="single" w:color="auto" w:sz="4" w:space="0"/>
              <w:right w:val="single" w:color="auto" w:sz="4" w:space="0"/>
            </w:tcBorders>
            <w:shd w:val="clear" w:color="auto" w:fill="auto"/>
            <w:vAlign w:val="center"/>
          </w:tcPr>
          <w:p w14:paraId="4E5CE747">
            <w:pPr>
              <w:pStyle w:val="476"/>
              <w:rPr>
                <w:color w:val="000000" w:themeColor="text1"/>
                <w14:textFill>
                  <w14:solidFill>
                    <w14:schemeClr w14:val="tx1"/>
                  </w14:solidFill>
                </w14:textFill>
              </w:rPr>
            </w:pPr>
            <w:r>
              <w:rPr>
                <w:color w:val="000000" w:themeColor="text1"/>
                <w14:textFill>
                  <w14:solidFill>
                    <w14:schemeClr w14:val="tx1"/>
                  </w14:solidFill>
                </w14:textFill>
              </w:rPr>
              <w:t>16.0</w:t>
            </w:r>
          </w:p>
        </w:tc>
        <w:tc>
          <w:tcPr>
            <w:tcW w:w="474" w:type="pct"/>
            <w:tcBorders>
              <w:top w:val="nil"/>
              <w:left w:val="nil"/>
              <w:bottom w:val="single" w:color="auto" w:sz="4" w:space="0"/>
              <w:right w:val="single" w:color="auto" w:sz="4" w:space="0"/>
            </w:tcBorders>
            <w:shd w:val="clear" w:color="auto" w:fill="auto"/>
            <w:vAlign w:val="center"/>
          </w:tcPr>
          <w:p w14:paraId="52EC963B">
            <w:pPr>
              <w:pStyle w:val="476"/>
              <w:rPr>
                <w:color w:val="000000" w:themeColor="text1"/>
                <w14:textFill>
                  <w14:solidFill>
                    <w14:schemeClr w14:val="tx1"/>
                  </w14:solidFill>
                </w14:textFill>
              </w:rPr>
            </w:pPr>
            <w:r>
              <w:rPr>
                <w:color w:val="000000" w:themeColor="text1"/>
                <w14:textFill>
                  <w14:solidFill>
                    <w14:schemeClr w14:val="tx1"/>
                  </w14:solidFill>
                </w14:textFill>
              </w:rPr>
              <w:t>6.96</w:t>
            </w:r>
          </w:p>
        </w:tc>
      </w:tr>
      <w:tr w14:paraId="0BBEA002">
        <w:tblPrEx>
          <w:tblCellMar>
            <w:top w:w="0" w:type="dxa"/>
            <w:left w:w="108" w:type="dxa"/>
            <w:bottom w:w="0" w:type="dxa"/>
            <w:right w:w="108" w:type="dxa"/>
          </w:tblCellMar>
        </w:tblPrEx>
        <w:trPr>
          <w:trHeight w:val="510" w:hRule="atLeast"/>
          <w:jc w:val="center"/>
        </w:trPr>
        <w:tc>
          <w:tcPr>
            <w:tcW w:w="677" w:type="pct"/>
            <w:vMerge w:val="continue"/>
            <w:tcBorders>
              <w:left w:val="single" w:color="auto" w:sz="4" w:space="0"/>
              <w:bottom w:val="single" w:color="auto" w:sz="4" w:space="0"/>
              <w:right w:val="single" w:color="auto" w:sz="4" w:space="0"/>
            </w:tcBorders>
            <w:shd w:val="clear" w:color="auto" w:fill="auto"/>
            <w:vAlign w:val="center"/>
          </w:tcPr>
          <w:p w14:paraId="0AF103DF">
            <w:pPr>
              <w:pStyle w:val="476"/>
              <w:rPr>
                <w:color w:val="000000" w:themeColor="text1"/>
                <w14:textFill>
                  <w14:solidFill>
                    <w14:schemeClr w14:val="tx1"/>
                  </w14:solidFill>
                </w14:textFill>
              </w:rPr>
            </w:pPr>
          </w:p>
        </w:tc>
        <w:tc>
          <w:tcPr>
            <w:tcW w:w="509" w:type="pct"/>
            <w:vMerge w:val="continue"/>
            <w:tcBorders>
              <w:left w:val="single" w:color="auto" w:sz="4" w:space="0"/>
              <w:bottom w:val="single" w:color="auto" w:sz="4" w:space="0"/>
              <w:right w:val="single" w:color="auto" w:sz="4" w:space="0"/>
            </w:tcBorders>
            <w:shd w:val="clear" w:color="auto" w:fill="auto"/>
            <w:noWrap/>
            <w:vAlign w:val="center"/>
          </w:tcPr>
          <w:p w14:paraId="497F6AD6">
            <w:pPr>
              <w:pStyle w:val="476"/>
              <w:rPr>
                <w:color w:val="000000" w:themeColor="text1"/>
                <w14:textFill>
                  <w14:solidFill>
                    <w14:schemeClr w14:val="tx1"/>
                  </w14:solidFill>
                </w14:textFill>
              </w:rPr>
            </w:pPr>
          </w:p>
        </w:tc>
        <w:tc>
          <w:tcPr>
            <w:tcW w:w="557" w:type="pct"/>
            <w:tcBorders>
              <w:top w:val="nil"/>
              <w:left w:val="nil"/>
              <w:bottom w:val="single" w:color="auto" w:sz="4" w:space="0"/>
              <w:right w:val="single" w:color="auto" w:sz="4" w:space="0"/>
            </w:tcBorders>
            <w:shd w:val="clear" w:color="auto" w:fill="auto"/>
            <w:vAlign w:val="center"/>
          </w:tcPr>
          <w:p w14:paraId="24B27DDE">
            <w:pPr>
              <w:pStyle w:val="476"/>
              <w:rPr>
                <w:color w:val="000000" w:themeColor="text1"/>
                <w14:textFill>
                  <w14:solidFill>
                    <w14:schemeClr w14:val="tx1"/>
                  </w14:solidFill>
                </w14:textFill>
              </w:rPr>
            </w:pPr>
            <w:r>
              <w:rPr>
                <w:color w:val="000000" w:themeColor="text1"/>
                <w14:textFill>
                  <w14:solidFill>
                    <w14:schemeClr w14:val="tx1"/>
                  </w14:solidFill>
                </w14:textFill>
              </w:rPr>
              <w:t>出水</w:t>
            </w:r>
          </w:p>
        </w:tc>
        <w:tc>
          <w:tcPr>
            <w:tcW w:w="544" w:type="pct"/>
            <w:tcBorders>
              <w:top w:val="nil"/>
              <w:left w:val="nil"/>
              <w:bottom w:val="single" w:color="auto" w:sz="4" w:space="0"/>
              <w:right w:val="single" w:color="auto" w:sz="4" w:space="0"/>
            </w:tcBorders>
            <w:shd w:val="clear" w:color="auto" w:fill="auto"/>
            <w:vAlign w:val="center"/>
          </w:tcPr>
          <w:p w14:paraId="40A6F853">
            <w:pPr>
              <w:pStyle w:val="476"/>
              <w:rPr>
                <w:color w:val="000000" w:themeColor="text1"/>
                <w14:textFill>
                  <w14:solidFill>
                    <w14:schemeClr w14:val="tx1"/>
                  </w14:solidFill>
                </w14:textFill>
              </w:rPr>
            </w:pPr>
            <w:r>
              <w:rPr>
                <w:color w:val="000000" w:themeColor="text1"/>
                <w14:textFill>
                  <w14:solidFill>
                    <w14:schemeClr w14:val="tx1"/>
                  </w14:solidFill>
                </w14:textFill>
              </w:rPr>
              <w:t>14</w:t>
            </w:r>
          </w:p>
        </w:tc>
        <w:tc>
          <w:tcPr>
            <w:tcW w:w="544" w:type="pct"/>
            <w:tcBorders>
              <w:top w:val="nil"/>
              <w:left w:val="nil"/>
              <w:bottom w:val="single" w:color="auto" w:sz="4" w:space="0"/>
              <w:right w:val="single" w:color="auto" w:sz="4" w:space="0"/>
            </w:tcBorders>
            <w:shd w:val="clear" w:color="auto" w:fill="auto"/>
            <w:vAlign w:val="center"/>
          </w:tcPr>
          <w:p w14:paraId="0C4DA91C">
            <w:pPr>
              <w:pStyle w:val="476"/>
              <w:rPr>
                <w:color w:val="000000" w:themeColor="text1"/>
                <w14:textFill>
                  <w14:solidFill>
                    <w14:schemeClr w14:val="tx1"/>
                  </w14:solidFill>
                </w14:textFill>
              </w:rPr>
            </w:pPr>
            <w:r>
              <w:rPr>
                <w:color w:val="000000" w:themeColor="text1"/>
                <w14:textFill>
                  <w14:solidFill>
                    <w14:schemeClr w14:val="tx1"/>
                  </w14:solidFill>
                </w14:textFill>
              </w:rPr>
              <w:t>6</w:t>
            </w:r>
          </w:p>
        </w:tc>
        <w:tc>
          <w:tcPr>
            <w:tcW w:w="544" w:type="pct"/>
            <w:tcBorders>
              <w:top w:val="nil"/>
              <w:left w:val="nil"/>
              <w:bottom w:val="single" w:color="auto" w:sz="4" w:space="0"/>
              <w:right w:val="single" w:color="auto" w:sz="4" w:space="0"/>
            </w:tcBorders>
            <w:shd w:val="clear" w:color="auto" w:fill="auto"/>
            <w:vAlign w:val="center"/>
          </w:tcPr>
          <w:p w14:paraId="52D9B1C4">
            <w:pPr>
              <w:pStyle w:val="476"/>
              <w:rPr>
                <w:color w:val="000000" w:themeColor="text1"/>
                <w14:textFill>
                  <w14:solidFill>
                    <w14:schemeClr w14:val="tx1"/>
                  </w14:solidFill>
                </w14:textFill>
              </w:rPr>
            </w:pPr>
            <w:r>
              <w:rPr>
                <w:color w:val="000000" w:themeColor="text1"/>
                <w14:textFill>
                  <w14:solidFill>
                    <w14:schemeClr w14:val="tx1"/>
                  </w14:solidFill>
                </w14:textFill>
              </w:rPr>
              <w:t>0.79</w:t>
            </w:r>
          </w:p>
        </w:tc>
        <w:tc>
          <w:tcPr>
            <w:tcW w:w="593" w:type="pct"/>
            <w:tcBorders>
              <w:top w:val="nil"/>
              <w:left w:val="nil"/>
              <w:bottom w:val="single" w:color="auto" w:sz="4" w:space="0"/>
              <w:right w:val="single" w:color="auto" w:sz="4" w:space="0"/>
            </w:tcBorders>
            <w:shd w:val="clear" w:color="auto" w:fill="auto"/>
            <w:vAlign w:val="center"/>
          </w:tcPr>
          <w:p w14:paraId="32F8BCBB">
            <w:pPr>
              <w:pStyle w:val="476"/>
              <w:rPr>
                <w:color w:val="000000" w:themeColor="text1"/>
                <w14:textFill>
                  <w14:solidFill>
                    <w14:schemeClr w14:val="tx1"/>
                  </w14:solidFill>
                </w14:textFill>
              </w:rPr>
            </w:pPr>
            <w:r>
              <w:rPr>
                <w:color w:val="000000" w:themeColor="text1"/>
                <w14:textFill>
                  <w14:solidFill>
                    <w14:schemeClr w14:val="tx1"/>
                  </w14:solidFill>
                </w14:textFill>
              </w:rPr>
              <w:t>8.69</w:t>
            </w:r>
          </w:p>
        </w:tc>
        <w:tc>
          <w:tcPr>
            <w:tcW w:w="554" w:type="pct"/>
            <w:tcBorders>
              <w:top w:val="nil"/>
              <w:left w:val="nil"/>
              <w:bottom w:val="single" w:color="auto" w:sz="4" w:space="0"/>
              <w:right w:val="single" w:color="auto" w:sz="4" w:space="0"/>
            </w:tcBorders>
            <w:shd w:val="clear" w:color="auto" w:fill="auto"/>
            <w:vAlign w:val="center"/>
          </w:tcPr>
          <w:p w14:paraId="2682E99C">
            <w:pPr>
              <w:pStyle w:val="476"/>
              <w:rPr>
                <w:color w:val="000000" w:themeColor="text1"/>
                <w14:textFill>
                  <w14:solidFill>
                    <w14:schemeClr w14:val="tx1"/>
                  </w14:solidFill>
                </w14:textFill>
              </w:rPr>
            </w:pPr>
            <w:r>
              <w:rPr>
                <w:color w:val="000000" w:themeColor="text1"/>
                <w14:textFill>
                  <w14:solidFill>
                    <w14:schemeClr w14:val="tx1"/>
                  </w14:solidFill>
                </w14:textFill>
              </w:rPr>
              <w:t>0.17</w:t>
            </w:r>
          </w:p>
        </w:tc>
        <w:tc>
          <w:tcPr>
            <w:tcW w:w="474" w:type="pct"/>
            <w:tcBorders>
              <w:top w:val="nil"/>
              <w:left w:val="nil"/>
              <w:bottom w:val="single" w:color="auto" w:sz="4" w:space="0"/>
              <w:right w:val="single" w:color="auto" w:sz="4" w:space="0"/>
            </w:tcBorders>
            <w:shd w:val="clear" w:color="auto" w:fill="auto"/>
            <w:vAlign w:val="center"/>
          </w:tcPr>
          <w:p w14:paraId="697A1083">
            <w:pPr>
              <w:pStyle w:val="476"/>
              <w:rPr>
                <w:color w:val="000000" w:themeColor="text1"/>
                <w14:textFill>
                  <w14:solidFill>
                    <w14:schemeClr w14:val="tx1"/>
                  </w14:solidFill>
                </w14:textFill>
              </w:rPr>
            </w:pPr>
            <w:r>
              <w:rPr>
                <w:color w:val="000000" w:themeColor="text1"/>
                <w14:textFill>
                  <w14:solidFill>
                    <w14:schemeClr w14:val="tx1"/>
                  </w14:solidFill>
                </w14:textFill>
              </w:rPr>
              <w:t>7.26</w:t>
            </w:r>
          </w:p>
        </w:tc>
      </w:tr>
    </w:tbl>
    <w:p w14:paraId="7F87B127">
      <w:pPr>
        <w:rPr>
          <w:color w:val="000000" w:themeColor="text1"/>
          <w:lang w:val="zh-CN"/>
          <w14:textFill>
            <w14:solidFill>
              <w14:schemeClr w14:val="tx1"/>
            </w14:solidFill>
          </w14:textFill>
        </w:rPr>
      </w:pPr>
    </w:p>
    <w:p w14:paraId="3DB369B3">
      <w:pPr>
        <w:rPr>
          <w:color w:val="000000" w:themeColor="text1"/>
          <w:lang w:val="zh-CN"/>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323E331F">
      <w:pPr>
        <w:pStyle w:val="3"/>
        <w:rPr>
          <w:rFonts w:ascii="Times New Roman" w:hAnsi="Times New Roman"/>
          <w:color w:val="000000" w:themeColor="text1"/>
          <w14:textFill>
            <w14:solidFill>
              <w14:schemeClr w14:val="tx1"/>
            </w14:solidFill>
          </w14:textFill>
        </w:rPr>
      </w:pPr>
      <w:bookmarkStart w:id="148" w:name="_Toc112694024"/>
      <w:bookmarkStart w:id="149" w:name="_Toc112861035"/>
      <w:bookmarkStart w:id="150" w:name="_Toc112693889"/>
      <w:r>
        <w:rPr>
          <w:rFonts w:ascii="Times New Roman" w:hAnsi="Times New Roman"/>
          <w:color w:val="000000" w:themeColor="text1"/>
          <w14:textFill>
            <w14:solidFill>
              <w14:schemeClr w14:val="tx1"/>
            </w14:solidFill>
          </w14:textFill>
        </w:rPr>
        <w:t>总体方案</w:t>
      </w:r>
      <w:bookmarkEnd w:id="148"/>
      <w:bookmarkEnd w:id="149"/>
      <w:bookmarkEnd w:id="150"/>
    </w:p>
    <w:p w14:paraId="481DB14B">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“十三五”以来，晋安区深入贯彻习近平生态文明思想，认真落实</w:t>
      </w:r>
      <w:r>
        <w:rPr>
          <w:rFonts w:hint="eastAsia"/>
          <w:color w:val="000000" w:themeColor="text1"/>
          <w:lang w:val="zh-CN"/>
          <w14:textFill>
            <w14:solidFill>
              <w14:schemeClr w14:val="tx1"/>
            </w14:solidFill>
          </w14:textFill>
        </w:rPr>
        <w:t>中共</w:t>
      </w:r>
      <w:r>
        <w:rPr>
          <w:color w:val="000000" w:themeColor="text1"/>
          <w:lang w:val="zh-CN"/>
          <w14:textFill>
            <w14:solidFill>
              <w14:schemeClr w14:val="tx1"/>
            </w14:solidFill>
          </w14:textFill>
        </w:rPr>
        <w:t>中央、国务院、省委省政府决策部署，不断加大城镇污水处理设施建设和运行管理力度，污水收集处理能力水平显著提升。同时也要清醒看到，当前城镇污水收集处理存在发展不平衡不充分问题，短板弱项依然突出。特别是，配套污水管网建设不足、设施运维水平较低不强等问题，与实现高质量发展还存在差距。</w:t>
      </w:r>
    </w:p>
    <w:p w14:paraId="340FE636">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十四五”时期，应以建设高质量城镇污水处理体系为主题，从增量建设为主转向系统提质增效与结构调整优化并重，提升存量、做优增量，市场运作、专业运维，系统推进城镇污水处理设施高质量建设和运维，有效改善城镇水生态环境质量，不断提升人民群众的幸福感、获得感和安全感。</w:t>
      </w:r>
    </w:p>
    <w:p w14:paraId="473DD578">
      <w:pPr>
        <w:pStyle w:val="52"/>
        <w:rPr>
          <w:color w:val="000000" w:themeColor="text1"/>
          <w14:textFill>
            <w14:solidFill>
              <w14:schemeClr w14:val="tx1"/>
            </w14:solidFill>
          </w14:textFill>
        </w:rPr>
      </w:pPr>
      <w:r>
        <w:rPr>
          <w:color w:val="000000" w:themeColor="text1"/>
          <w14:textFill>
            <w14:solidFill>
              <w14:schemeClr w14:val="tx1"/>
            </w14:solidFill>
          </w14:textFill>
        </w:rPr>
        <w:t>一、细化现状排查。对现有北峰山区乡镇污水处理设施运行情况逐一开展排查评估，重点评估服务区域污水产排情况、设施运行维护、配套管网建设维护等情况。对对进、出水水质开展抽测。对存在的问题逐一提出改造计划或解决措施，纳入到县域规划中分年度逐年落实。</w:t>
      </w:r>
    </w:p>
    <w:p w14:paraId="7B6F8543">
      <w:pPr>
        <w:pStyle w:val="52"/>
        <w:rPr>
          <w:color w:val="000000" w:themeColor="text1"/>
          <w14:textFill>
            <w14:solidFill>
              <w14:schemeClr w14:val="tx1"/>
            </w14:solidFill>
          </w14:textFill>
        </w:rPr>
      </w:pPr>
      <w:r>
        <w:rPr>
          <w:color w:val="000000" w:themeColor="text1"/>
          <w14:textFill>
            <w14:solidFill>
              <w14:schemeClr w14:val="tx1"/>
            </w14:solidFill>
          </w14:textFill>
        </w:rPr>
        <w:t>二，合理选择污水处理方式。根据地形地貌特点，合理选择污水处理方式。在人口集中、污染量大的片区，采用纳管的方式对生活污水进行集中收集处置，在位置偏远且不符合纳管条件的，从经济有效、便于运维的角度出发，合理推荐具体处理工艺。统筹考虑地理及污水产排特点，选择类似的工艺，不宜多而杂。</w:t>
      </w:r>
    </w:p>
    <w:p w14:paraId="1C8C4F3F">
      <w:pPr>
        <w:pStyle w:val="52"/>
        <w:rPr>
          <w:color w:val="000000" w:themeColor="text1"/>
          <w14:textFill>
            <w14:solidFill>
              <w14:schemeClr w14:val="tx1"/>
            </w14:solidFill>
          </w14:textFill>
        </w:rPr>
      </w:pPr>
      <w:r>
        <w:rPr>
          <w:color w:val="000000" w:themeColor="text1"/>
          <w14:textFill>
            <w14:solidFill>
              <w14:schemeClr w14:val="tx1"/>
            </w14:solidFill>
          </w14:textFill>
        </w:rPr>
        <w:t>三、注重长效运维。为确保设施建成一处、管用一处，根据先建机制、再建设施的原则，编制长效运行维护专章。同时细化并明确设施运行维护主体、运维资金来源、日常巡查及监管要求等。</w:t>
      </w:r>
    </w:p>
    <w:p w14:paraId="690ECD75">
      <w:pPr>
        <w:pStyle w:val="52"/>
        <w:rPr>
          <w:color w:val="000000" w:themeColor="text1"/>
          <w14:textFill>
            <w14:solidFill>
              <w14:schemeClr w14:val="tx1"/>
            </w14:solidFill>
          </w14:textFill>
        </w:rPr>
      </w:pPr>
      <w:r>
        <w:rPr>
          <w:color w:val="000000" w:themeColor="text1"/>
          <w14:textFill>
            <w14:solidFill>
              <w14:schemeClr w14:val="tx1"/>
            </w14:solidFill>
          </w14:textFill>
        </w:rPr>
        <w:t>晋安区北峰山区乡镇生活污水处理工程PPP项目运维部分基本情况：</w:t>
      </w:r>
    </w:p>
    <w:p w14:paraId="665FC0EA">
      <w:pPr>
        <w:pStyle w:val="52"/>
        <w:rPr>
          <w:color w:val="000000" w:themeColor="text1"/>
          <w14:textFill>
            <w14:solidFill>
              <w14:schemeClr w14:val="tx1"/>
            </w14:solidFill>
          </w14:textFill>
        </w:rPr>
      </w:pPr>
      <w:r>
        <w:rPr>
          <w:color w:val="000000" w:themeColor="text1"/>
          <w14:textFill>
            <w14:solidFill>
              <w14:schemeClr w14:val="tx1"/>
            </w14:solidFill>
          </w14:textFill>
        </w:rPr>
        <w:t>（1）运营维护内容：</w:t>
      </w:r>
    </w:p>
    <w:p w14:paraId="2A0C42DC">
      <w:pPr>
        <w:pStyle w:val="52"/>
        <w:rPr>
          <w:color w:val="000000" w:themeColor="text1"/>
          <w14:textFill>
            <w14:solidFill>
              <w14:schemeClr w14:val="tx1"/>
            </w14:solidFill>
          </w14:textFill>
        </w:rPr>
      </w:pPr>
      <w:r>
        <w:rPr>
          <w:color w:val="000000" w:themeColor="text1"/>
          <w14:textFill>
            <w14:solidFill>
              <w14:schemeClr w14:val="tx1"/>
            </w14:solidFill>
          </w14:textFill>
        </w:rPr>
        <w:t>运营维护内容：福建北峰海峡环保科技有限公司负责新建的宦溪镇、寿山乡和日溪乡的15个建制村集中式处理站14座，分散式处理站27座，污水主干管31659m，污水支管19993m，检查井1330座以及存量污水处理设施和配套管网。</w:t>
      </w:r>
    </w:p>
    <w:p w14:paraId="78F53A78">
      <w:pPr>
        <w:pStyle w:val="52"/>
        <w:rPr>
          <w:color w:val="000000" w:themeColor="text1"/>
          <w14:textFill>
            <w14:solidFill>
              <w14:schemeClr w14:val="tx1"/>
            </w14:solidFill>
          </w14:textFill>
        </w:rPr>
      </w:pPr>
      <w:r>
        <w:rPr>
          <w:color w:val="000000" w:themeColor="text1"/>
          <w14:textFill>
            <w14:solidFill>
              <w14:schemeClr w14:val="tx1"/>
            </w14:solidFill>
          </w14:textFill>
        </w:rPr>
        <w:t>已社会化运营污水处理设施及管网配套工程部分待其合作期满后移交项目公司，由福建北峰海峡环保科技有限公司负责设备、厂网设施维护及工程验收。福建北峰海峡环保科技有限公司需要在接收设备后三个月内根据项目实际情况提出必要的维修、改进方案，并报福州市晋安区建设投资发展中心同意，相关费用由政府方另行安排预算支出。设备维修后需达到该处理设施设计标准，并通过验收。</w:t>
      </w:r>
    </w:p>
    <w:p w14:paraId="211080B0">
      <w:pPr>
        <w:pStyle w:val="52"/>
        <w:rPr>
          <w:color w:val="000000" w:themeColor="text1"/>
          <w14:textFill>
            <w14:solidFill>
              <w14:schemeClr w14:val="tx1"/>
            </w14:solidFill>
          </w14:textFill>
        </w:rPr>
      </w:pPr>
      <w:r>
        <w:rPr>
          <w:color w:val="000000" w:themeColor="text1"/>
          <w14:textFill>
            <w14:solidFill>
              <w14:schemeClr w14:val="tx1"/>
            </w14:solidFill>
          </w14:textFill>
        </w:rPr>
        <w:t>未社会化运营污水处理设施及管网配套工程由福州市晋安区建设投资发展中心组织第三方检测机构，出具检验报告且经福建北峰海峡环保科技有限公司确认后，由福州市晋安区建设投资发展中心移交给福建北峰海峡环保科技有限公司运营维护。</w:t>
      </w:r>
    </w:p>
    <w:p w14:paraId="4A3AAE9E">
      <w:pPr>
        <w:pStyle w:val="52"/>
        <w:rPr>
          <w:color w:val="000000" w:themeColor="text1"/>
          <w14:textFill>
            <w14:solidFill>
              <w14:schemeClr w14:val="tx1"/>
            </w14:solidFill>
          </w14:textFill>
        </w:rPr>
      </w:pPr>
      <w:r>
        <w:rPr>
          <w:color w:val="000000" w:themeColor="text1"/>
          <w14:textFill>
            <w14:solidFill>
              <w14:schemeClr w14:val="tx1"/>
            </w14:solidFill>
          </w14:textFill>
        </w:rPr>
        <w:t>集镇污水处理厂中宦溪集镇污水处理厂、岭头集镇污水处理厂由政府在近期完成提标改造。提标改造验收合格后，且在当前委托运营期到期后，移交给福建北峰海峡环保科技有限公司。</w:t>
      </w:r>
    </w:p>
    <w:p w14:paraId="00A217B5">
      <w:pPr>
        <w:pStyle w:val="52"/>
        <w:rPr>
          <w:color w:val="000000" w:themeColor="text1"/>
          <w14:textFill>
            <w14:solidFill>
              <w14:schemeClr w14:val="tx1"/>
            </w14:solidFill>
          </w14:textFill>
        </w:rPr>
      </w:pPr>
      <w:r>
        <w:rPr>
          <w:color w:val="000000" w:themeColor="text1"/>
          <w14:textFill>
            <w14:solidFill>
              <w14:schemeClr w14:val="tx1"/>
            </w14:solidFill>
          </w14:textFill>
        </w:rPr>
        <w:t>（2）运营期为25年。</w:t>
      </w:r>
    </w:p>
    <w:p w14:paraId="19487B8F">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br w:type="page"/>
      </w:r>
    </w:p>
    <w:p w14:paraId="733CB5F0">
      <w:pPr>
        <w:pStyle w:val="3"/>
        <w:rPr>
          <w:rFonts w:ascii="Times New Roman" w:hAnsi="Times New Roman"/>
          <w:color w:val="000000" w:themeColor="text1"/>
          <w:sz w:val="40"/>
          <w14:textFill>
            <w14:solidFill>
              <w14:schemeClr w14:val="tx1"/>
            </w14:solidFill>
          </w14:textFill>
        </w:rPr>
      </w:pPr>
      <w:bookmarkStart w:id="151" w:name="_Toc112693890"/>
      <w:bookmarkStart w:id="152" w:name="_Toc112694025"/>
      <w:bookmarkStart w:id="153" w:name="_Toc112861036"/>
      <w:r>
        <w:rPr>
          <w:rFonts w:ascii="Times New Roman" w:hAnsi="Times New Roman"/>
          <w:color w:val="000000" w:themeColor="text1"/>
          <w:sz w:val="40"/>
          <w14:textFill>
            <w14:solidFill>
              <w14:schemeClr w14:val="tx1"/>
            </w14:solidFill>
          </w14:textFill>
        </w:rPr>
        <w:t>北峰山区乡镇生活污水治理设施提升改造方案</w:t>
      </w:r>
      <w:bookmarkEnd w:id="151"/>
      <w:bookmarkEnd w:id="152"/>
      <w:bookmarkEnd w:id="153"/>
    </w:p>
    <w:p w14:paraId="7C52D09A">
      <w:pPr>
        <w:pStyle w:val="4"/>
        <w:rPr>
          <w:rFonts w:ascii="Times New Roman" w:hAnsi="Times New Roman" w:eastAsiaTheme="minorEastAsia"/>
          <w:color w:val="000000" w:themeColor="text1"/>
          <w14:textFill>
            <w14:solidFill>
              <w14:schemeClr w14:val="tx1"/>
            </w14:solidFill>
          </w14:textFill>
        </w:rPr>
      </w:pPr>
      <w:bookmarkStart w:id="154" w:name="_Toc112693891"/>
      <w:bookmarkStart w:id="155" w:name="_Toc112694026"/>
      <w:bookmarkStart w:id="156" w:name="_Toc112861037"/>
      <w:r>
        <w:rPr>
          <w:rFonts w:hint="eastAsia" w:ascii="宋体" w:hAnsi="宋体" w:eastAsia="宋体" w:cs="宋体"/>
          <w:color w:val="000000" w:themeColor="text1"/>
          <w14:textFill>
            <w14:solidFill>
              <w14:schemeClr w14:val="tx1"/>
            </w14:solidFill>
          </w14:textFill>
        </w:rPr>
        <w:t>北峰山区乡镇生活污水水量预测</w:t>
      </w:r>
      <w:bookmarkEnd w:id="154"/>
      <w:bookmarkEnd w:id="155"/>
      <w:bookmarkEnd w:id="156"/>
    </w:p>
    <w:p w14:paraId="04BDF721">
      <w:pPr>
        <w:pStyle w:val="52"/>
        <w:rPr>
          <w:color w:val="000000" w:themeColor="text1"/>
          <w14:textFill>
            <w14:solidFill>
              <w14:schemeClr w14:val="tx1"/>
            </w14:solidFill>
          </w14:textFill>
        </w:rPr>
      </w:pPr>
      <w:r>
        <w:rPr>
          <w:color w:val="000000" w:themeColor="text1"/>
          <w14:textFill>
            <w14:solidFill>
              <w14:schemeClr w14:val="tx1"/>
            </w14:solidFill>
          </w14:textFill>
        </w:rPr>
        <w:t>根据《晋安区统计年鉴（2019年）》统计数据，全区常住人口及城乡人口变化情况，乡村常住人口总体呈下降趋势。从现场调查情况也表明，晋安区大部分北峰山区乡镇实际常住人口呈下降趋势，北峰山区乡镇居民迁入县城或城镇的情况较为普遍。因此，本次规划涉及5个村庄近期、远期预测人口规模暂不考虑人口增长率，以现场调查统计的常住人口数作为计算基数。</w:t>
      </w:r>
    </w:p>
    <w:p w14:paraId="542D2D3B">
      <w:pPr>
        <w:pStyle w:val="52"/>
        <w:rPr>
          <w:color w:val="000000" w:themeColor="text1"/>
          <w14:textFill>
            <w14:solidFill>
              <w14:schemeClr w14:val="tx1"/>
            </w14:solidFill>
          </w14:textFill>
        </w:rPr>
      </w:pPr>
      <w:r>
        <w:rPr>
          <w:color w:val="000000" w:themeColor="text1"/>
          <w14:textFill>
            <w14:solidFill>
              <w14:schemeClr w14:val="tx1"/>
            </w14:solidFill>
          </w14:textFill>
        </w:rPr>
        <w:t>根据《福建省农村生活污水处理指南》有关指标，项目区属于经济环境较好，卫生设施较为齐全的地区，结合实际情况人均用水量指标取120L/人·d，污水排放系数取0.7，则项目区内各集镇区每日产生的生活污水量约747.6吨/天。</w:t>
      </w:r>
    </w:p>
    <w:p w14:paraId="527A1E98">
      <w:pPr>
        <w:pStyle w:val="442"/>
        <w:rPr>
          <w:color w:val="000000" w:themeColor="text1"/>
          <w14:textFill>
            <w14:solidFill>
              <w14:schemeClr w14:val="tx1"/>
            </w14:solidFill>
          </w14:textFill>
        </w:rPr>
      </w:pPr>
      <w:r>
        <w:rPr>
          <w:color w:val="000000" w:themeColor="text1"/>
          <w14:textFill>
            <w14:solidFill>
              <w14:schemeClr w14:val="tx1"/>
            </w14:solidFill>
          </w14:textFill>
        </w:rPr>
        <w:t>表5.1-1北峰山区各乡镇居民生活污水水量预测（单位：吨/日）</w:t>
      </w:r>
    </w:p>
    <w:tbl>
      <w:tblPr>
        <w:tblStyle w:val="5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2"/>
        <w:gridCol w:w="1093"/>
        <w:gridCol w:w="2052"/>
        <w:gridCol w:w="2056"/>
        <w:gridCol w:w="1243"/>
        <w:gridCol w:w="1454"/>
      </w:tblGrid>
      <w:tr w14:paraId="19933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46" w:type="dxa"/>
            <w:shd w:val="clear" w:color="auto" w:fill="auto"/>
            <w:vAlign w:val="center"/>
          </w:tcPr>
          <w:p w14:paraId="6B5203C7">
            <w:pPr>
              <w:pStyle w:val="476"/>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134" w:type="dxa"/>
            <w:shd w:val="clear" w:color="auto" w:fill="auto"/>
            <w:vAlign w:val="center"/>
          </w:tcPr>
          <w:p w14:paraId="6FB76B9F">
            <w:pPr>
              <w:pStyle w:val="476"/>
              <w:rPr>
                <w:b/>
                <w:color w:val="000000" w:themeColor="text1"/>
                <w14:textFill>
                  <w14:solidFill>
                    <w14:schemeClr w14:val="tx1"/>
                  </w14:solidFill>
                </w14:textFill>
              </w:rPr>
            </w:pPr>
            <w:r>
              <w:rPr>
                <w:b/>
                <w:color w:val="000000" w:themeColor="text1"/>
                <w14:textFill>
                  <w14:solidFill>
                    <w14:schemeClr w14:val="tx1"/>
                  </w14:solidFill>
                </w14:textFill>
              </w:rPr>
              <w:t>乡镇</w:t>
            </w:r>
          </w:p>
        </w:tc>
        <w:tc>
          <w:tcPr>
            <w:tcW w:w="2126" w:type="dxa"/>
            <w:shd w:val="clear" w:color="auto" w:fill="auto"/>
            <w:vAlign w:val="center"/>
          </w:tcPr>
          <w:p w14:paraId="260266D6">
            <w:pPr>
              <w:pStyle w:val="476"/>
              <w:rPr>
                <w:b/>
                <w:color w:val="000000" w:themeColor="text1"/>
                <w14:textFill>
                  <w14:solidFill>
                    <w14:schemeClr w14:val="tx1"/>
                  </w14:solidFill>
                </w14:textFill>
              </w:rPr>
            </w:pPr>
            <w:r>
              <w:rPr>
                <w:b/>
                <w:color w:val="000000" w:themeColor="text1"/>
                <w14:textFill>
                  <w14:solidFill>
                    <w14:schemeClr w14:val="tx1"/>
                  </w14:solidFill>
                </w14:textFill>
              </w:rPr>
              <w:t>预计日均人口（人）</w:t>
            </w:r>
          </w:p>
        </w:tc>
        <w:tc>
          <w:tcPr>
            <w:tcW w:w="2126" w:type="dxa"/>
            <w:shd w:val="clear" w:color="auto" w:fill="auto"/>
            <w:vAlign w:val="center"/>
          </w:tcPr>
          <w:p w14:paraId="46236616">
            <w:pPr>
              <w:pStyle w:val="476"/>
              <w:rPr>
                <w:b/>
                <w:color w:val="000000" w:themeColor="text1"/>
                <w14:textFill>
                  <w14:solidFill>
                    <w14:schemeClr w14:val="tx1"/>
                  </w14:solidFill>
                </w14:textFill>
              </w:rPr>
            </w:pPr>
            <w:r>
              <w:rPr>
                <w:b/>
                <w:color w:val="000000" w:themeColor="text1"/>
                <w14:textFill>
                  <w14:solidFill>
                    <w14:schemeClr w14:val="tx1"/>
                  </w14:solidFill>
                </w14:textFill>
              </w:rPr>
              <w:t>用水量（定额）（人</w:t>
            </w:r>
            <w:r>
              <w:rPr>
                <w:b/>
                <w:color w:val="000000" w:themeColor="text1"/>
                <w:lang w:val="en-US"/>
                <w14:textFill>
                  <w14:solidFill>
                    <w14:schemeClr w14:val="tx1"/>
                  </w14:solidFill>
                </w14:textFill>
              </w:rPr>
              <w:t>·L/天</w:t>
            </w:r>
            <w:r>
              <w:rPr>
                <w:b/>
                <w:color w:val="000000" w:themeColor="text1"/>
                <w14:textFill>
                  <w14:solidFill>
                    <w14:schemeClr w14:val="tx1"/>
                  </w14:solidFill>
                </w14:textFill>
              </w:rPr>
              <w:t>）</w:t>
            </w:r>
          </w:p>
        </w:tc>
        <w:tc>
          <w:tcPr>
            <w:tcW w:w="1290" w:type="dxa"/>
            <w:shd w:val="clear" w:color="auto" w:fill="auto"/>
            <w:vAlign w:val="center"/>
          </w:tcPr>
          <w:p w14:paraId="7B1AAE20">
            <w:pPr>
              <w:pStyle w:val="476"/>
              <w:rPr>
                <w:b/>
                <w:color w:val="000000" w:themeColor="text1"/>
                <w14:textFill>
                  <w14:solidFill>
                    <w14:schemeClr w14:val="tx1"/>
                  </w14:solidFill>
                </w14:textFill>
              </w:rPr>
            </w:pPr>
            <w:r>
              <w:rPr>
                <w:b/>
                <w:color w:val="000000" w:themeColor="text1"/>
                <w14:textFill>
                  <w14:solidFill>
                    <w14:schemeClr w14:val="tx1"/>
                  </w14:solidFill>
                </w14:textFill>
              </w:rPr>
              <w:t>排放系数</w:t>
            </w:r>
          </w:p>
        </w:tc>
        <w:tc>
          <w:tcPr>
            <w:tcW w:w="1504" w:type="dxa"/>
            <w:shd w:val="clear" w:color="auto" w:fill="auto"/>
            <w:vAlign w:val="center"/>
          </w:tcPr>
          <w:p w14:paraId="08021101">
            <w:pPr>
              <w:pStyle w:val="476"/>
              <w:rPr>
                <w:b/>
                <w:color w:val="000000" w:themeColor="text1"/>
                <w14:textFill>
                  <w14:solidFill>
                    <w14:schemeClr w14:val="tx1"/>
                  </w14:solidFill>
                </w14:textFill>
              </w:rPr>
            </w:pPr>
            <w:r>
              <w:rPr>
                <w:b/>
                <w:color w:val="000000" w:themeColor="text1"/>
                <w14:textFill>
                  <w14:solidFill>
                    <w14:schemeClr w14:val="tx1"/>
                  </w14:solidFill>
                </w14:textFill>
              </w:rPr>
              <w:t>污水量预测（吨</w:t>
            </w:r>
            <w:r>
              <w:rPr>
                <w:b/>
                <w:color w:val="000000" w:themeColor="text1"/>
                <w:lang w:val="en-US"/>
                <w14:textFill>
                  <w14:solidFill>
                    <w14:schemeClr w14:val="tx1"/>
                  </w14:solidFill>
                </w14:textFill>
              </w:rPr>
              <w:t>/天</w:t>
            </w:r>
            <w:r>
              <w:rPr>
                <w:b/>
                <w:color w:val="000000" w:themeColor="text1"/>
                <w14:textFill>
                  <w14:solidFill>
                    <w14:schemeClr w14:val="tx1"/>
                  </w14:solidFill>
                </w14:textFill>
              </w:rPr>
              <w:t>）</w:t>
            </w:r>
          </w:p>
        </w:tc>
      </w:tr>
      <w:tr w14:paraId="2564E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46" w:type="dxa"/>
            <w:vAlign w:val="center"/>
          </w:tcPr>
          <w:p w14:paraId="5A7DC8D4">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1</w:t>
            </w:r>
          </w:p>
        </w:tc>
        <w:tc>
          <w:tcPr>
            <w:tcW w:w="1134" w:type="dxa"/>
            <w:vAlign w:val="center"/>
          </w:tcPr>
          <w:p w14:paraId="1E9829CC">
            <w:pPr>
              <w:pStyle w:val="476"/>
              <w:rPr>
                <w:color w:val="000000" w:themeColor="text1"/>
                <w14:textFill>
                  <w14:solidFill>
                    <w14:schemeClr w14:val="tx1"/>
                  </w14:solidFill>
                </w14:textFill>
              </w:rPr>
            </w:pPr>
            <w:r>
              <w:rPr>
                <w:color w:val="000000" w:themeColor="text1"/>
                <w14:textFill>
                  <w14:solidFill>
                    <w14:schemeClr w14:val="tx1"/>
                  </w14:solidFill>
                </w14:textFill>
              </w:rPr>
              <w:t>宦溪镇</w:t>
            </w:r>
          </w:p>
        </w:tc>
        <w:tc>
          <w:tcPr>
            <w:tcW w:w="2126" w:type="dxa"/>
            <w:vAlign w:val="center"/>
          </w:tcPr>
          <w:p w14:paraId="23B2314B">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5000</w:t>
            </w:r>
          </w:p>
        </w:tc>
        <w:tc>
          <w:tcPr>
            <w:tcW w:w="2126" w:type="dxa"/>
            <w:vAlign w:val="center"/>
          </w:tcPr>
          <w:p w14:paraId="74F2DE5B">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120</w:t>
            </w:r>
          </w:p>
        </w:tc>
        <w:tc>
          <w:tcPr>
            <w:tcW w:w="1290" w:type="dxa"/>
            <w:vAlign w:val="center"/>
          </w:tcPr>
          <w:p w14:paraId="7B09C952">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0.7</w:t>
            </w:r>
          </w:p>
        </w:tc>
        <w:tc>
          <w:tcPr>
            <w:tcW w:w="1504" w:type="dxa"/>
            <w:vAlign w:val="center"/>
          </w:tcPr>
          <w:p w14:paraId="0BEED1FE">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420</w:t>
            </w:r>
          </w:p>
        </w:tc>
      </w:tr>
      <w:tr w14:paraId="68921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46" w:type="dxa"/>
            <w:vAlign w:val="center"/>
          </w:tcPr>
          <w:p w14:paraId="3E309ABD">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2</w:t>
            </w:r>
          </w:p>
        </w:tc>
        <w:tc>
          <w:tcPr>
            <w:tcW w:w="1134" w:type="dxa"/>
            <w:vAlign w:val="center"/>
          </w:tcPr>
          <w:p w14:paraId="2BB29418">
            <w:pPr>
              <w:pStyle w:val="476"/>
              <w:rPr>
                <w:color w:val="000000" w:themeColor="text1"/>
                <w14:textFill>
                  <w14:solidFill>
                    <w14:schemeClr w14:val="tx1"/>
                  </w14:solidFill>
                </w14:textFill>
              </w:rPr>
            </w:pPr>
            <w:r>
              <w:rPr>
                <w:color w:val="000000" w:themeColor="text1"/>
                <w14:textFill>
                  <w14:solidFill>
                    <w14:schemeClr w14:val="tx1"/>
                  </w14:solidFill>
                </w14:textFill>
              </w:rPr>
              <w:t>寿山乡</w:t>
            </w:r>
          </w:p>
        </w:tc>
        <w:tc>
          <w:tcPr>
            <w:tcW w:w="2126" w:type="dxa"/>
            <w:vAlign w:val="center"/>
          </w:tcPr>
          <w:p w14:paraId="54F66620">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3000</w:t>
            </w:r>
          </w:p>
        </w:tc>
        <w:tc>
          <w:tcPr>
            <w:tcW w:w="2126" w:type="dxa"/>
            <w:vAlign w:val="center"/>
          </w:tcPr>
          <w:p w14:paraId="6C3520F2">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120</w:t>
            </w:r>
          </w:p>
        </w:tc>
        <w:tc>
          <w:tcPr>
            <w:tcW w:w="1290" w:type="dxa"/>
            <w:vAlign w:val="center"/>
          </w:tcPr>
          <w:p w14:paraId="3CB74CC7">
            <w:pPr>
              <w:pStyle w:val="476"/>
              <w:rPr>
                <w:color w:val="000000" w:themeColor="text1"/>
                <w14:textFill>
                  <w14:solidFill>
                    <w14:schemeClr w14:val="tx1"/>
                  </w14:solidFill>
                </w14:textFill>
              </w:rPr>
            </w:pPr>
            <w:r>
              <w:rPr>
                <w:color w:val="000000" w:themeColor="text1"/>
                <w14:textFill>
                  <w14:solidFill>
                    <w14:schemeClr w14:val="tx1"/>
                  </w14:solidFill>
                </w14:textFill>
              </w:rPr>
              <w:t>0.7</w:t>
            </w:r>
          </w:p>
        </w:tc>
        <w:tc>
          <w:tcPr>
            <w:tcW w:w="1504" w:type="dxa"/>
            <w:vAlign w:val="center"/>
          </w:tcPr>
          <w:p w14:paraId="111FB54D">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252</w:t>
            </w:r>
          </w:p>
        </w:tc>
      </w:tr>
      <w:tr w14:paraId="73671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46" w:type="dxa"/>
            <w:vAlign w:val="center"/>
          </w:tcPr>
          <w:p w14:paraId="08439FDB">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3</w:t>
            </w:r>
          </w:p>
        </w:tc>
        <w:tc>
          <w:tcPr>
            <w:tcW w:w="1134" w:type="dxa"/>
            <w:vAlign w:val="center"/>
          </w:tcPr>
          <w:p w14:paraId="11032D00">
            <w:pPr>
              <w:pStyle w:val="476"/>
              <w:rPr>
                <w:color w:val="000000" w:themeColor="text1"/>
                <w14:textFill>
                  <w14:solidFill>
                    <w14:schemeClr w14:val="tx1"/>
                  </w14:solidFill>
                </w14:textFill>
              </w:rPr>
            </w:pPr>
            <w:r>
              <w:rPr>
                <w:color w:val="000000" w:themeColor="text1"/>
                <w14:textFill>
                  <w14:solidFill>
                    <w14:schemeClr w14:val="tx1"/>
                  </w14:solidFill>
                </w14:textFill>
              </w:rPr>
              <w:t>日溪乡</w:t>
            </w:r>
          </w:p>
        </w:tc>
        <w:tc>
          <w:tcPr>
            <w:tcW w:w="2126" w:type="dxa"/>
            <w:vAlign w:val="center"/>
          </w:tcPr>
          <w:p w14:paraId="4B86C572">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900</w:t>
            </w:r>
          </w:p>
        </w:tc>
        <w:tc>
          <w:tcPr>
            <w:tcW w:w="2126" w:type="dxa"/>
            <w:vAlign w:val="center"/>
          </w:tcPr>
          <w:p w14:paraId="45E493B8">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120</w:t>
            </w:r>
          </w:p>
        </w:tc>
        <w:tc>
          <w:tcPr>
            <w:tcW w:w="1290" w:type="dxa"/>
            <w:vAlign w:val="center"/>
          </w:tcPr>
          <w:p w14:paraId="0C958C91">
            <w:pPr>
              <w:pStyle w:val="476"/>
              <w:rPr>
                <w:color w:val="000000" w:themeColor="text1"/>
                <w14:textFill>
                  <w14:solidFill>
                    <w14:schemeClr w14:val="tx1"/>
                  </w14:solidFill>
                </w14:textFill>
              </w:rPr>
            </w:pPr>
            <w:r>
              <w:rPr>
                <w:color w:val="000000" w:themeColor="text1"/>
                <w14:textFill>
                  <w14:solidFill>
                    <w14:schemeClr w14:val="tx1"/>
                  </w14:solidFill>
                </w14:textFill>
              </w:rPr>
              <w:t>0.7</w:t>
            </w:r>
          </w:p>
        </w:tc>
        <w:tc>
          <w:tcPr>
            <w:tcW w:w="1504" w:type="dxa"/>
            <w:vAlign w:val="center"/>
          </w:tcPr>
          <w:p w14:paraId="0E05A120">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75.6</w:t>
            </w:r>
          </w:p>
        </w:tc>
      </w:tr>
    </w:tbl>
    <w:p w14:paraId="6F7DE459">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参考《农村生活污水治理工程技术标准》(GB-T51347)，北峰山区乡镇生活污水水质水参考值如下：</w:t>
      </w:r>
    </w:p>
    <w:p w14:paraId="67A23513">
      <w:pPr>
        <w:pStyle w:val="442"/>
        <w:rPr>
          <w:color w:val="000000" w:themeColor="text1"/>
          <w14:textFill>
            <w14:solidFill>
              <w14:schemeClr w14:val="tx1"/>
            </w14:solidFill>
          </w14:textFill>
        </w:rPr>
      </w:pPr>
      <w:r>
        <w:rPr>
          <w:color w:val="000000" w:themeColor="text1"/>
          <w14:textFill>
            <w14:solidFill>
              <w14:schemeClr w14:val="tx1"/>
            </w14:solidFill>
          </w14:textFill>
        </w:rPr>
        <w:t>表5.1-2北峰山区乡镇居民生活污水水质参考值（单位：mg/L）</w:t>
      </w:r>
      <w:bookmarkStart w:id="157" w:name="_Toc112693892"/>
      <w:bookmarkStart w:id="158" w:name="_Toc112694027"/>
      <w:bookmarkStart w:id="159" w:name="_Toc112861038"/>
    </w:p>
    <w:tbl>
      <w:tblPr>
        <w:tblStyle w:val="5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827"/>
        <w:gridCol w:w="1330"/>
        <w:gridCol w:w="1328"/>
        <w:gridCol w:w="996"/>
        <w:gridCol w:w="998"/>
        <w:gridCol w:w="790"/>
        <w:gridCol w:w="1245"/>
      </w:tblGrid>
      <w:tr w14:paraId="0C230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073" w:type="pct"/>
            <w:shd w:val="clear" w:color="auto" w:fill="auto"/>
            <w:vAlign w:val="center"/>
          </w:tcPr>
          <w:p w14:paraId="15CF8A2B">
            <w:pPr>
              <w:pStyle w:val="476"/>
              <w:rPr>
                <w:b/>
                <w:color w:val="000000" w:themeColor="text1"/>
                <w14:textFill>
                  <w14:solidFill>
                    <w14:schemeClr w14:val="tx1"/>
                  </w14:solidFill>
                </w14:textFill>
              </w:rPr>
            </w:pPr>
            <w:r>
              <w:rPr>
                <w:b/>
                <w:color w:val="000000" w:themeColor="text1"/>
                <w14:textFill>
                  <w14:solidFill>
                    <w14:schemeClr w14:val="tx1"/>
                  </w14:solidFill>
                </w14:textFill>
              </w:rPr>
              <w:t>主要指标</w:t>
            </w:r>
          </w:p>
        </w:tc>
        <w:tc>
          <w:tcPr>
            <w:tcW w:w="781" w:type="pct"/>
            <w:shd w:val="clear" w:color="auto" w:fill="auto"/>
            <w:vAlign w:val="center"/>
          </w:tcPr>
          <w:p w14:paraId="30AC9E9B">
            <w:pPr>
              <w:pStyle w:val="476"/>
              <w:rPr>
                <w:b/>
                <w:color w:val="000000" w:themeColor="text1"/>
                <w14:textFill>
                  <w14:solidFill>
                    <w14:schemeClr w14:val="tx1"/>
                  </w14:solidFill>
                </w14:textFill>
              </w:rPr>
            </w:pPr>
            <w:r>
              <w:rPr>
                <w:b/>
                <w:color w:val="000000" w:themeColor="text1"/>
                <w14:textFill>
                  <w14:solidFill>
                    <w14:schemeClr w14:val="tx1"/>
                  </w14:solidFill>
                </w14:textFill>
              </w:rPr>
              <w:t>CODcr</w:t>
            </w:r>
          </w:p>
        </w:tc>
        <w:tc>
          <w:tcPr>
            <w:tcW w:w="780" w:type="pct"/>
            <w:shd w:val="clear" w:color="auto" w:fill="auto"/>
            <w:vAlign w:val="center"/>
          </w:tcPr>
          <w:p w14:paraId="7F99B801">
            <w:pPr>
              <w:pStyle w:val="476"/>
              <w:rPr>
                <w:b/>
                <w:color w:val="000000" w:themeColor="text1"/>
                <w14:textFill>
                  <w14:solidFill>
                    <w14:schemeClr w14:val="tx1"/>
                  </w14:solidFill>
                </w14:textFill>
              </w:rPr>
            </w:pPr>
            <w:r>
              <w:rPr>
                <w:b/>
                <w:color w:val="000000" w:themeColor="text1"/>
                <w14:textFill>
                  <w14:solidFill>
                    <w14:schemeClr w14:val="tx1"/>
                  </w14:solidFill>
                </w14:textFill>
              </w:rPr>
              <w:t>BOD</w:t>
            </w:r>
            <w:r>
              <w:rPr>
                <w:b/>
                <w:color w:val="000000" w:themeColor="text1"/>
                <w:vertAlign w:val="subscript"/>
                <w14:textFill>
                  <w14:solidFill>
                    <w14:schemeClr w14:val="tx1"/>
                  </w14:solidFill>
                </w14:textFill>
              </w:rPr>
              <w:t>5</w:t>
            </w:r>
          </w:p>
        </w:tc>
        <w:tc>
          <w:tcPr>
            <w:tcW w:w="585" w:type="pct"/>
            <w:shd w:val="clear" w:color="auto" w:fill="auto"/>
            <w:vAlign w:val="center"/>
          </w:tcPr>
          <w:p w14:paraId="6F6DBFE7">
            <w:pPr>
              <w:pStyle w:val="476"/>
              <w:rPr>
                <w:b/>
                <w:color w:val="000000" w:themeColor="text1"/>
                <w14:textFill>
                  <w14:solidFill>
                    <w14:schemeClr w14:val="tx1"/>
                  </w14:solidFill>
                </w14:textFill>
              </w:rPr>
            </w:pPr>
            <w:r>
              <w:rPr>
                <w:b/>
                <w:color w:val="000000" w:themeColor="text1"/>
                <w14:textFill>
                  <w14:solidFill>
                    <w14:schemeClr w14:val="tx1"/>
                  </w14:solidFill>
                </w14:textFill>
              </w:rPr>
              <w:t>氨氮</w:t>
            </w:r>
          </w:p>
        </w:tc>
        <w:tc>
          <w:tcPr>
            <w:tcW w:w="586" w:type="pct"/>
            <w:shd w:val="clear" w:color="auto" w:fill="auto"/>
            <w:vAlign w:val="center"/>
          </w:tcPr>
          <w:p w14:paraId="23BE8E01">
            <w:pPr>
              <w:pStyle w:val="476"/>
              <w:rPr>
                <w:b/>
                <w:color w:val="000000" w:themeColor="text1"/>
                <w14:textFill>
                  <w14:solidFill>
                    <w14:schemeClr w14:val="tx1"/>
                  </w14:solidFill>
                </w14:textFill>
              </w:rPr>
            </w:pPr>
            <w:r>
              <w:rPr>
                <w:b/>
                <w:color w:val="000000" w:themeColor="text1"/>
                <w14:textFill>
                  <w14:solidFill>
                    <w14:schemeClr w14:val="tx1"/>
                  </w14:solidFill>
                </w14:textFill>
              </w:rPr>
              <w:t>TN</w:t>
            </w:r>
          </w:p>
        </w:tc>
        <w:tc>
          <w:tcPr>
            <w:tcW w:w="464" w:type="pct"/>
            <w:shd w:val="clear" w:color="auto" w:fill="auto"/>
            <w:vAlign w:val="center"/>
          </w:tcPr>
          <w:p w14:paraId="018B4DB7">
            <w:pPr>
              <w:pStyle w:val="476"/>
              <w:rPr>
                <w:b/>
                <w:color w:val="000000" w:themeColor="text1"/>
                <w14:textFill>
                  <w14:solidFill>
                    <w14:schemeClr w14:val="tx1"/>
                  </w14:solidFill>
                </w14:textFill>
              </w:rPr>
            </w:pPr>
            <w:r>
              <w:rPr>
                <w:b/>
                <w:color w:val="000000" w:themeColor="text1"/>
                <w14:textFill>
                  <w14:solidFill>
                    <w14:schemeClr w14:val="tx1"/>
                  </w14:solidFill>
                </w14:textFill>
              </w:rPr>
              <w:t>TP</w:t>
            </w:r>
          </w:p>
        </w:tc>
        <w:tc>
          <w:tcPr>
            <w:tcW w:w="733" w:type="pct"/>
            <w:shd w:val="clear" w:color="auto" w:fill="auto"/>
            <w:vAlign w:val="center"/>
          </w:tcPr>
          <w:p w14:paraId="349C1F47">
            <w:pPr>
              <w:pStyle w:val="476"/>
              <w:rPr>
                <w:b/>
                <w:color w:val="000000" w:themeColor="text1"/>
                <w14:textFill>
                  <w14:solidFill>
                    <w14:schemeClr w14:val="tx1"/>
                  </w14:solidFill>
                </w14:textFill>
              </w:rPr>
            </w:pPr>
            <w:r>
              <w:rPr>
                <w:b/>
                <w:color w:val="000000" w:themeColor="text1"/>
                <w14:textFill>
                  <w14:solidFill>
                    <w14:schemeClr w14:val="tx1"/>
                  </w14:solidFill>
                </w14:textFill>
              </w:rPr>
              <w:t>SS</w:t>
            </w:r>
          </w:p>
        </w:tc>
      </w:tr>
      <w:tr w14:paraId="28459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073" w:type="pct"/>
            <w:vAlign w:val="center"/>
          </w:tcPr>
          <w:p w14:paraId="2CE5C079">
            <w:pPr>
              <w:pStyle w:val="476"/>
              <w:rPr>
                <w:color w:val="000000" w:themeColor="text1"/>
                <w14:textFill>
                  <w14:solidFill>
                    <w14:schemeClr w14:val="tx1"/>
                  </w14:solidFill>
                </w14:textFill>
              </w:rPr>
            </w:pPr>
            <w:r>
              <w:rPr>
                <w:color w:val="000000" w:themeColor="text1"/>
                <w14:textFill>
                  <w14:solidFill>
                    <w14:schemeClr w14:val="tx1"/>
                  </w14:solidFill>
                </w14:textFill>
              </w:rPr>
              <w:t>取值</w:t>
            </w:r>
          </w:p>
        </w:tc>
        <w:tc>
          <w:tcPr>
            <w:tcW w:w="781" w:type="pct"/>
            <w:vAlign w:val="center"/>
          </w:tcPr>
          <w:p w14:paraId="332705CA">
            <w:pPr>
              <w:pStyle w:val="476"/>
              <w:rPr>
                <w:color w:val="000000" w:themeColor="text1"/>
                <w14:textFill>
                  <w14:solidFill>
                    <w14:schemeClr w14:val="tx1"/>
                  </w14:solidFill>
                </w14:textFill>
              </w:rPr>
            </w:pPr>
            <w:r>
              <w:rPr>
                <w:color w:val="000000" w:themeColor="text1"/>
                <w14:textFill>
                  <w14:solidFill>
                    <w14:schemeClr w14:val="tx1"/>
                  </w14:solidFill>
                </w14:textFill>
              </w:rPr>
              <w:t>250</w:t>
            </w:r>
          </w:p>
        </w:tc>
        <w:tc>
          <w:tcPr>
            <w:tcW w:w="780" w:type="pct"/>
            <w:vAlign w:val="center"/>
          </w:tcPr>
          <w:p w14:paraId="669260A9">
            <w:pPr>
              <w:pStyle w:val="476"/>
              <w:rPr>
                <w:color w:val="000000" w:themeColor="text1"/>
                <w14:textFill>
                  <w14:solidFill>
                    <w14:schemeClr w14:val="tx1"/>
                  </w14:solidFill>
                </w14:textFill>
              </w:rPr>
            </w:pPr>
            <w:r>
              <w:rPr>
                <w:color w:val="000000" w:themeColor="text1"/>
                <w14:textFill>
                  <w14:solidFill>
                    <w14:schemeClr w14:val="tx1"/>
                  </w14:solidFill>
                </w14:textFill>
              </w:rPr>
              <w:t>150</w:t>
            </w:r>
          </w:p>
        </w:tc>
        <w:tc>
          <w:tcPr>
            <w:tcW w:w="585" w:type="pct"/>
            <w:vAlign w:val="center"/>
          </w:tcPr>
          <w:p w14:paraId="1F92C6C3">
            <w:pPr>
              <w:pStyle w:val="476"/>
              <w:rPr>
                <w:color w:val="000000" w:themeColor="text1"/>
                <w14:textFill>
                  <w14:solidFill>
                    <w14:schemeClr w14:val="tx1"/>
                  </w14:solidFill>
                </w14:textFill>
              </w:rPr>
            </w:pPr>
            <w:r>
              <w:rPr>
                <w:color w:val="000000" w:themeColor="text1"/>
                <w14:textFill>
                  <w14:solidFill>
                    <w14:schemeClr w14:val="tx1"/>
                  </w14:solidFill>
                </w14:textFill>
              </w:rPr>
              <w:t>25</w:t>
            </w:r>
          </w:p>
        </w:tc>
        <w:tc>
          <w:tcPr>
            <w:tcW w:w="586" w:type="pct"/>
            <w:vAlign w:val="center"/>
          </w:tcPr>
          <w:p w14:paraId="218FFCB9">
            <w:pPr>
              <w:pStyle w:val="476"/>
              <w:rPr>
                <w:color w:val="000000" w:themeColor="text1"/>
                <w14:textFill>
                  <w14:solidFill>
                    <w14:schemeClr w14:val="tx1"/>
                  </w14:solidFill>
                </w14:textFill>
              </w:rPr>
            </w:pPr>
            <w:r>
              <w:rPr>
                <w:color w:val="000000" w:themeColor="text1"/>
                <w14:textFill>
                  <w14:solidFill>
                    <w14:schemeClr w14:val="tx1"/>
                  </w14:solidFill>
                </w14:textFill>
              </w:rPr>
              <w:t>30</w:t>
            </w:r>
          </w:p>
        </w:tc>
        <w:tc>
          <w:tcPr>
            <w:tcW w:w="464" w:type="pct"/>
            <w:vAlign w:val="center"/>
          </w:tcPr>
          <w:p w14:paraId="7AD9B42B">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c>
          <w:tcPr>
            <w:tcW w:w="733" w:type="pct"/>
            <w:vAlign w:val="center"/>
          </w:tcPr>
          <w:p w14:paraId="5F671B15">
            <w:pPr>
              <w:pStyle w:val="476"/>
              <w:rPr>
                <w:color w:val="000000" w:themeColor="text1"/>
                <w14:textFill>
                  <w14:solidFill>
                    <w14:schemeClr w14:val="tx1"/>
                  </w14:solidFill>
                </w14:textFill>
              </w:rPr>
            </w:pPr>
            <w:r>
              <w:rPr>
                <w:color w:val="000000" w:themeColor="text1"/>
                <w14:textFill>
                  <w14:solidFill>
                    <w14:schemeClr w14:val="tx1"/>
                  </w14:solidFill>
                </w14:textFill>
              </w:rPr>
              <w:t>120</w:t>
            </w:r>
          </w:p>
        </w:tc>
      </w:tr>
    </w:tbl>
    <w:p w14:paraId="56C137A0">
      <w:pPr>
        <w:pStyle w:val="4"/>
        <w:rPr>
          <w:rFonts w:ascii="Times New Roman" w:hAnsi="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现状污水处理设施容量复核</w:t>
      </w:r>
    </w:p>
    <w:p w14:paraId="20C375AE">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根据各镇污水量预测，结合已建污水处理设施规模，复核已建污水处理设施规模是否满足污水处理需求，结果如表5.1-3，由表可知，各镇现状污水处理设施设计规模可满足污水处理需求，即北峰山区当前已基本完成污水处理设施建设。</w:t>
      </w:r>
    </w:p>
    <w:p w14:paraId="7479105B">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日溪乡及寿山乡水量较小，主要由于乡镇距离福州城区较近，当地多数户籍人口在福州市区居住，实际常住人口少，水量较少。随着污水收集管网的不断完善，收集的污水量也将不断增加。</w:t>
      </w:r>
    </w:p>
    <w:p w14:paraId="02A734F0">
      <w:pPr>
        <w:pStyle w:val="442"/>
        <w:rPr>
          <w:color w:val="000000" w:themeColor="text1"/>
          <w14:textFill>
            <w14:solidFill>
              <w14:schemeClr w14:val="tx1"/>
            </w14:solidFill>
          </w14:textFill>
        </w:rPr>
      </w:pPr>
      <w:r>
        <w:rPr>
          <w:color w:val="000000" w:themeColor="text1"/>
          <w14:textFill>
            <w14:solidFill>
              <w14:schemeClr w14:val="tx1"/>
            </w14:solidFill>
          </w14:textFill>
        </w:rPr>
        <w:t>表5.1-3 北峰山区各乡镇现状污水处理厂容量负荷（单位：吨/日）</w:t>
      </w:r>
    </w:p>
    <w:tbl>
      <w:tblPr>
        <w:tblStyle w:val="5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5"/>
        <w:gridCol w:w="1099"/>
        <w:gridCol w:w="2187"/>
        <w:gridCol w:w="2450"/>
        <w:gridCol w:w="1504"/>
        <w:gridCol w:w="655"/>
      </w:tblGrid>
      <w:tr w14:paraId="6F78A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46" w:type="dxa"/>
            <w:shd w:val="clear" w:color="auto" w:fill="auto"/>
            <w:vAlign w:val="center"/>
          </w:tcPr>
          <w:p w14:paraId="5AD6037E">
            <w:pPr>
              <w:pStyle w:val="476"/>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134" w:type="dxa"/>
            <w:shd w:val="clear" w:color="auto" w:fill="auto"/>
            <w:vAlign w:val="center"/>
          </w:tcPr>
          <w:p w14:paraId="7507B928">
            <w:pPr>
              <w:pStyle w:val="476"/>
              <w:rPr>
                <w:b/>
                <w:color w:val="000000" w:themeColor="text1"/>
                <w14:textFill>
                  <w14:solidFill>
                    <w14:schemeClr w14:val="tx1"/>
                  </w14:solidFill>
                </w14:textFill>
              </w:rPr>
            </w:pPr>
            <w:r>
              <w:rPr>
                <w:b/>
                <w:color w:val="000000" w:themeColor="text1"/>
                <w14:textFill>
                  <w14:solidFill>
                    <w14:schemeClr w14:val="tx1"/>
                  </w14:solidFill>
                </w14:textFill>
              </w:rPr>
              <w:t>乡镇</w:t>
            </w:r>
          </w:p>
        </w:tc>
        <w:tc>
          <w:tcPr>
            <w:tcW w:w="2268" w:type="dxa"/>
            <w:shd w:val="clear" w:color="auto" w:fill="auto"/>
            <w:vAlign w:val="center"/>
          </w:tcPr>
          <w:p w14:paraId="1AA522FC">
            <w:pPr>
              <w:pStyle w:val="476"/>
              <w:rPr>
                <w:b/>
                <w:color w:val="000000" w:themeColor="text1"/>
                <w14:textFill>
                  <w14:solidFill>
                    <w14:schemeClr w14:val="tx1"/>
                  </w14:solidFill>
                </w14:textFill>
              </w:rPr>
            </w:pPr>
            <w:r>
              <w:rPr>
                <w:b/>
                <w:color w:val="000000" w:themeColor="text1"/>
                <w14:textFill>
                  <w14:solidFill>
                    <w14:schemeClr w14:val="tx1"/>
                  </w14:solidFill>
                </w14:textFill>
              </w:rPr>
              <w:t>污水量预测（吨</w:t>
            </w:r>
            <w:r>
              <w:rPr>
                <w:b/>
                <w:color w:val="000000" w:themeColor="text1"/>
                <w:lang w:val="en-US"/>
                <w14:textFill>
                  <w14:solidFill>
                    <w14:schemeClr w14:val="tx1"/>
                  </w14:solidFill>
                </w14:textFill>
              </w:rPr>
              <w:t>/天</w:t>
            </w:r>
            <w:r>
              <w:rPr>
                <w:b/>
                <w:color w:val="000000" w:themeColor="text1"/>
                <w14:textFill>
                  <w14:solidFill>
                    <w14:schemeClr w14:val="tx1"/>
                  </w14:solidFill>
                </w14:textFill>
              </w:rPr>
              <w:t>）</w:t>
            </w:r>
          </w:p>
        </w:tc>
        <w:tc>
          <w:tcPr>
            <w:tcW w:w="2551" w:type="dxa"/>
            <w:shd w:val="clear" w:color="auto" w:fill="auto"/>
            <w:vAlign w:val="center"/>
          </w:tcPr>
          <w:p w14:paraId="131A57E2">
            <w:pPr>
              <w:pStyle w:val="476"/>
              <w:rPr>
                <w:b/>
                <w:color w:val="000000" w:themeColor="text1"/>
                <w14:textFill>
                  <w14:solidFill>
                    <w14:schemeClr w14:val="tx1"/>
                  </w14:solidFill>
                </w14:textFill>
              </w:rPr>
            </w:pPr>
            <w:r>
              <w:rPr>
                <w:b/>
                <w:color w:val="000000" w:themeColor="text1"/>
                <w14:textFill>
                  <w14:solidFill>
                    <w14:schemeClr w14:val="tx1"/>
                  </w14:solidFill>
                </w14:textFill>
              </w:rPr>
              <w:t>已建污水处理设施规模</w:t>
            </w:r>
          </w:p>
        </w:tc>
        <w:tc>
          <w:tcPr>
            <w:tcW w:w="1560" w:type="dxa"/>
            <w:shd w:val="clear" w:color="auto" w:fill="auto"/>
            <w:vAlign w:val="center"/>
          </w:tcPr>
          <w:p w14:paraId="2DAFB0C8">
            <w:pPr>
              <w:pStyle w:val="476"/>
              <w:rPr>
                <w:b/>
                <w:color w:val="000000" w:themeColor="text1"/>
                <w14:textFill>
                  <w14:solidFill>
                    <w14:schemeClr w14:val="tx1"/>
                  </w14:solidFill>
                </w14:textFill>
              </w:rPr>
            </w:pPr>
            <w:r>
              <w:rPr>
                <w:b/>
                <w:color w:val="000000" w:themeColor="text1"/>
                <w14:textFill>
                  <w14:solidFill>
                    <w14:schemeClr w14:val="tx1"/>
                  </w14:solidFill>
                </w14:textFill>
              </w:rPr>
              <w:t>是否满足处理要求</w:t>
            </w:r>
          </w:p>
        </w:tc>
        <w:tc>
          <w:tcPr>
            <w:tcW w:w="667" w:type="dxa"/>
            <w:shd w:val="clear" w:color="auto" w:fill="auto"/>
            <w:vAlign w:val="center"/>
          </w:tcPr>
          <w:p w14:paraId="5CC81556">
            <w:pPr>
              <w:pStyle w:val="476"/>
              <w:rPr>
                <w:b/>
                <w:color w:val="000000" w:themeColor="text1"/>
                <w14:textFill>
                  <w14:solidFill>
                    <w14:schemeClr w14:val="tx1"/>
                  </w14:solidFill>
                </w14:textFill>
              </w:rPr>
            </w:pPr>
            <w:r>
              <w:rPr>
                <w:b/>
                <w:color w:val="000000" w:themeColor="text1"/>
                <w14:textFill>
                  <w14:solidFill>
                    <w14:schemeClr w14:val="tx1"/>
                  </w14:solidFill>
                </w14:textFill>
              </w:rPr>
              <w:t>备注</w:t>
            </w:r>
          </w:p>
        </w:tc>
      </w:tr>
      <w:tr w14:paraId="5C2C8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46" w:type="dxa"/>
            <w:vAlign w:val="center"/>
          </w:tcPr>
          <w:p w14:paraId="5190AA82">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1</w:t>
            </w:r>
          </w:p>
        </w:tc>
        <w:tc>
          <w:tcPr>
            <w:tcW w:w="1134" w:type="dxa"/>
            <w:vAlign w:val="center"/>
          </w:tcPr>
          <w:p w14:paraId="2B5F5931">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宦溪镇</w:t>
            </w:r>
          </w:p>
        </w:tc>
        <w:tc>
          <w:tcPr>
            <w:tcW w:w="2268" w:type="dxa"/>
            <w:vAlign w:val="center"/>
          </w:tcPr>
          <w:p w14:paraId="0E18C73D">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420</w:t>
            </w:r>
          </w:p>
        </w:tc>
        <w:tc>
          <w:tcPr>
            <w:tcW w:w="2551" w:type="dxa"/>
            <w:vAlign w:val="center"/>
          </w:tcPr>
          <w:p w14:paraId="589DCB4B">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500</w:t>
            </w:r>
          </w:p>
        </w:tc>
        <w:tc>
          <w:tcPr>
            <w:tcW w:w="1560" w:type="dxa"/>
            <w:vAlign w:val="center"/>
          </w:tcPr>
          <w:p w14:paraId="595B5E94">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是</w:t>
            </w:r>
          </w:p>
        </w:tc>
        <w:tc>
          <w:tcPr>
            <w:tcW w:w="667" w:type="dxa"/>
            <w:vAlign w:val="center"/>
          </w:tcPr>
          <w:p w14:paraId="4CF1C9B9">
            <w:pPr>
              <w:pStyle w:val="476"/>
              <w:rPr>
                <w:color w:val="000000" w:themeColor="text1"/>
                <w:lang w:val="en-US"/>
                <w14:textFill>
                  <w14:solidFill>
                    <w14:schemeClr w14:val="tx1"/>
                  </w14:solidFill>
                </w14:textFill>
              </w:rPr>
            </w:pPr>
          </w:p>
        </w:tc>
      </w:tr>
      <w:tr w14:paraId="09DB0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46" w:type="dxa"/>
            <w:vAlign w:val="center"/>
          </w:tcPr>
          <w:p w14:paraId="3692E3EE">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2</w:t>
            </w:r>
          </w:p>
        </w:tc>
        <w:tc>
          <w:tcPr>
            <w:tcW w:w="1134" w:type="dxa"/>
            <w:vAlign w:val="center"/>
          </w:tcPr>
          <w:p w14:paraId="792056CB">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寿山乡</w:t>
            </w:r>
          </w:p>
        </w:tc>
        <w:tc>
          <w:tcPr>
            <w:tcW w:w="2268" w:type="dxa"/>
            <w:vAlign w:val="center"/>
          </w:tcPr>
          <w:p w14:paraId="43831A86">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252</w:t>
            </w:r>
          </w:p>
        </w:tc>
        <w:tc>
          <w:tcPr>
            <w:tcW w:w="2551" w:type="dxa"/>
            <w:vAlign w:val="center"/>
          </w:tcPr>
          <w:p w14:paraId="640BC4A8">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500</w:t>
            </w:r>
          </w:p>
        </w:tc>
        <w:tc>
          <w:tcPr>
            <w:tcW w:w="1560" w:type="dxa"/>
            <w:vAlign w:val="center"/>
          </w:tcPr>
          <w:p w14:paraId="2ED0A2B0">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是</w:t>
            </w:r>
          </w:p>
        </w:tc>
        <w:tc>
          <w:tcPr>
            <w:tcW w:w="667" w:type="dxa"/>
            <w:vAlign w:val="center"/>
          </w:tcPr>
          <w:p w14:paraId="2D501374">
            <w:pPr>
              <w:pStyle w:val="476"/>
              <w:rPr>
                <w:color w:val="000000" w:themeColor="text1"/>
                <w:lang w:val="en-US"/>
                <w14:textFill>
                  <w14:solidFill>
                    <w14:schemeClr w14:val="tx1"/>
                  </w14:solidFill>
                </w14:textFill>
              </w:rPr>
            </w:pPr>
          </w:p>
        </w:tc>
      </w:tr>
      <w:tr w14:paraId="335E3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46" w:type="dxa"/>
            <w:vAlign w:val="center"/>
          </w:tcPr>
          <w:p w14:paraId="4E093C22">
            <w:pPr>
              <w:pStyle w:val="476"/>
              <w:rPr>
                <w:color w:val="000000" w:themeColor="text1"/>
                <w:lang w:val="en-US"/>
                <w14:textFill>
                  <w14:solidFill>
                    <w14:schemeClr w14:val="tx1"/>
                  </w14:solidFill>
                </w14:textFill>
              </w:rPr>
            </w:pPr>
            <w:bookmarkStart w:id="160" w:name="_Hlk122705031"/>
            <w:r>
              <w:rPr>
                <w:color w:val="000000" w:themeColor="text1"/>
                <w:lang w:val="en-US"/>
                <w14:textFill>
                  <w14:solidFill>
                    <w14:schemeClr w14:val="tx1"/>
                  </w14:solidFill>
                </w14:textFill>
              </w:rPr>
              <w:t>3</w:t>
            </w:r>
          </w:p>
        </w:tc>
        <w:tc>
          <w:tcPr>
            <w:tcW w:w="1134" w:type="dxa"/>
            <w:vAlign w:val="center"/>
          </w:tcPr>
          <w:p w14:paraId="45006E4A">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日溪乡</w:t>
            </w:r>
          </w:p>
        </w:tc>
        <w:tc>
          <w:tcPr>
            <w:tcW w:w="2268" w:type="dxa"/>
            <w:vAlign w:val="center"/>
          </w:tcPr>
          <w:p w14:paraId="017C0D7D">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75.6</w:t>
            </w:r>
          </w:p>
        </w:tc>
        <w:tc>
          <w:tcPr>
            <w:tcW w:w="2551" w:type="dxa"/>
            <w:vAlign w:val="center"/>
          </w:tcPr>
          <w:p w14:paraId="2C12CE59">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400</w:t>
            </w:r>
          </w:p>
        </w:tc>
        <w:tc>
          <w:tcPr>
            <w:tcW w:w="1560" w:type="dxa"/>
            <w:vAlign w:val="center"/>
          </w:tcPr>
          <w:p w14:paraId="2701992A">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是</w:t>
            </w:r>
          </w:p>
        </w:tc>
        <w:tc>
          <w:tcPr>
            <w:tcW w:w="667" w:type="dxa"/>
            <w:vAlign w:val="center"/>
          </w:tcPr>
          <w:p w14:paraId="11196002">
            <w:pPr>
              <w:pStyle w:val="476"/>
              <w:rPr>
                <w:color w:val="000000" w:themeColor="text1"/>
                <w:lang w:val="en-US"/>
                <w14:textFill>
                  <w14:solidFill>
                    <w14:schemeClr w14:val="tx1"/>
                  </w14:solidFill>
                </w14:textFill>
              </w:rPr>
            </w:pPr>
          </w:p>
        </w:tc>
      </w:tr>
      <w:bookmarkEnd w:id="160"/>
    </w:tbl>
    <w:p w14:paraId="4779882D">
      <w:pPr>
        <w:pStyle w:val="4"/>
        <w:rPr>
          <w:rFonts w:ascii="Times New Roman" w:hAnsi="Times New Roman" w:eastAsiaTheme="minorEastAsia"/>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处理设施建设方案</w:t>
      </w:r>
      <w:bookmarkEnd w:id="157"/>
      <w:bookmarkEnd w:id="158"/>
      <w:bookmarkEnd w:id="159"/>
    </w:p>
    <w:p w14:paraId="3C863442">
      <w:pPr>
        <w:pStyle w:val="6"/>
        <w:rPr>
          <w:color w:val="000000" w:themeColor="text1"/>
          <w14:textFill>
            <w14:solidFill>
              <w14:schemeClr w14:val="tx1"/>
            </w14:solidFill>
          </w14:textFill>
        </w:rPr>
      </w:pPr>
      <w:bookmarkStart w:id="161" w:name="_Toc112692595"/>
      <w:bookmarkStart w:id="162" w:name="_Toc112693893"/>
      <w:bookmarkStart w:id="163" w:name="_Toc112694028"/>
      <w:r>
        <w:rPr>
          <w:color w:val="000000" w:themeColor="text1"/>
          <w14:textFill>
            <w14:solidFill>
              <w14:schemeClr w14:val="tx1"/>
            </w14:solidFill>
          </w14:textFill>
        </w:rPr>
        <w:t>排水体制及收集方式</w:t>
      </w:r>
      <w:bookmarkEnd w:id="161"/>
      <w:bookmarkEnd w:id="162"/>
      <w:bookmarkEnd w:id="163"/>
    </w:p>
    <w:p w14:paraId="49DEDDB0">
      <w:pPr>
        <w:pStyle w:val="52"/>
        <w:rPr>
          <w:color w:val="000000" w:themeColor="text1"/>
          <w14:textFill>
            <w14:solidFill>
              <w14:schemeClr w14:val="tx1"/>
            </w14:solidFill>
          </w14:textFill>
        </w:rPr>
      </w:pPr>
      <w:r>
        <w:rPr>
          <w:color w:val="000000" w:themeColor="text1"/>
          <w14:textFill>
            <w14:solidFill>
              <w14:schemeClr w14:val="tx1"/>
            </w14:solidFill>
          </w14:textFill>
        </w:rPr>
        <w:t>（1）采用雨污分流制。污水由污水收集系统收集后处理；雨水由雨水管系统收集后，就近排入水体，可达到投资低、环境效益高的目的。新建房屋采用分流制，旧房屋对房前屋后污水管进行改造。</w:t>
      </w:r>
    </w:p>
    <w:p w14:paraId="198F17A2">
      <w:pPr>
        <w:pStyle w:val="52"/>
        <w:rPr>
          <w:color w:val="000000" w:themeColor="text1"/>
          <w14:textFill>
            <w14:solidFill>
              <w14:schemeClr w14:val="tx1"/>
            </w14:solidFill>
          </w14:textFill>
        </w:rPr>
      </w:pPr>
      <w:r>
        <w:rPr>
          <w:color w:val="000000" w:themeColor="text1"/>
          <w14:textFill>
            <w14:solidFill>
              <w14:schemeClr w14:val="tx1"/>
            </w14:solidFill>
          </w14:textFill>
        </w:rPr>
        <w:t>（2）污水收集系统应涵盖所有的北峰山区乡镇居民生活产生的污水。</w:t>
      </w:r>
    </w:p>
    <w:p w14:paraId="3BF48D9C">
      <w:pPr>
        <w:pStyle w:val="52"/>
        <w:rPr>
          <w:color w:val="000000" w:themeColor="text1"/>
          <w14:textFill>
            <w14:solidFill>
              <w14:schemeClr w14:val="tx1"/>
            </w14:solidFill>
          </w14:textFill>
        </w:rPr>
      </w:pPr>
      <w:r>
        <w:rPr>
          <w:color w:val="000000" w:themeColor="text1"/>
          <w14:textFill>
            <w14:solidFill>
              <w14:schemeClr w14:val="tx1"/>
            </w14:solidFill>
          </w14:textFill>
        </w:rPr>
        <w:t>（3）北峰山区乡镇生活污水收集及排放系统包括农户庭院内的户用污水收集系统、农户庭院外的污水收集系统和污水治理设施出水排放系统。化粪池出水管及片区污水收集干管坡度按最小3‰控制。</w:t>
      </w:r>
    </w:p>
    <w:p w14:paraId="482C729A">
      <w:pPr>
        <w:pStyle w:val="52"/>
        <w:rPr>
          <w:color w:val="000000" w:themeColor="text1"/>
          <w14:textFill>
            <w14:solidFill>
              <w14:schemeClr w14:val="tx1"/>
            </w14:solidFill>
          </w14:textFill>
        </w:rPr>
      </w:pPr>
      <w:r>
        <w:rPr>
          <w:color w:val="000000" w:themeColor="text1"/>
          <w14:textFill>
            <w14:solidFill>
              <w14:schemeClr w14:val="tx1"/>
            </w14:solidFill>
          </w14:textFill>
        </w:rPr>
        <w:t>（4）推行“厕所分户改造、污水集中处理”与单户粪污分散处理相结合的方式。其中，集中收集工程为集镇区内各家各户化粪池出水管为起点，铺设污水收集支管和污水收集干管，将集镇区划分为小的污水收集片区，片区内的污水根据地形自流或泵站提升至村庄污水收集总池。</w:t>
      </w:r>
    </w:p>
    <w:p w14:paraId="0FC804F2">
      <w:pPr>
        <w:pStyle w:val="52"/>
        <w:rPr>
          <w:color w:val="000000" w:themeColor="text1"/>
          <w14:textFill>
            <w14:solidFill>
              <w14:schemeClr w14:val="tx1"/>
            </w14:solidFill>
          </w14:textFill>
        </w:rPr>
      </w:pPr>
      <w:r>
        <w:rPr>
          <w:color w:val="000000" w:themeColor="text1"/>
          <w14:textFill>
            <w14:solidFill>
              <w14:schemeClr w14:val="tx1"/>
            </w14:solidFill>
          </w14:textFill>
        </w:rPr>
        <w:t>（5）农户庭院污水收集系统应包括排水管、检查井等设施。厕所粪便污水应先排入化粪池，再流入排水管；厨房和洗浴污水可直接进入排水管。</w:t>
      </w:r>
    </w:p>
    <w:p w14:paraId="134250F2">
      <w:pPr>
        <w:pStyle w:val="52"/>
        <w:rPr>
          <w:color w:val="000000" w:themeColor="text1"/>
          <w14:textFill>
            <w14:solidFill>
              <w14:schemeClr w14:val="tx1"/>
            </w14:solidFill>
          </w14:textFill>
        </w:rPr>
      </w:pPr>
      <w:r>
        <w:rPr>
          <w:color w:val="000000" w:themeColor="text1"/>
          <w14:textFill>
            <w14:solidFill>
              <w14:schemeClr w14:val="tx1"/>
            </w14:solidFill>
          </w14:textFill>
        </w:rPr>
        <w:t>（6）在厨房和浴室下水道前宜安装清扫口，出庭院前应设置检查井。</w:t>
      </w:r>
    </w:p>
    <w:p w14:paraId="5CD3E488">
      <w:pPr>
        <w:pStyle w:val="52"/>
        <w:rPr>
          <w:color w:val="000000" w:themeColor="text1"/>
          <w14:textFill>
            <w14:solidFill>
              <w14:schemeClr w14:val="tx1"/>
            </w14:solidFill>
          </w14:textFill>
        </w:rPr>
      </w:pPr>
      <w:r>
        <w:rPr>
          <w:color w:val="000000" w:themeColor="text1"/>
          <w14:textFill>
            <w14:solidFill>
              <w14:schemeClr w14:val="tx1"/>
            </w14:solidFill>
          </w14:textFill>
        </w:rPr>
        <w:t>（7）污水收集管和污水压力管沿现状排水沟、道路边、农田及现状河道边铺设，管道施工时破路需按原状恢复。其他地段管槽开挖后，可根据村庄水系要求，形成人工排水沟。</w:t>
      </w:r>
    </w:p>
    <w:p w14:paraId="3C468BBB">
      <w:pPr>
        <w:pStyle w:val="52"/>
        <w:rPr>
          <w:color w:val="000000" w:themeColor="text1"/>
          <w14:textFill>
            <w14:solidFill>
              <w14:schemeClr w14:val="tx1"/>
            </w14:solidFill>
          </w14:textFill>
        </w:rPr>
      </w:pPr>
      <w:r>
        <w:rPr>
          <w:color w:val="000000" w:themeColor="text1"/>
          <w14:textFill>
            <w14:solidFill>
              <w14:schemeClr w14:val="tx1"/>
            </w14:solidFill>
          </w14:textFill>
        </w:rPr>
        <w:t>（8）给水系统采用的管材和管件，应符合国家现行有关产品标准的要求。管材和管件的工作压力不得大于产品标准公称压力或标称的允许工作压力。</w:t>
      </w:r>
    </w:p>
    <w:p w14:paraId="26D06FD4">
      <w:pPr>
        <w:pStyle w:val="52"/>
        <w:rPr>
          <w:color w:val="000000" w:themeColor="text1"/>
          <w:szCs w:val="24"/>
          <w14:textFill>
            <w14:solidFill>
              <w14:schemeClr w14:val="tx1"/>
            </w14:solidFill>
          </w14:textFill>
        </w:rPr>
      </w:pPr>
      <w:r>
        <w:rPr>
          <w:color w:val="000000" w:themeColor="text1"/>
          <w:szCs w:val="24"/>
          <w14:textFill>
            <w14:solidFill>
              <w14:schemeClr w14:val="tx1"/>
            </w14:solidFill>
          </w14:textFill>
        </w:rPr>
        <w:t>（9）北峰山区乡镇排水系统宜采用预制化检查井，检查井约每30m布置一个。检查井建议采用一体化检查井，防止出现内渗或外渗。</w:t>
      </w:r>
    </w:p>
    <w:p w14:paraId="255469B8">
      <w:pPr>
        <w:pStyle w:val="6"/>
        <w:rPr>
          <w:color w:val="000000" w:themeColor="text1"/>
          <w14:textFill>
            <w14:solidFill>
              <w14:schemeClr w14:val="tx1"/>
            </w14:solidFill>
          </w14:textFill>
        </w:rPr>
      </w:pPr>
      <w:bookmarkStart w:id="164" w:name="_Toc112692596"/>
      <w:bookmarkStart w:id="165" w:name="_Toc112693894"/>
      <w:bookmarkStart w:id="166" w:name="_Toc112694029"/>
      <w:r>
        <w:rPr>
          <w:color w:val="000000" w:themeColor="text1"/>
          <w14:textFill>
            <w14:solidFill>
              <w14:schemeClr w14:val="tx1"/>
            </w14:solidFill>
          </w14:textFill>
        </w:rPr>
        <w:t>系统方案</w:t>
      </w:r>
      <w:bookmarkEnd w:id="164"/>
      <w:bookmarkEnd w:id="165"/>
      <w:bookmarkEnd w:id="166"/>
    </w:p>
    <w:p w14:paraId="7F132BFE">
      <w:pPr>
        <w:pStyle w:val="52"/>
        <w:rPr>
          <w:color w:val="000000" w:themeColor="text1"/>
          <w14:textFill>
            <w14:solidFill>
              <w14:schemeClr w14:val="tx1"/>
            </w14:solidFill>
          </w14:textFill>
        </w:rPr>
      </w:pPr>
      <w:r>
        <w:rPr>
          <w:color w:val="000000" w:themeColor="text1"/>
          <w14:textFill>
            <w14:solidFill>
              <w14:schemeClr w14:val="tx1"/>
            </w14:solidFill>
          </w14:textFill>
        </w:rPr>
        <w:t>本方案主要内容是按相关的规范指南要求，结合区域北峰山区乡镇生活污水整治现状，制定规划区各集镇区治理规划方式与污水治理工艺路线。根据规划区污水整治工程近期将建成运行的情况，本方案的具体项目建设内容、建设投资章节编制，主要是收集工程现状治理方案设计、施工方案与投资作为该章节编制基础。</w:t>
      </w:r>
    </w:p>
    <w:p w14:paraId="0AEAB4A6">
      <w:pPr>
        <w:pStyle w:val="7"/>
        <w:rPr>
          <w:color w:val="000000" w:themeColor="text1"/>
          <w14:textFill>
            <w14:solidFill>
              <w14:schemeClr w14:val="tx1"/>
            </w14:solidFill>
          </w14:textFill>
        </w:rPr>
      </w:pPr>
      <w:r>
        <w:rPr>
          <w:color w:val="000000" w:themeColor="text1"/>
          <w14:textFill>
            <w14:solidFill>
              <w14:schemeClr w14:val="tx1"/>
            </w14:solidFill>
          </w14:textFill>
        </w:rPr>
        <w:t>总体布局</w:t>
      </w:r>
    </w:p>
    <w:p w14:paraId="441C3817">
      <w:pPr>
        <w:pStyle w:val="52"/>
        <w:rPr>
          <w:color w:val="000000" w:themeColor="text1"/>
          <w14:textFill>
            <w14:solidFill>
              <w14:schemeClr w14:val="tx1"/>
            </w14:solidFill>
          </w14:textFill>
        </w:rPr>
      </w:pPr>
      <w:r>
        <w:rPr>
          <w:color w:val="000000" w:themeColor="text1"/>
          <w14:textFill>
            <w14:solidFill>
              <w14:schemeClr w14:val="tx1"/>
            </w14:solidFill>
          </w14:textFill>
        </w:rPr>
        <w:t>为科学规划，统筹安排，合理利用资金，选择合理的治理模式，优化投入方案，北峰山区乡镇生活污水治理方式的选择以区域总体规划为先导，结合生态保护红线、水源保护区、风景名胜区等生态环境敏感区（水质需要提升的小流域控制单元，存在黑臭水体区域）分布情况，统筹乡镇规划、北峰山区各乡镇集镇区人口数量、密度及分布、资源禀赋、地形、水环境功能区划、纳污水体现状、集镇区与周边地区关系等，因地制宜，将现有北峰山区乡镇生活污水治理设施进行整改或提升。</w:t>
      </w:r>
    </w:p>
    <w:p w14:paraId="0D4D9A85">
      <w:pPr>
        <w:pStyle w:val="7"/>
        <w:rPr>
          <w:color w:val="000000" w:themeColor="text1"/>
          <w14:textFill>
            <w14:solidFill>
              <w14:schemeClr w14:val="tx1"/>
            </w14:solidFill>
          </w14:textFill>
        </w:rPr>
      </w:pPr>
      <w:r>
        <w:rPr>
          <w:color w:val="000000" w:themeColor="text1"/>
          <w14:textFill>
            <w14:solidFill>
              <w14:schemeClr w14:val="tx1"/>
            </w14:solidFill>
          </w14:textFill>
        </w:rPr>
        <w:t>排放标准</w:t>
      </w:r>
    </w:p>
    <w:p w14:paraId="503BA624">
      <w:pPr>
        <w:pStyle w:val="52"/>
        <w:rPr>
          <w:color w:val="000000" w:themeColor="text1"/>
          <w14:textFill>
            <w14:solidFill>
              <w14:schemeClr w14:val="tx1"/>
            </w14:solidFill>
          </w14:textFill>
        </w:rPr>
      </w:pPr>
      <w:r>
        <w:rPr>
          <w:color w:val="000000" w:themeColor="text1"/>
          <w14:textFill>
            <w14:solidFill>
              <w14:schemeClr w14:val="tx1"/>
            </w14:solidFill>
          </w14:textFill>
        </w:rPr>
        <w:t>根据《城镇污水处理厂污染物排放标准》(GB18918-2002)，结合福州市编制印发的《水污染防治行动计划》和晋安区北峰山区乡镇实际情况，对于晋安区北峰山区乡镇污水治理设施的水污染排放提出了具体要求。标准提出：</w:t>
      </w:r>
    </w:p>
    <w:p w14:paraId="0F1ECAE2">
      <w:pPr>
        <w:pStyle w:val="52"/>
        <w:rPr>
          <w:color w:val="000000" w:themeColor="text1"/>
          <w14:textFill>
            <w14:solidFill>
              <w14:schemeClr w14:val="tx1"/>
            </w14:solidFill>
          </w14:textFill>
        </w:rPr>
      </w:pPr>
      <w:r>
        <w:rPr>
          <w:color w:val="000000" w:themeColor="text1"/>
          <w14:textFill>
            <w14:solidFill>
              <w14:schemeClr w14:val="tx1"/>
            </w14:solidFill>
          </w14:textFill>
        </w:rPr>
        <w:t>（1）水污染物排放应执行《城镇污水处理厂污染物排放标准》(GB18918-2002)的规定。</w:t>
      </w:r>
      <w:r>
        <w:rPr>
          <w:color w:val="000000" w:themeColor="text1"/>
          <w14:textFill>
            <w14:solidFill>
              <w14:schemeClr w14:val="tx1"/>
            </w14:solidFill>
          </w14:textFill>
        </w:rPr>
        <w:br w:type="page"/>
      </w:r>
    </w:p>
    <w:p w14:paraId="7FB65ED5">
      <w:pPr>
        <w:pStyle w:val="442"/>
        <w:rPr>
          <w:color w:val="000000" w:themeColor="text1"/>
          <w14:textFill>
            <w14:solidFill>
              <w14:schemeClr w14:val="tx1"/>
            </w14:solidFill>
          </w14:textFill>
        </w:rPr>
      </w:pPr>
      <w:r>
        <w:rPr>
          <w:color w:val="000000" w:themeColor="text1"/>
          <w14:textFill>
            <w14:solidFill>
              <w14:schemeClr w14:val="tx1"/>
            </w14:solidFill>
          </w14:textFill>
        </w:rPr>
        <w:t>表5.2-1城镇污水处理厂污染物排放限</w:t>
      </w:r>
      <w:r>
        <w:rPr>
          <w:color w:val="000000" w:themeColor="text1"/>
          <w:spacing w:val="4"/>
          <w14:textFill>
            <w14:solidFill>
              <w14:schemeClr w14:val="tx1"/>
            </w14:solidFill>
          </w14:textFill>
        </w:rPr>
        <w:t>值</w:t>
      </w:r>
      <w:r>
        <w:rPr>
          <w:color w:val="000000" w:themeColor="text1"/>
          <w14:textFill>
            <w14:solidFill>
              <w14:schemeClr w14:val="tx1"/>
            </w14:solidFill>
          </w14:textFill>
        </w:rPr>
        <w:t>(GB18918-2002)（单位：mg/L）</w:t>
      </w:r>
    </w:p>
    <w:tbl>
      <w:tblPr>
        <w:tblStyle w:val="55"/>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108" w:type="dxa"/>
          <w:bottom w:w="57" w:type="dxa"/>
          <w:right w:w="108" w:type="dxa"/>
        </w:tblCellMar>
      </w:tblPr>
      <w:tblGrid>
        <w:gridCol w:w="720"/>
        <w:gridCol w:w="701"/>
        <w:gridCol w:w="1924"/>
        <w:gridCol w:w="1306"/>
        <w:gridCol w:w="4067"/>
      </w:tblGrid>
      <w:tr w14:paraId="754FD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tblHeader/>
          <w:jc w:val="center"/>
        </w:trPr>
        <w:tc>
          <w:tcPr>
            <w:tcW w:w="413" w:type="pct"/>
            <w:vMerge w:val="restart"/>
            <w:shd w:val="clear" w:color="auto" w:fill="auto"/>
            <w:vAlign w:val="center"/>
          </w:tcPr>
          <w:p w14:paraId="4FC255D5">
            <w:pPr>
              <w:pStyle w:val="476"/>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505" w:type="pct"/>
            <w:gridSpan w:val="2"/>
            <w:vMerge w:val="restart"/>
            <w:shd w:val="clear" w:color="auto" w:fill="auto"/>
            <w:vAlign w:val="center"/>
          </w:tcPr>
          <w:p w14:paraId="18D23A11">
            <w:pPr>
              <w:pStyle w:val="476"/>
              <w:rPr>
                <w:b/>
                <w:color w:val="000000" w:themeColor="text1"/>
                <w14:textFill>
                  <w14:solidFill>
                    <w14:schemeClr w14:val="tx1"/>
                  </w14:solidFill>
                </w14:textFill>
              </w:rPr>
            </w:pPr>
            <w:r>
              <w:rPr>
                <w:b/>
                <w:color w:val="000000" w:themeColor="text1"/>
                <w14:textFill>
                  <w14:solidFill>
                    <w14:schemeClr w14:val="tx1"/>
                  </w14:solidFill>
                </w14:textFill>
              </w:rPr>
              <w:t>污染物或项目名称</w:t>
            </w:r>
          </w:p>
        </w:tc>
        <w:tc>
          <w:tcPr>
            <w:tcW w:w="749" w:type="pct"/>
            <w:vMerge w:val="restart"/>
            <w:shd w:val="clear" w:color="auto" w:fill="auto"/>
            <w:vAlign w:val="center"/>
          </w:tcPr>
          <w:p w14:paraId="4A06FF51">
            <w:pPr>
              <w:pStyle w:val="476"/>
              <w:rPr>
                <w:b/>
                <w:color w:val="000000" w:themeColor="text1"/>
                <w14:textFill>
                  <w14:solidFill>
                    <w14:schemeClr w14:val="tx1"/>
                  </w14:solidFill>
                </w14:textFill>
              </w:rPr>
            </w:pPr>
            <w:r>
              <w:rPr>
                <w:b/>
                <w:color w:val="000000" w:themeColor="text1"/>
                <w14:textFill>
                  <w14:solidFill>
                    <w14:schemeClr w14:val="tx1"/>
                  </w14:solidFill>
                </w14:textFill>
              </w:rPr>
              <w:t>一级</w:t>
            </w:r>
            <w:r>
              <w:rPr>
                <w:b/>
                <w:color w:val="000000" w:themeColor="text1"/>
                <w:lang w:val="en-US"/>
                <w14:textFill>
                  <w14:solidFill>
                    <w14:schemeClr w14:val="tx1"/>
                  </w14:solidFill>
                </w14:textFill>
              </w:rPr>
              <w:t>A</w:t>
            </w:r>
            <w:r>
              <w:rPr>
                <w:b/>
                <w:color w:val="000000" w:themeColor="text1"/>
                <w14:textFill>
                  <w14:solidFill>
                    <w14:schemeClr w14:val="tx1"/>
                  </w14:solidFill>
                </w14:textFill>
              </w:rPr>
              <w:t>标准</w:t>
            </w:r>
          </w:p>
        </w:tc>
        <w:tc>
          <w:tcPr>
            <w:tcW w:w="2332" w:type="pct"/>
            <w:vMerge w:val="restart"/>
            <w:shd w:val="clear" w:color="auto" w:fill="auto"/>
            <w:vAlign w:val="center"/>
          </w:tcPr>
          <w:p w14:paraId="4ECEE7F5">
            <w:pPr>
              <w:pStyle w:val="476"/>
              <w:rPr>
                <w:b/>
                <w:color w:val="000000" w:themeColor="text1"/>
                <w14:textFill>
                  <w14:solidFill>
                    <w14:schemeClr w14:val="tx1"/>
                  </w14:solidFill>
                </w14:textFill>
              </w:rPr>
            </w:pPr>
            <w:r>
              <w:rPr>
                <w:b/>
                <w:color w:val="000000" w:themeColor="text1"/>
                <w14:textFill>
                  <w14:solidFill>
                    <w14:schemeClr w14:val="tx1"/>
                  </w14:solidFill>
                </w14:textFill>
              </w:rPr>
              <w:t>备注</w:t>
            </w:r>
          </w:p>
        </w:tc>
      </w:tr>
      <w:tr w14:paraId="01BF2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tblHeader/>
          <w:jc w:val="center"/>
        </w:trPr>
        <w:tc>
          <w:tcPr>
            <w:tcW w:w="413" w:type="pct"/>
            <w:vMerge w:val="continue"/>
            <w:tcBorders>
              <w:top w:val="nil"/>
            </w:tcBorders>
            <w:shd w:val="clear" w:color="auto" w:fill="auto"/>
            <w:vAlign w:val="center"/>
          </w:tcPr>
          <w:p w14:paraId="05C15981">
            <w:pPr>
              <w:pStyle w:val="476"/>
              <w:rPr>
                <w:color w:val="000000" w:themeColor="text1"/>
                <w:sz w:val="2"/>
                <w:szCs w:val="2"/>
                <w14:textFill>
                  <w14:solidFill>
                    <w14:schemeClr w14:val="tx1"/>
                  </w14:solidFill>
                </w14:textFill>
              </w:rPr>
            </w:pPr>
          </w:p>
        </w:tc>
        <w:tc>
          <w:tcPr>
            <w:tcW w:w="1505" w:type="pct"/>
            <w:gridSpan w:val="2"/>
            <w:vMerge w:val="continue"/>
            <w:tcBorders>
              <w:top w:val="nil"/>
            </w:tcBorders>
            <w:shd w:val="clear" w:color="auto" w:fill="auto"/>
            <w:vAlign w:val="center"/>
          </w:tcPr>
          <w:p w14:paraId="5F2B0ECB">
            <w:pPr>
              <w:pStyle w:val="476"/>
              <w:rPr>
                <w:color w:val="000000" w:themeColor="text1"/>
                <w:sz w:val="2"/>
                <w:szCs w:val="2"/>
                <w14:textFill>
                  <w14:solidFill>
                    <w14:schemeClr w14:val="tx1"/>
                  </w14:solidFill>
                </w14:textFill>
              </w:rPr>
            </w:pPr>
          </w:p>
        </w:tc>
        <w:tc>
          <w:tcPr>
            <w:tcW w:w="749" w:type="pct"/>
            <w:vMerge w:val="continue"/>
            <w:tcBorders>
              <w:top w:val="nil"/>
            </w:tcBorders>
            <w:shd w:val="clear" w:color="auto" w:fill="auto"/>
            <w:vAlign w:val="center"/>
          </w:tcPr>
          <w:p w14:paraId="0E07FAF7">
            <w:pPr>
              <w:pStyle w:val="476"/>
              <w:rPr>
                <w:color w:val="000000" w:themeColor="text1"/>
                <w:sz w:val="2"/>
                <w:szCs w:val="2"/>
                <w14:textFill>
                  <w14:solidFill>
                    <w14:schemeClr w14:val="tx1"/>
                  </w14:solidFill>
                </w14:textFill>
              </w:rPr>
            </w:pPr>
          </w:p>
        </w:tc>
        <w:tc>
          <w:tcPr>
            <w:tcW w:w="2332" w:type="pct"/>
            <w:vMerge w:val="continue"/>
            <w:tcBorders>
              <w:top w:val="nil"/>
            </w:tcBorders>
            <w:shd w:val="clear" w:color="auto" w:fill="auto"/>
            <w:vAlign w:val="center"/>
          </w:tcPr>
          <w:p w14:paraId="1EF2EC4A">
            <w:pPr>
              <w:pStyle w:val="476"/>
              <w:rPr>
                <w:color w:val="000000" w:themeColor="text1"/>
                <w:sz w:val="2"/>
                <w:szCs w:val="2"/>
                <w14:textFill>
                  <w14:solidFill>
                    <w14:schemeClr w14:val="tx1"/>
                  </w14:solidFill>
                </w14:textFill>
              </w:rPr>
            </w:pPr>
          </w:p>
        </w:tc>
      </w:tr>
      <w:tr w14:paraId="4FB9F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jc w:val="center"/>
        </w:trPr>
        <w:tc>
          <w:tcPr>
            <w:tcW w:w="413" w:type="pct"/>
            <w:vAlign w:val="center"/>
          </w:tcPr>
          <w:p w14:paraId="4093AF36">
            <w:pPr>
              <w:pStyle w:val="476"/>
              <w:rPr>
                <w:color w:val="000000" w:themeColor="text1"/>
                <w14:textFill>
                  <w14:solidFill>
                    <w14:schemeClr w14:val="tx1"/>
                  </w14:solidFill>
                </w14:textFill>
              </w:rPr>
            </w:pPr>
            <w:r>
              <w:rPr>
                <w:color w:val="000000" w:themeColor="text1"/>
                <w14:textFill>
                  <w14:solidFill>
                    <w14:schemeClr w14:val="tx1"/>
                  </w14:solidFill>
                </w14:textFill>
              </w:rPr>
              <w:t>1</w:t>
            </w:r>
          </w:p>
        </w:tc>
        <w:tc>
          <w:tcPr>
            <w:tcW w:w="402" w:type="pct"/>
            <w:vMerge w:val="restart"/>
            <w:vAlign w:val="center"/>
          </w:tcPr>
          <w:p w14:paraId="38CB511E">
            <w:pPr>
              <w:pStyle w:val="476"/>
              <w:rPr>
                <w:color w:val="000000" w:themeColor="text1"/>
                <w14:textFill>
                  <w14:solidFill>
                    <w14:schemeClr w14:val="tx1"/>
                  </w14:solidFill>
                </w14:textFill>
              </w:rPr>
            </w:pPr>
            <w:r>
              <w:rPr>
                <w:color w:val="000000" w:themeColor="text1"/>
                <w14:textFill>
                  <w14:solidFill>
                    <w14:schemeClr w14:val="tx1"/>
                  </w14:solidFill>
                </w14:textFill>
              </w:rPr>
              <w:t>基本控制项目</w:t>
            </w:r>
          </w:p>
        </w:tc>
        <w:tc>
          <w:tcPr>
            <w:tcW w:w="1103" w:type="pct"/>
            <w:vAlign w:val="center"/>
          </w:tcPr>
          <w:p w14:paraId="5ECBD765">
            <w:pPr>
              <w:pStyle w:val="476"/>
              <w:rPr>
                <w:color w:val="000000" w:themeColor="text1"/>
                <w14:textFill>
                  <w14:solidFill>
                    <w14:schemeClr w14:val="tx1"/>
                  </w14:solidFill>
                </w14:textFill>
              </w:rPr>
            </w:pPr>
            <w:r>
              <w:rPr>
                <w:color w:val="000000" w:themeColor="text1"/>
                <w14:textFill>
                  <w14:solidFill>
                    <w14:schemeClr w14:val="tx1"/>
                  </w14:solidFill>
                </w14:textFill>
              </w:rPr>
              <w:t>pH值</w:t>
            </w:r>
          </w:p>
        </w:tc>
        <w:tc>
          <w:tcPr>
            <w:tcW w:w="749" w:type="pct"/>
            <w:vAlign w:val="center"/>
          </w:tcPr>
          <w:p w14:paraId="5E1C13BC">
            <w:pPr>
              <w:pStyle w:val="476"/>
              <w:rPr>
                <w:color w:val="000000" w:themeColor="text1"/>
                <w14:textFill>
                  <w14:solidFill>
                    <w14:schemeClr w14:val="tx1"/>
                  </w14:solidFill>
                </w14:textFill>
              </w:rPr>
            </w:pPr>
            <w:r>
              <w:rPr>
                <w:color w:val="000000" w:themeColor="text1"/>
                <w14:textFill>
                  <w14:solidFill>
                    <w14:schemeClr w14:val="tx1"/>
                  </w14:solidFill>
                </w14:textFill>
              </w:rPr>
              <w:t>6-9</w:t>
            </w:r>
          </w:p>
        </w:tc>
        <w:tc>
          <w:tcPr>
            <w:tcW w:w="2332" w:type="pct"/>
            <w:vAlign w:val="center"/>
          </w:tcPr>
          <w:p w14:paraId="5A088CFA">
            <w:pPr>
              <w:pStyle w:val="476"/>
              <w:rPr>
                <w:color w:val="000000" w:themeColor="text1"/>
                <w14:textFill>
                  <w14:solidFill>
                    <w14:schemeClr w14:val="tx1"/>
                  </w14:solidFill>
                </w14:textFill>
              </w:rPr>
            </w:pPr>
            <w:r>
              <w:rPr>
                <w:color w:val="000000" w:themeColor="text1"/>
                <w:w w:val="99"/>
                <w14:textFill>
                  <w14:solidFill>
                    <w14:schemeClr w14:val="tx1"/>
                  </w14:solidFill>
                </w14:textFill>
              </w:rPr>
              <w:t>-</w:t>
            </w:r>
          </w:p>
        </w:tc>
      </w:tr>
      <w:tr w14:paraId="3A4FA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jc w:val="center"/>
        </w:trPr>
        <w:tc>
          <w:tcPr>
            <w:tcW w:w="413" w:type="pct"/>
            <w:vAlign w:val="center"/>
          </w:tcPr>
          <w:p w14:paraId="15C9347F">
            <w:pPr>
              <w:pStyle w:val="476"/>
              <w:rPr>
                <w:color w:val="000000" w:themeColor="text1"/>
                <w14:textFill>
                  <w14:solidFill>
                    <w14:schemeClr w14:val="tx1"/>
                  </w14:solidFill>
                </w14:textFill>
              </w:rPr>
            </w:pPr>
            <w:r>
              <w:rPr>
                <w:color w:val="000000" w:themeColor="text1"/>
                <w14:textFill>
                  <w14:solidFill>
                    <w14:schemeClr w14:val="tx1"/>
                  </w14:solidFill>
                </w14:textFill>
              </w:rPr>
              <w:t>2</w:t>
            </w:r>
          </w:p>
        </w:tc>
        <w:tc>
          <w:tcPr>
            <w:tcW w:w="402" w:type="pct"/>
            <w:vMerge w:val="continue"/>
            <w:vAlign w:val="center"/>
          </w:tcPr>
          <w:p w14:paraId="28C9CD7E">
            <w:pPr>
              <w:pStyle w:val="476"/>
              <w:rPr>
                <w:color w:val="000000" w:themeColor="text1"/>
                <w:sz w:val="2"/>
                <w:szCs w:val="2"/>
                <w14:textFill>
                  <w14:solidFill>
                    <w14:schemeClr w14:val="tx1"/>
                  </w14:solidFill>
                </w14:textFill>
              </w:rPr>
            </w:pPr>
          </w:p>
        </w:tc>
        <w:tc>
          <w:tcPr>
            <w:tcW w:w="1103" w:type="pct"/>
            <w:vAlign w:val="center"/>
          </w:tcPr>
          <w:p w14:paraId="4CFF380E">
            <w:pPr>
              <w:pStyle w:val="476"/>
              <w:rPr>
                <w:color w:val="000000" w:themeColor="text1"/>
                <w14:textFill>
                  <w14:solidFill>
                    <w14:schemeClr w14:val="tx1"/>
                  </w14:solidFill>
                </w14:textFill>
              </w:rPr>
            </w:pPr>
            <w:r>
              <w:rPr>
                <w:color w:val="000000" w:themeColor="text1"/>
                <w14:textFill>
                  <w14:solidFill>
                    <w14:schemeClr w14:val="tx1"/>
                  </w14:solidFill>
                </w14:textFill>
              </w:rPr>
              <w:t>悬浮物（SS）</w:t>
            </w:r>
          </w:p>
        </w:tc>
        <w:tc>
          <w:tcPr>
            <w:tcW w:w="749" w:type="pct"/>
            <w:vAlign w:val="center"/>
          </w:tcPr>
          <w:p w14:paraId="1CAFEF59">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10</w:t>
            </w:r>
          </w:p>
        </w:tc>
        <w:tc>
          <w:tcPr>
            <w:tcW w:w="2332" w:type="pct"/>
            <w:vAlign w:val="center"/>
          </w:tcPr>
          <w:p w14:paraId="747B3BD8">
            <w:pPr>
              <w:pStyle w:val="476"/>
              <w:rPr>
                <w:color w:val="000000" w:themeColor="text1"/>
                <w14:textFill>
                  <w14:solidFill>
                    <w14:schemeClr w14:val="tx1"/>
                  </w14:solidFill>
                </w14:textFill>
              </w:rPr>
            </w:pPr>
            <w:r>
              <w:rPr>
                <w:color w:val="000000" w:themeColor="text1"/>
                <w:w w:val="99"/>
                <w14:textFill>
                  <w14:solidFill>
                    <w14:schemeClr w14:val="tx1"/>
                  </w14:solidFill>
                </w14:textFill>
              </w:rPr>
              <w:t>-</w:t>
            </w:r>
          </w:p>
        </w:tc>
      </w:tr>
      <w:tr w14:paraId="07711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jc w:val="center"/>
        </w:trPr>
        <w:tc>
          <w:tcPr>
            <w:tcW w:w="413" w:type="pct"/>
            <w:vAlign w:val="center"/>
          </w:tcPr>
          <w:p w14:paraId="72A501D3">
            <w:pPr>
              <w:pStyle w:val="476"/>
              <w:rPr>
                <w:color w:val="000000" w:themeColor="text1"/>
                <w14:textFill>
                  <w14:solidFill>
                    <w14:schemeClr w14:val="tx1"/>
                  </w14:solidFill>
                </w14:textFill>
              </w:rPr>
            </w:pPr>
            <w:r>
              <w:rPr>
                <w:color w:val="000000" w:themeColor="text1"/>
                <w14:textFill>
                  <w14:solidFill>
                    <w14:schemeClr w14:val="tx1"/>
                  </w14:solidFill>
                </w14:textFill>
              </w:rPr>
              <w:t>3</w:t>
            </w:r>
          </w:p>
        </w:tc>
        <w:tc>
          <w:tcPr>
            <w:tcW w:w="402" w:type="pct"/>
            <w:vMerge w:val="continue"/>
            <w:vAlign w:val="center"/>
          </w:tcPr>
          <w:p w14:paraId="4C7A3048">
            <w:pPr>
              <w:pStyle w:val="476"/>
              <w:rPr>
                <w:color w:val="000000" w:themeColor="text1"/>
                <w:sz w:val="2"/>
                <w:szCs w:val="2"/>
                <w14:textFill>
                  <w14:solidFill>
                    <w14:schemeClr w14:val="tx1"/>
                  </w14:solidFill>
                </w14:textFill>
              </w:rPr>
            </w:pPr>
          </w:p>
        </w:tc>
        <w:tc>
          <w:tcPr>
            <w:tcW w:w="1103" w:type="pct"/>
            <w:vAlign w:val="center"/>
          </w:tcPr>
          <w:p w14:paraId="65FAAEFB">
            <w:pPr>
              <w:pStyle w:val="476"/>
              <w:rPr>
                <w:color w:val="000000" w:themeColor="text1"/>
                <w14:textFill>
                  <w14:solidFill>
                    <w14:schemeClr w14:val="tx1"/>
                  </w14:solidFill>
                </w14:textFill>
              </w:rPr>
            </w:pPr>
            <w:r>
              <w:rPr>
                <w:color w:val="000000" w:themeColor="text1"/>
                <w14:textFill>
                  <w14:solidFill>
                    <w14:schemeClr w14:val="tx1"/>
                  </w14:solidFill>
                </w14:textFill>
              </w:rPr>
              <w:t>化学需氧量</w:t>
            </w:r>
          </w:p>
          <w:p w14:paraId="479ADAEC">
            <w:pPr>
              <w:pStyle w:val="476"/>
              <w:rPr>
                <w:color w:val="000000" w:themeColor="text1"/>
                <w14:textFill>
                  <w14:solidFill>
                    <w14:schemeClr w14:val="tx1"/>
                  </w14:solidFill>
                </w14:textFill>
              </w:rPr>
            </w:pPr>
            <w:r>
              <w:rPr>
                <w:color w:val="000000" w:themeColor="text1"/>
                <w:position w:val="1"/>
                <w14:textFill>
                  <w14:solidFill>
                    <w14:schemeClr w14:val="tx1"/>
                  </w14:solidFill>
                </w14:textFill>
              </w:rPr>
              <w:t>（COD</w:t>
            </w:r>
            <w:r>
              <w:rPr>
                <w:color w:val="000000" w:themeColor="text1"/>
                <w:sz w:val="16"/>
                <w14:textFill>
                  <w14:solidFill>
                    <w14:schemeClr w14:val="tx1"/>
                  </w14:solidFill>
                </w14:textFill>
              </w:rPr>
              <w:t>cr</w:t>
            </w:r>
            <w:r>
              <w:rPr>
                <w:color w:val="000000" w:themeColor="text1"/>
                <w:position w:val="1"/>
                <w14:textFill>
                  <w14:solidFill>
                    <w14:schemeClr w14:val="tx1"/>
                  </w14:solidFill>
                </w14:textFill>
              </w:rPr>
              <w:t>）</w:t>
            </w:r>
          </w:p>
        </w:tc>
        <w:tc>
          <w:tcPr>
            <w:tcW w:w="749" w:type="pct"/>
            <w:vAlign w:val="center"/>
          </w:tcPr>
          <w:p w14:paraId="6004F349">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50</w:t>
            </w:r>
          </w:p>
        </w:tc>
        <w:tc>
          <w:tcPr>
            <w:tcW w:w="2332" w:type="pct"/>
            <w:vAlign w:val="center"/>
          </w:tcPr>
          <w:p w14:paraId="1BE7EF9C">
            <w:pPr>
              <w:pStyle w:val="476"/>
              <w:rPr>
                <w:color w:val="000000" w:themeColor="text1"/>
                <w14:textFill>
                  <w14:solidFill>
                    <w14:schemeClr w14:val="tx1"/>
                  </w14:solidFill>
                </w14:textFill>
              </w:rPr>
            </w:pPr>
            <w:r>
              <w:rPr>
                <w:color w:val="000000" w:themeColor="text1"/>
                <w:w w:val="99"/>
                <w14:textFill>
                  <w14:solidFill>
                    <w14:schemeClr w14:val="tx1"/>
                  </w14:solidFill>
                </w14:textFill>
              </w:rPr>
              <w:t>-</w:t>
            </w:r>
          </w:p>
        </w:tc>
      </w:tr>
      <w:tr w14:paraId="0B875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jc w:val="center"/>
        </w:trPr>
        <w:tc>
          <w:tcPr>
            <w:tcW w:w="413" w:type="pct"/>
            <w:vAlign w:val="center"/>
          </w:tcPr>
          <w:p w14:paraId="2FA27696">
            <w:pPr>
              <w:pStyle w:val="476"/>
              <w:rPr>
                <w:color w:val="000000" w:themeColor="text1"/>
                <w14:textFill>
                  <w14:solidFill>
                    <w14:schemeClr w14:val="tx1"/>
                  </w14:solidFill>
                </w14:textFill>
              </w:rPr>
            </w:pPr>
            <w:r>
              <w:rPr>
                <w:color w:val="000000" w:themeColor="text1"/>
                <w14:textFill>
                  <w14:solidFill>
                    <w14:schemeClr w14:val="tx1"/>
                  </w14:solidFill>
                </w14:textFill>
              </w:rPr>
              <w:t>4</w:t>
            </w:r>
          </w:p>
        </w:tc>
        <w:tc>
          <w:tcPr>
            <w:tcW w:w="402" w:type="pct"/>
            <w:vMerge w:val="continue"/>
            <w:vAlign w:val="center"/>
          </w:tcPr>
          <w:p w14:paraId="1F4FACA3">
            <w:pPr>
              <w:pStyle w:val="476"/>
              <w:rPr>
                <w:color w:val="000000" w:themeColor="text1"/>
                <w:sz w:val="2"/>
                <w:szCs w:val="2"/>
                <w14:textFill>
                  <w14:solidFill>
                    <w14:schemeClr w14:val="tx1"/>
                  </w14:solidFill>
                </w14:textFill>
              </w:rPr>
            </w:pPr>
          </w:p>
        </w:tc>
        <w:tc>
          <w:tcPr>
            <w:tcW w:w="1103" w:type="pct"/>
            <w:vAlign w:val="center"/>
          </w:tcPr>
          <w:p w14:paraId="065D3EC9">
            <w:pPr>
              <w:pStyle w:val="476"/>
              <w:rPr>
                <w:color w:val="000000" w:themeColor="text1"/>
                <w14:textFill>
                  <w14:solidFill>
                    <w14:schemeClr w14:val="tx1"/>
                  </w14:solidFill>
                </w14:textFill>
              </w:rPr>
            </w:pPr>
            <w:r>
              <w:rPr>
                <w:color w:val="000000" w:themeColor="text1"/>
                <w14:textFill>
                  <w14:solidFill>
                    <w14:schemeClr w14:val="tx1"/>
                  </w14:solidFill>
                </w14:textFill>
              </w:rPr>
              <w:t>氨氮（以N计）</w:t>
            </w:r>
          </w:p>
        </w:tc>
        <w:tc>
          <w:tcPr>
            <w:tcW w:w="749" w:type="pct"/>
            <w:vAlign w:val="center"/>
          </w:tcPr>
          <w:p w14:paraId="19AAE3D0">
            <w:pPr>
              <w:pStyle w:val="476"/>
              <w:rPr>
                <w:color w:val="000000" w:themeColor="text1"/>
                <w14:textFill>
                  <w14:solidFill>
                    <w14:schemeClr w14:val="tx1"/>
                  </w14:solidFill>
                </w14:textFill>
              </w:rPr>
            </w:pPr>
            <w:r>
              <w:rPr>
                <w:color w:val="000000" w:themeColor="text1"/>
                <w:lang w:val="en-US"/>
                <w14:textFill>
                  <w14:solidFill>
                    <w14:schemeClr w14:val="tx1"/>
                  </w14:solidFill>
                </w14:textFill>
              </w:rPr>
              <w:t>5（8）</w:t>
            </w:r>
          </w:p>
        </w:tc>
        <w:tc>
          <w:tcPr>
            <w:tcW w:w="2332" w:type="pct"/>
            <w:vAlign w:val="center"/>
          </w:tcPr>
          <w:p w14:paraId="25F54389">
            <w:pPr>
              <w:pStyle w:val="476"/>
              <w:rPr>
                <w:color w:val="000000" w:themeColor="text1"/>
                <w14:textFill>
                  <w14:solidFill>
                    <w14:schemeClr w14:val="tx1"/>
                  </w14:solidFill>
                </w14:textFill>
              </w:rPr>
            </w:pPr>
            <w:r>
              <w:rPr>
                <w:color w:val="000000" w:themeColor="text1"/>
                <w14:textFill>
                  <w14:solidFill>
                    <w14:schemeClr w14:val="tx1"/>
                  </w14:solidFill>
                </w14:textFill>
              </w:rPr>
              <w:t>括号外数值为水温12℃时的控制指标，括号内数值为水温≤12℃时的控制指标。</w:t>
            </w:r>
          </w:p>
        </w:tc>
      </w:tr>
      <w:tr w14:paraId="3623D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jc w:val="center"/>
        </w:trPr>
        <w:tc>
          <w:tcPr>
            <w:tcW w:w="413" w:type="pct"/>
            <w:vAlign w:val="center"/>
          </w:tcPr>
          <w:p w14:paraId="24390B76">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c>
          <w:tcPr>
            <w:tcW w:w="402" w:type="pct"/>
            <w:vMerge w:val="continue"/>
            <w:vAlign w:val="center"/>
          </w:tcPr>
          <w:p w14:paraId="7A098795">
            <w:pPr>
              <w:pStyle w:val="476"/>
              <w:rPr>
                <w:color w:val="000000" w:themeColor="text1"/>
                <w14:textFill>
                  <w14:solidFill>
                    <w14:schemeClr w14:val="tx1"/>
                  </w14:solidFill>
                </w14:textFill>
              </w:rPr>
            </w:pPr>
          </w:p>
        </w:tc>
        <w:tc>
          <w:tcPr>
            <w:tcW w:w="1103" w:type="pct"/>
            <w:vAlign w:val="center"/>
          </w:tcPr>
          <w:p w14:paraId="2C7F82A5">
            <w:pPr>
              <w:pStyle w:val="476"/>
              <w:rPr>
                <w:color w:val="000000" w:themeColor="text1"/>
                <w14:textFill>
                  <w14:solidFill>
                    <w14:schemeClr w14:val="tx1"/>
                  </w14:solidFill>
                </w14:textFill>
              </w:rPr>
            </w:pPr>
            <w:r>
              <w:rPr>
                <w:color w:val="000000" w:themeColor="text1"/>
                <w14:textFill>
                  <w14:solidFill>
                    <w14:schemeClr w14:val="tx1"/>
                  </w14:solidFill>
                </w14:textFill>
              </w:rPr>
              <w:t>总氮（以N计）</w:t>
            </w:r>
          </w:p>
        </w:tc>
        <w:tc>
          <w:tcPr>
            <w:tcW w:w="749" w:type="pct"/>
            <w:vAlign w:val="center"/>
          </w:tcPr>
          <w:p w14:paraId="2D26DCAD">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15</w:t>
            </w:r>
          </w:p>
        </w:tc>
        <w:tc>
          <w:tcPr>
            <w:tcW w:w="2332" w:type="pct"/>
            <w:vAlign w:val="center"/>
          </w:tcPr>
          <w:p w14:paraId="3C3A6E4C">
            <w:pPr>
              <w:pStyle w:val="476"/>
              <w:rPr>
                <w:color w:val="000000" w:themeColor="text1"/>
                <w14:textFill>
                  <w14:solidFill>
                    <w14:schemeClr w14:val="tx1"/>
                  </w14:solidFill>
                </w14:textFill>
              </w:rPr>
            </w:pPr>
            <w:r>
              <w:rPr>
                <w:color w:val="000000" w:themeColor="text1"/>
                <w14:textFill>
                  <w14:solidFill>
                    <w14:schemeClr w14:val="tx1"/>
                  </w14:solidFill>
                </w14:textFill>
              </w:rPr>
              <w:t>出水排入湖泊等封闭水体或超标因子为氮的不达标水体时，执行总氮指标</w:t>
            </w:r>
          </w:p>
        </w:tc>
      </w:tr>
      <w:tr w14:paraId="05D79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jc w:val="center"/>
        </w:trPr>
        <w:tc>
          <w:tcPr>
            <w:tcW w:w="413" w:type="pct"/>
            <w:vAlign w:val="center"/>
          </w:tcPr>
          <w:p w14:paraId="7E7A3836">
            <w:pPr>
              <w:pStyle w:val="476"/>
              <w:rPr>
                <w:color w:val="000000" w:themeColor="text1"/>
                <w14:textFill>
                  <w14:solidFill>
                    <w14:schemeClr w14:val="tx1"/>
                  </w14:solidFill>
                </w14:textFill>
              </w:rPr>
            </w:pPr>
            <w:r>
              <w:rPr>
                <w:color w:val="000000" w:themeColor="text1"/>
                <w14:textFill>
                  <w14:solidFill>
                    <w14:schemeClr w14:val="tx1"/>
                  </w14:solidFill>
                </w14:textFill>
              </w:rPr>
              <w:t>6</w:t>
            </w:r>
          </w:p>
        </w:tc>
        <w:tc>
          <w:tcPr>
            <w:tcW w:w="402" w:type="pct"/>
            <w:vMerge w:val="continue"/>
            <w:vAlign w:val="center"/>
          </w:tcPr>
          <w:p w14:paraId="0720EDB1">
            <w:pPr>
              <w:pStyle w:val="476"/>
              <w:rPr>
                <w:color w:val="000000" w:themeColor="text1"/>
                <w:sz w:val="2"/>
                <w:szCs w:val="2"/>
                <w14:textFill>
                  <w14:solidFill>
                    <w14:schemeClr w14:val="tx1"/>
                  </w14:solidFill>
                </w14:textFill>
              </w:rPr>
            </w:pPr>
          </w:p>
        </w:tc>
        <w:tc>
          <w:tcPr>
            <w:tcW w:w="1103" w:type="pct"/>
            <w:vAlign w:val="center"/>
          </w:tcPr>
          <w:p w14:paraId="79DC5AA6">
            <w:pPr>
              <w:pStyle w:val="476"/>
              <w:rPr>
                <w:color w:val="000000" w:themeColor="text1"/>
                <w14:textFill>
                  <w14:solidFill>
                    <w14:schemeClr w14:val="tx1"/>
                  </w14:solidFill>
                </w14:textFill>
              </w:rPr>
            </w:pPr>
            <w:r>
              <w:rPr>
                <w:color w:val="000000" w:themeColor="text1"/>
                <w14:textFill>
                  <w14:solidFill>
                    <w14:schemeClr w14:val="tx1"/>
                  </w14:solidFill>
                </w14:textFill>
              </w:rPr>
              <w:t>总磷（以N计）</w:t>
            </w:r>
          </w:p>
        </w:tc>
        <w:tc>
          <w:tcPr>
            <w:tcW w:w="749" w:type="pct"/>
            <w:vAlign w:val="center"/>
          </w:tcPr>
          <w:p w14:paraId="481D4B9E">
            <w:pPr>
              <w:pStyle w:val="476"/>
              <w:rPr>
                <w:color w:val="000000" w:themeColor="text1"/>
                <w:lang w:val="en-US"/>
                <w14:textFill>
                  <w14:solidFill>
                    <w14:schemeClr w14:val="tx1"/>
                  </w14:solidFill>
                </w14:textFill>
              </w:rPr>
            </w:pPr>
            <w:r>
              <w:rPr>
                <w:color w:val="000000" w:themeColor="text1"/>
                <w:lang w:val="en-US"/>
                <w14:textFill>
                  <w14:solidFill>
                    <w14:schemeClr w14:val="tx1"/>
                  </w14:solidFill>
                </w14:textFill>
              </w:rPr>
              <w:t>0.5</w:t>
            </w:r>
          </w:p>
        </w:tc>
        <w:tc>
          <w:tcPr>
            <w:tcW w:w="2332" w:type="pct"/>
            <w:vAlign w:val="center"/>
          </w:tcPr>
          <w:p w14:paraId="5F2001A7">
            <w:pPr>
              <w:pStyle w:val="476"/>
              <w:rPr>
                <w:color w:val="000000" w:themeColor="text1"/>
                <w14:textFill>
                  <w14:solidFill>
                    <w14:schemeClr w14:val="tx1"/>
                  </w14:solidFill>
                </w14:textFill>
              </w:rPr>
            </w:pPr>
            <w:r>
              <w:rPr>
                <w:color w:val="000000" w:themeColor="text1"/>
                <w14:textFill>
                  <w14:solidFill>
                    <w14:schemeClr w14:val="tx1"/>
                  </w14:solidFill>
                </w14:textFill>
              </w:rPr>
              <w:t>出水排入湖泊等封闭水体或超标因子为磷的不达标水体时，执行总磷指标</w:t>
            </w:r>
          </w:p>
        </w:tc>
      </w:tr>
      <w:tr w14:paraId="1FCA1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jc w:val="center"/>
        </w:trPr>
        <w:tc>
          <w:tcPr>
            <w:tcW w:w="413" w:type="pct"/>
            <w:vAlign w:val="center"/>
          </w:tcPr>
          <w:p w14:paraId="00BDD04D">
            <w:pPr>
              <w:pStyle w:val="476"/>
              <w:rPr>
                <w:color w:val="000000" w:themeColor="text1"/>
                <w14:textFill>
                  <w14:solidFill>
                    <w14:schemeClr w14:val="tx1"/>
                  </w14:solidFill>
                </w14:textFill>
              </w:rPr>
            </w:pPr>
            <w:r>
              <w:rPr>
                <w:color w:val="000000" w:themeColor="text1"/>
                <w14:textFill>
                  <w14:solidFill>
                    <w14:schemeClr w14:val="tx1"/>
                  </w14:solidFill>
                </w14:textFill>
              </w:rPr>
              <w:t>7</w:t>
            </w:r>
          </w:p>
        </w:tc>
        <w:tc>
          <w:tcPr>
            <w:tcW w:w="402" w:type="pct"/>
            <w:vAlign w:val="center"/>
          </w:tcPr>
          <w:p w14:paraId="717C88FD">
            <w:pPr>
              <w:pStyle w:val="476"/>
              <w:rPr>
                <w:color w:val="000000" w:themeColor="text1"/>
                <w:sz w:val="2"/>
                <w:szCs w:val="2"/>
                <w14:textFill>
                  <w14:solidFill>
                    <w14:schemeClr w14:val="tx1"/>
                  </w14:solidFill>
                </w14:textFill>
              </w:rPr>
            </w:pPr>
            <w:r>
              <w:rPr>
                <w:color w:val="000000" w:themeColor="text1"/>
                <w14:textFill>
                  <w14:solidFill>
                    <w14:schemeClr w14:val="tx1"/>
                  </w14:solidFill>
                </w14:textFill>
              </w:rPr>
              <w:t>选择性控制项目</w:t>
            </w:r>
          </w:p>
        </w:tc>
        <w:tc>
          <w:tcPr>
            <w:tcW w:w="1103" w:type="pct"/>
            <w:vAlign w:val="center"/>
          </w:tcPr>
          <w:p w14:paraId="4429A2DC">
            <w:pPr>
              <w:pStyle w:val="476"/>
              <w:rPr>
                <w:color w:val="000000" w:themeColor="text1"/>
                <w14:textFill>
                  <w14:solidFill>
                    <w14:schemeClr w14:val="tx1"/>
                  </w14:solidFill>
                </w14:textFill>
              </w:rPr>
            </w:pPr>
            <w:r>
              <w:rPr>
                <w:color w:val="000000" w:themeColor="text1"/>
                <w14:textFill>
                  <w14:solidFill>
                    <w14:schemeClr w14:val="tx1"/>
                  </w14:solidFill>
                </w14:textFill>
              </w:rPr>
              <w:t>动植物油</w:t>
            </w:r>
          </w:p>
        </w:tc>
        <w:tc>
          <w:tcPr>
            <w:tcW w:w="749" w:type="pct"/>
            <w:vAlign w:val="center"/>
          </w:tcPr>
          <w:p w14:paraId="1D74DCF7">
            <w:pPr>
              <w:pStyle w:val="476"/>
              <w:rPr>
                <w:color w:val="000000" w:themeColor="text1"/>
                <w14:textFill>
                  <w14:solidFill>
                    <w14:schemeClr w14:val="tx1"/>
                  </w14:solidFill>
                </w14:textFill>
              </w:rPr>
            </w:pPr>
            <w:r>
              <w:rPr>
                <w:color w:val="000000" w:themeColor="text1"/>
                <w:lang w:val="en-US"/>
                <w14:textFill>
                  <w14:solidFill>
                    <w14:schemeClr w14:val="tx1"/>
                  </w14:solidFill>
                </w14:textFill>
              </w:rPr>
              <w:t>1</w:t>
            </w:r>
          </w:p>
        </w:tc>
        <w:tc>
          <w:tcPr>
            <w:tcW w:w="2332" w:type="pct"/>
            <w:vAlign w:val="center"/>
          </w:tcPr>
          <w:p w14:paraId="5B08B588">
            <w:pPr>
              <w:pStyle w:val="476"/>
              <w:rPr>
                <w:color w:val="000000" w:themeColor="text1"/>
                <w14:textFill>
                  <w14:solidFill>
                    <w14:schemeClr w14:val="tx1"/>
                  </w14:solidFill>
                </w14:textFill>
              </w:rPr>
            </w:pPr>
            <w:r>
              <w:rPr>
                <w:color w:val="000000" w:themeColor="text1"/>
                <w14:textFill>
                  <w14:solidFill>
                    <w14:schemeClr w14:val="tx1"/>
                  </w14:solidFill>
                </w14:textFill>
              </w:rPr>
              <w:t>对纳入提供餐饮服务北峰山区乡镇旅游项目生活污水的北峰山区乡镇生活污水治理设施，执行动植物油指标</w:t>
            </w:r>
          </w:p>
        </w:tc>
      </w:tr>
    </w:tbl>
    <w:p w14:paraId="64901E7E">
      <w:pPr>
        <w:pStyle w:val="52"/>
        <w:rPr>
          <w:color w:val="000000" w:themeColor="text1"/>
          <w:kern w:val="0"/>
          <w:lang w:bidi="zh-CN"/>
          <w14:textFill>
            <w14:solidFill>
              <w14:schemeClr w14:val="tx1"/>
            </w14:solidFill>
          </w14:textFill>
        </w:rPr>
      </w:pPr>
      <w:r>
        <w:rPr>
          <w:color w:val="000000" w:themeColor="text1"/>
          <w14:textFill>
            <w14:solidFill>
              <w14:schemeClr w14:val="tx1"/>
            </w14:solidFill>
          </w14:textFill>
        </w:rPr>
        <w:t>结合晋安区实际情况，对于集镇区范围内已纳管集中处理的生活污水治理原则上按(GB18918-2002)一级A排放要求执行，</w:t>
      </w:r>
      <w:r>
        <w:rPr>
          <w:color w:val="000000" w:themeColor="text1"/>
          <w:kern w:val="0"/>
          <w:lang w:val="zh-CN" w:bidi="zh-CN"/>
          <w14:textFill>
            <w14:solidFill>
              <w14:schemeClr w14:val="tx1"/>
            </w14:solidFill>
          </w14:textFill>
        </w:rPr>
        <w:t>未纳管的生活污水经三格化粪池处理后实行</w:t>
      </w:r>
      <w:r>
        <w:rPr>
          <w:color w:val="000000" w:themeColor="text1"/>
          <w:kern w:val="0"/>
          <w:lang w:bidi="zh-CN"/>
          <w14:textFill>
            <w14:solidFill>
              <w14:schemeClr w14:val="tx1"/>
            </w14:solidFill>
          </w14:textFill>
        </w:rPr>
        <w:t>还田还林综合利用。</w:t>
      </w:r>
    </w:p>
    <w:p w14:paraId="37C16E0A">
      <w:pPr>
        <w:pStyle w:val="52"/>
        <w:rPr>
          <w:color w:val="000000" w:themeColor="text1"/>
          <w14:textFill>
            <w14:solidFill>
              <w14:schemeClr w14:val="tx1"/>
            </w14:solidFill>
          </w14:textFill>
        </w:rPr>
      </w:pPr>
      <w:r>
        <w:rPr>
          <w:color w:val="000000" w:themeColor="text1"/>
          <w14:textFill>
            <w14:solidFill>
              <w14:schemeClr w14:val="tx1"/>
            </w14:solidFill>
          </w14:textFill>
        </w:rPr>
        <w:t>参考《福建省农村生活污水治理规划（2020-2030年）》，根据尾水排放的不同去向，推荐适用的工艺路线如表5.2-2。</w:t>
      </w:r>
    </w:p>
    <w:p w14:paraId="52EBEAD8">
      <w:pPr>
        <w:pStyle w:val="442"/>
        <w:rPr>
          <w:color w:val="000000" w:themeColor="text1"/>
          <w14:textFill>
            <w14:solidFill>
              <w14:schemeClr w14:val="tx1"/>
            </w14:solidFill>
          </w14:textFill>
        </w:rPr>
      </w:pPr>
      <w:r>
        <w:rPr>
          <w:color w:val="000000" w:themeColor="text1"/>
          <w14:textFill>
            <w14:solidFill>
              <w14:schemeClr w14:val="tx1"/>
            </w14:solidFill>
          </w14:textFill>
        </w:rPr>
        <w:t>表5.2</w:t>
      </w:r>
      <w:r>
        <w:rPr>
          <w:color w:val="000000" w:themeColor="text1"/>
          <w:lang w:val="en-US"/>
          <w14:textFill>
            <w14:solidFill>
              <w14:schemeClr w14:val="tx1"/>
            </w14:solidFill>
          </w14:textFill>
        </w:rPr>
        <w:t>-2</w:t>
      </w:r>
      <w:r>
        <w:rPr>
          <w:color w:val="000000" w:themeColor="text1"/>
          <w14:textFill>
            <w14:solidFill>
              <w14:schemeClr w14:val="tx1"/>
            </w14:solidFill>
          </w14:textFill>
        </w:rPr>
        <w:t>不同排放去向处理工艺适用条件选择表</w:t>
      </w:r>
    </w:p>
    <w:tbl>
      <w:tblPr>
        <w:tblStyle w:val="5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108" w:type="dxa"/>
          <w:bottom w:w="57" w:type="dxa"/>
          <w:right w:w="108" w:type="dxa"/>
        </w:tblCellMar>
      </w:tblPr>
      <w:tblGrid>
        <w:gridCol w:w="1365"/>
        <w:gridCol w:w="4833"/>
        <w:gridCol w:w="2522"/>
      </w:tblGrid>
      <w:tr w14:paraId="457C2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680" w:hRule="atLeast"/>
          <w:tblHeader/>
        </w:trPr>
        <w:tc>
          <w:tcPr>
            <w:tcW w:w="783" w:type="pct"/>
            <w:shd w:val="clear" w:color="auto" w:fill="auto"/>
            <w:vAlign w:val="center"/>
          </w:tcPr>
          <w:p w14:paraId="3F8509D6">
            <w:pPr>
              <w:pStyle w:val="476"/>
              <w:rPr>
                <w:b/>
                <w:color w:val="000000" w:themeColor="text1"/>
                <w14:textFill>
                  <w14:solidFill>
                    <w14:schemeClr w14:val="tx1"/>
                  </w14:solidFill>
                </w14:textFill>
              </w:rPr>
            </w:pPr>
            <w:r>
              <w:rPr>
                <w:b/>
                <w:color w:val="000000" w:themeColor="text1"/>
                <w14:textFill>
                  <w14:solidFill>
                    <w14:schemeClr w14:val="tx1"/>
                  </w14:solidFill>
                </w14:textFill>
              </w:rPr>
              <w:t>排放去向</w:t>
            </w:r>
          </w:p>
        </w:tc>
        <w:tc>
          <w:tcPr>
            <w:tcW w:w="2771" w:type="pct"/>
            <w:shd w:val="clear" w:color="auto" w:fill="auto"/>
            <w:vAlign w:val="center"/>
          </w:tcPr>
          <w:p w14:paraId="368FA361">
            <w:pPr>
              <w:pStyle w:val="476"/>
              <w:rPr>
                <w:b/>
                <w:color w:val="000000" w:themeColor="text1"/>
                <w14:textFill>
                  <w14:solidFill>
                    <w14:schemeClr w14:val="tx1"/>
                  </w14:solidFill>
                </w14:textFill>
              </w:rPr>
            </w:pPr>
            <w:r>
              <w:rPr>
                <w:b/>
                <w:color w:val="000000" w:themeColor="text1"/>
                <w14:textFill>
                  <w14:solidFill>
                    <w14:schemeClr w14:val="tx1"/>
                  </w14:solidFill>
                </w14:textFill>
              </w:rPr>
              <w:t>适用排放标准及环境可消纳量</w:t>
            </w:r>
          </w:p>
        </w:tc>
        <w:tc>
          <w:tcPr>
            <w:tcW w:w="1446" w:type="pct"/>
            <w:shd w:val="clear" w:color="auto" w:fill="auto"/>
            <w:vAlign w:val="center"/>
          </w:tcPr>
          <w:p w14:paraId="67A680CB">
            <w:pPr>
              <w:pStyle w:val="476"/>
              <w:rPr>
                <w:b/>
                <w:color w:val="000000" w:themeColor="text1"/>
                <w14:textFill>
                  <w14:solidFill>
                    <w14:schemeClr w14:val="tx1"/>
                  </w14:solidFill>
                </w14:textFill>
              </w:rPr>
            </w:pPr>
            <w:r>
              <w:rPr>
                <w:b/>
                <w:color w:val="000000" w:themeColor="text1"/>
                <w14:textFill>
                  <w14:solidFill>
                    <w14:schemeClr w14:val="tx1"/>
                  </w14:solidFill>
                </w14:textFill>
              </w:rPr>
              <w:t>适用处理工艺</w:t>
            </w:r>
          </w:p>
        </w:tc>
      </w:tr>
      <w:tr w14:paraId="345E8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680" w:hRule="atLeast"/>
        </w:trPr>
        <w:tc>
          <w:tcPr>
            <w:tcW w:w="783" w:type="pct"/>
            <w:vAlign w:val="center"/>
          </w:tcPr>
          <w:p w14:paraId="5815BE62">
            <w:pPr>
              <w:pStyle w:val="476"/>
              <w:rPr>
                <w:color w:val="000000" w:themeColor="text1"/>
                <w14:textFill>
                  <w14:solidFill>
                    <w14:schemeClr w14:val="tx1"/>
                  </w14:solidFill>
                </w14:textFill>
              </w:rPr>
            </w:pPr>
            <w:r>
              <w:rPr>
                <w:color w:val="000000" w:themeColor="text1"/>
                <w14:textFill>
                  <w14:solidFill>
                    <w14:schemeClr w14:val="tx1"/>
                  </w14:solidFill>
                </w14:textFill>
              </w:rPr>
              <w:t>农田</w:t>
            </w:r>
          </w:p>
        </w:tc>
        <w:tc>
          <w:tcPr>
            <w:tcW w:w="2771" w:type="pct"/>
            <w:vMerge w:val="restart"/>
            <w:vAlign w:val="center"/>
          </w:tcPr>
          <w:p w14:paraId="77E154F2">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《农田灌溉水质标准》(GB5084-2005)</w:t>
            </w:r>
          </w:p>
          <w:p w14:paraId="59FE9AFB">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《福建省行业用水定额标准》(DB35-T772-2013)</w:t>
            </w:r>
          </w:p>
          <w:p w14:paraId="7172C7FD">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环境可消纳量：</w:t>
            </w:r>
          </w:p>
          <w:p w14:paraId="1DB4FD40">
            <w:pPr>
              <w:pStyle w:val="476"/>
              <w:rPr>
                <w:color w:val="000000" w:themeColor="text1"/>
                <w:spacing w:val="-5"/>
                <w:szCs w:val="24"/>
                <w14:textFill>
                  <w14:solidFill>
                    <w14:schemeClr w14:val="tx1"/>
                  </w14:solidFill>
                </w14:textFill>
              </w:rPr>
            </w:pPr>
            <w:r>
              <w:rPr>
                <w:rFonts w:hint="eastAsia" w:ascii="宋体" w:hAnsi="宋体" w:cs="宋体"/>
                <w:color w:val="000000" w:themeColor="text1"/>
                <w:spacing w:val="-5"/>
                <w:szCs w:val="24"/>
                <w14:textFill>
                  <w14:solidFill>
                    <w14:schemeClr w14:val="tx1"/>
                  </w14:solidFill>
                </w14:textFill>
              </w:rPr>
              <w:t>①</w:t>
            </w:r>
            <w:r>
              <w:rPr>
                <w:color w:val="000000" w:themeColor="text1"/>
                <w:spacing w:val="-5"/>
                <w:szCs w:val="24"/>
                <w14:textFill>
                  <w14:solidFill>
                    <w14:schemeClr w14:val="tx1"/>
                  </w14:solidFill>
                </w14:textFill>
              </w:rPr>
              <w:t>水作：＜1.32吨污水-亩-天</w:t>
            </w:r>
          </w:p>
          <w:p w14:paraId="77D3BB3E">
            <w:pPr>
              <w:pStyle w:val="476"/>
              <w:rPr>
                <w:color w:val="000000" w:themeColor="text1"/>
                <w:spacing w:val="-5"/>
                <w:szCs w:val="24"/>
                <w14:textFill>
                  <w14:solidFill>
                    <w14:schemeClr w14:val="tx1"/>
                  </w14:solidFill>
                </w14:textFill>
              </w:rPr>
            </w:pPr>
            <w:r>
              <w:rPr>
                <w:rFonts w:hint="eastAsia" w:ascii="宋体" w:hAnsi="宋体" w:cs="宋体"/>
                <w:color w:val="000000" w:themeColor="text1"/>
                <w:spacing w:val="-5"/>
                <w:szCs w:val="24"/>
                <w14:textFill>
                  <w14:solidFill>
                    <w14:schemeClr w14:val="tx1"/>
                  </w14:solidFill>
                </w14:textFill>
              </w:rPr>
              <w:t>②</w:t>
            </w:r>
            <w:r>
              <w:rPr>
                <w:color w:val="000000" w:themeColor="text1"/>
                <w:spacing w:val="-5"/>
                <w:szCs w:val="24"/>
                <w14:textFill>
                  <w14:solidFill>
                    <w14:schemeClr w14:val="tx1"/>
                  </w14:solidFill>
                </w14:textFill>
              </w:rPr>
              <w:t>旱作：＜0.5吨污水-亩-天</w:t>
            </w:r>
          </w:p>
          <w:p w14:paraId="7F8A75B7">
            <w:pPr>
              <w:pStyle w:val="476"/>
              <w:rPr>
                <w:color w:val="000000" w:themeColor="text1"/>
                <w:spacing w:val="-5"/>
                <w:szCs w:val="24"/>
                <w14:textFill>
                  <w14:solidFill>
                    <w14:schemeClr w14:val="tx1"/>
                  </w14:solidFill>
                </w14:textFill>
              </w:rPr>
            </w:pPr>
            <w:r>
              <w:rPr>
                <w:rFonts w:hint="eastAsia" w:ascii="宋体" w:hAnsi="宋体" w:cs="宋体"/>
                <w:color w:val="000000" w:themeColor="text1"/>
                <w:spacing w:val="-5"/>
                <w:szCs w:val="24"/>
                <w14:textFill>
                  <w14:solidFill>
                    <w14:schemeClr w14:val="tx1"/>
                  </w14:solidFill>
                </w14:textFill>
              </w:rPr>
              <w:t>③</w:t>
            </w:r>
            <w:r>
              <w:rPr>
                <w:color w:val="000000" w:themeColor="text1"/>
                <w:spacing w:val="-5"/>
                <w:szCs w:val="24"/>
                <w14:textFill>
                  <w14:solidFill>
                    <w14:schemeClr w14:val="tx1"/>
                  </w14:solidFill>
                </w14:textFill>
              </w:rPr>
              <w:t>蔬菜：＜1.0吨污水-亩-天</w:t>
            </w:r>
          </w:p>
          <w:p w14:paraId="4E0FAC9C">
            <w:pPr>
              <w:pStyle w:val="476"/>
              <w:rPr>
                <w:color w:val="000000" w:themeColor="text1"/>
                <w:spacing w:val="-5"/>
                <w:szCs w:val="24"/>
                <w14:textFill>
                  <w14:solidFill>
                    <w14:schemeClr w14:val="tx1"/>
                  </w14:solidFill>
                </w14:textFill>
              </w:rPr>
            </w:pPr>
            <w:r>
              <w:rPr>
                <w:rFonts w:hint="eastAsia" w:ascii="宋体" w:hAnsi="宋体" w:cs="宋体"/>
                <w:color w:val="000000" w:themeColor="text1"/>
                <w:spacing w:val="-5"/>
                <w:szCs w:val="24"/>
                <w14:textFill>
                  <w14:solidFill>
                    <w14:schemeClr w14:val="tx1"/>
                  </w14:solidFill>
                </w14:textFill>
              </w:rPr>
              <w:t>④</w:t>
            </w:r>
            <w:r>
              <w:rPr>
                <w:color w:val="000000" w:themeColor="text1"/>
                <w:spacing w:val="-5"/>
                <w:szCs w:val="24"/>
                <w14:textFill>
                  <w14:solidFill>
                    <w14:schemeClr w14:val="tx1"/>
                  </w14:solidFill>
                </w14:textFill>
              </w:rPr>
              <w:t>林地：＜0.2吨污水-亩-天</w:t>
            </w:r>
          </w:p>
        </w:tc>
        <w:tc>
          <w:tcPr>
            <w:tcW w:w="1446" w:type="pct"/>
            <w:vMerge w:val="restart"/>
            <w:vAlign w:val="center"/>
          </w:tcPr>
          <w:p w14:paraId="36AE8445">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人工湿地</w:t>
            </w:r>
          </w:p>
          <w:p w14:paraId="7C2E55AF">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稳定塘</w:t>
            </w:r>
          </w:p>
          <w:p w14:paraId="433E47EC">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A-O工艺</w:t>
            </w:r>
          </w:p>
          <w:p w14:paraId="64A80913">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厌氧+人工湿地</w:t>
            </w:r>
          </w:p>
          <w:p w14:paraId="5F167FDA">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三格化粪池</w:t>
            </w:r>
          </w:p>
        </w:tc>
      </w:tr>
      <w:tr w14:paraId="33420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680" w:hRule="atLeast"/>
        </w:trPr>
        <w:tc>
          <w:tcPr>
            <w:tcW w:w="783" w:type="pct"/>
            <w:vAlign w:val="center"/>
          </w:tcPr>
          <w:p w14:paraId="74DE179B">
            <w:pPr>
              <w:pStyle w:val="476"/>
              <w:rPr>
                <w:color w:val="000000" w:themeColor="text1"/>
                <w14:textFill>
                  <w14:solidFill>
                    <w14:schemeClr w14:val="tx1"/>
                  </w14:solidFill>
                </w14:textFill>
              </w:rPr>
            </w:pPr>
            <w:r>
              <w:rPr>
                <w:color w:val="000000" w:themeColor="text1"/>
                <w14:textFill>
                  <w14:solidFill>
                    <w14:schemeClr w14:val="tx1"/>
                  </w14:solidFill>
                </w14:textFill>
              </w:rPr>
              <w:t>林地</w:t>
            </w:r>
          </w:p>
        </w:tc>
        <w:tc>
          <w:tcPr>
            <w:tcW w:w="2771" w:type="pct"/>
            <w:vMerge w:val="continue"/>
            <w:tcBorders>
              <w:top w:val="nil"/>
            </w:tcBorders>
            <w:vAlign w:val="center"/>
          </w:tcPr>
          <w:p w14:paraId="35C5C7C3">
            <w:pPr>
              <w:pStyle w:val="476"/>
              <w:rPr>
                <w:color w:val="000000" w:themeColor="text1"/>
                <w:sz w:val="2"/>
                <w:szCs w:val="2"/>
                <w14:textFill>
                  <w14:solidFill>
                    <w14:schemeClr w14:val="tx1"/>
                  </w14:solidFill>
                </w14:textFill>
              </w:rPr>
            </w:pPr>
          </w:p>
        </w:tc>
        <w:tc>
          <w:tcPr>
            <w:tcW w:w="1446" w:type="pct"/>
            <w:vMerge w:val="continue"/>
            <w:tcBorders>
              <w:top w:val="nil"/>
            </w:tcBorders>
            <w:vAlign w:val="center"/>
          </w:tcPr>
          <w:p w14:paraId="6BBC33A9">
            <w:pPr>
              <w:pStyle w:val="476"/>
              <w:rPr>
                <w:color w:val="000000" w:themeColor="text1"/>
                <w:sz w:val="2"/>
                <w:szCs w:val="2"/>
                <w14:textFill>
                  <w14:solidFill>
                    <w14:schemeClr w14:val="tx1"/>
                  </w14:solidFill>
                </w14:textFill>
              </w:rPr>
            </w:pPr>
          </w:p>
        </w:tc>
      </w:tr>
      <w:tr w14:paraId="5F7C4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680" w:hRule="atLeast"/>
        </w:trPr>
        <w:tc>
          <w:tcPr>
            <w:tcW w:w="783" w:type="pct"/>
            <w:vAlign w:val="center"/>
          </w:tcPr>
          <w:p w14:paraId="5C9783A8">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旱地</w:t>
            </w:r>
          </w:p>
        </w:tc>
        <w:tc>
          <w:tcPr>
            <w:tcW w:w="2771" w:type="pct"/>
            <w:vMerge w:val="continue"/>
            <w:tcBorders>
              <w:top w:val="nil"/>
            </w:tcBorders>
            <w:vAlign w:val="center"/>
          </w:tcPr>
          <w:p w14:paraId="16FC9C40">
            <w:pPr>
              <w:pStyle w:val="476"/>
              <w:rPr>
                <w:color w:val="000000" w:themeColor="text1"/>
                <w:spacing w:val="-5"/>
                <w14:textFill>
                  <w14:solidFill>
                    <w14:schemeClr w14:val="tx1"/>
                  </w14:solidFill>
                </w14:textFill>
              </w:rPr>
            </w:pPr>
          </w:p>
        </w:tc>
        <w:tc>
          <w:tcPr>
            <w:tcW w:w="1446" w:type="pct"/>
            <w:vMerge w:val="continue"/>
            <w:tcBorders>
              <w:top w:val="nil"/>
            </w:tcBorders>
            <w:vAlign w:val="center"/>
          </w:tcPr>
          <w:p w14:paraId="7EC281B7">
            <w:pPr>
              <w:pStyle w:val="476"/>
              <w:rPr>
                <w:color w:val="000000" w:themeColor="text1"/>
                <w:spacing w:val="-5"/>
                <w14:textFill>
                  <w14:solidFill>
                    <w14:schemeClr w14:val="tx1"/>
                  </w14:solidFill>
                </w14:textFill>
              </w:rPr>
            </w:pPr>
          </w:p>
        </w:tc>
      </w:tr>
      <w:tr w14:paraId="3A983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680" w:hRule="atLeast"/>
        </w:trPr>
        <w:tc>
          <w:tcPr>
            <w:tcW w:w="783" w:type="pct"/>
            <w:vAlign w:val="center"/>
          </w:tcPr>
          <w:p w14:paraId="38FAC381">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接入城镇污水管道处理</w:t>
            </w:r>
          </w:p>
        </w:tc>
        <w:tc>
          <w:tcPr>
            <w:tcW w:w="2771" w:type="pct"/>
            <w:vAlign w:val="center"/>
          </w:tcPr>
          <w:p w14:paraId="26035BC3">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《污水排入城市下水道水质标准》(CJ343-2010)</w:t>
            </w:r>
          </w:p>
        </w:tc>
        <w:tc>
          <w:tcPr>
            <w:tcW w:w="1446" w:type="pct"/>
            <w:vAlign w:val="center"/>
          </w:tcPr>
          <w:p w14:paraId="2CA26673">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标准三格化粪池</w:t>
            </w:r>
          </w:p>
          <w:p w14:paraId="3E883B94">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沉砂预处理工艺</w:t>
            </w:r>
          </w:p>
          <w:p w14:paraId="0C6EDFA6">
            <w:pPr>
              <w:pStyle w:val="476"/>
              <w:rPr>
                <w:color w:val="000000" w:themeColor="text1"/>
                <w:spacing w:val="-5"/>
                <w:szCs w:val="24"/>
                <w14:textFill>
                  <w14:solidFill>
                    <w14:schemeClr w14:val="tx1"/>
                  </w14:solidFill>
                </w14:textFill>
              </w:rPr>
            </w:pPr>
            <w:r>
              <w:rPr>
                <w:color w:val="000000" w:themeColor="text1"/>
                <w:spacing w:val="-5"/>
                <w:szCs w:val="24"/>
                <w14:textFill>
                  <w14:solidFill>
                    <w14:schemeClr w14:val="tx1"/>
                  </w14:solidFill>
                </w14:textFill>
              </w:rPr>
              <w:t>隔油池</w:t>
            </w:r>
          </w:p>
        </w:tc>
      </w:tr>
    </w:tbl>
    <w:p w14:paraId="47884EB0">
      <w:pPr>
        <w:pStyle w:val="7"/>
        <w:rPr>
          <w:color w:val="000000" w:themeColor="text1"/>
          <w:lang w:bidi="zh-CN"/>
          <w14:textFill>
            <w14:solidFill>
              <w14:schemeClr w14:val="tx1"/>
            </w14:solidFill>
          </w14:textFill>
        </w:rPr>
      </w:pPr>
      <w:r>
        <w:rPr>
          <w:color w:val="000000" w:themeColor="text1"/>
          <w:lang w:bidi="zh-CN"/>
          <w14:textFill>
            <w14:solidFill>
              <w14:schemeClr w14:val="tx1"/>
            </w14:solidFill>
          </w14:textFill>
        </w:rPr>
        <w:t>处理工艺</w:t>
      </w:r>
    </w:p>
    <w:p w14:paraId="46EB78A7">
      <w:pPr>
        <w:pStyle w:val="52"/>
        <w:rPr>
          <w:color w:val="000000" w:themeColor="text1"/>
          <w14:textFill>
            <w14:solidFill>
              <w14:schemeClr w14:val="tx1"/>
            </w14:solidFill>
          </w14:textFill>
        </w:rPr>
      </w:pPr>
      <w:r>
        <w:rPr>
          <w:color w:val="000000" w:themeColor="text1"/>
          <w14:textFill>
            <w14:solidFill>
              <w14:schemeClr w14:val="tx1"/>
            </w14:solidFill>
          </w14:textFill>
        </w:rPr>
        <w:t>福建省北峰山区乡镇生活污水治理主要有纳入城镇污水管网、就地集中处理和分散简易处理三种技术路线，本次规划充分考虑当地条件，结合污染情况，环境敏感情况，地形地貌情况和经济发展条件等，采取污染治理与资源利用相结合、工程措施与生态措施相结合、集中与分散相结合的建设模式和处理工艺，提高污水资源化利用水平，降低末端治理成本。</w:t>
      </w:r>
    </w:p>
    <w:p w14:paraId="10145B72">
      <w:pPr>
        <w:pStyle w:val="52"/>
        <w:rPr>
          <w:color w:val="000000" w:themeColor="text1"/>
          <w14:textFill>
            <w14:solidFill>
              <w14:schemeClr w14:val="tx1"/>
            </w14:solidFill>
          </w14:textFill>
        </w:rPr>
      </w:pPr>
      <w:r>
        <w:rPr>
          <w:color w:val="000000" w:themeColor="text1"/>
          <w14:textFill>
            <w14:solidFill>
              <w14:schemeClr w14:val="tx1"/>
            </w14:solidFill>
          </w14:textFill>
        </w:rPr>
        <w:t>在选取北峰山区乡镇环保实用技术时，合理确定技术模式，处理好技术实用性和技术统一性的关系，避免技术“多而杂、散而乱”。</w:t>
      </w:r>
    </w:p>
    <w:p w14:paraId="0D8702E0">
      <w:pPr>
        <w:pStyle w:val="52"/>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技术路线一：通过管网纳入城镇或工业园区污水治理厂统一处理</w:t>
      </w:r>
    </w:p>
    <w:p w14:paraId="2F364735">
      <w:pPr>
        <w:pStyle w:val="52"/>
        <w:rPr>
          <w:color w:val="000000" w:themeColor="text1"/>
          <w:szCs w:val="24"/>
          <w14:textFill>
            <w14:solidFill>
              <w14:schemeClr w14:val="tx1"/>
            </w14:solidFill>
          </w14:textFill>
        </w:rPr>
      </w:pPr>
      <w:r>
        <w:rPr>
          <w:color w:val="000000" w:themeColor="text1"/>
          <w:szCs w:val="24"/>
          <w14:textFill>
            <w14:solidFill>
              <w14:schemeClr w14:val="tx1"/>
            </w14:solidFill>
          </w14:textFill>
        </w:rPr>
        <w:t>对于集镇区能通过污水管网集中收集的，总体原则是体现城乡统筹，接管优先的原则，因地制宜，优先采用自流的方式，对于可纳入城镇污水治理厂区域的各个村庄污水，能纳入城镇污水集中处理系统的原则上均应统筹进行统一处理。见图5.2-1。</w:t>
      </w:r>
    </w:p>
    <w:p w14:paraId="20C255F1">
      <w:pPr>
        <w:pStyle w:val="5"/>
        <w:ind w:firstLine="0"/>
        <w:rPr>
          <w:color w:val="000000" w:themeColor="text1"/>
          <w:lang w:val="en-US"/>
          <w14:textFill>
            <w14:solidFill>
              <w14:schemeClr w14:val="tx1"/>
            </w14:solidFill>
          </w14:textFill>
        </w:rPr>
      </w:pPr>
      <w:r>
        <w:rPr>
          <w:color w:val="000000" w:themeColor="text1"/>
          <w:szCs w:val="24"/>
          <w:lang w:val="en-US"/>
          <w14:textFill>
            <w14:solidFill>
              <w14:schemeClr w14:val="tx1"/>
            </w14:solidFill>
          </w14:textFill>
        </w:rPr>
        <w:drawing>
          <wp:inline distT="0" distB="0" distL="0" distR="0">
            <wp:extent cx="5737225" cy="2905125"/>
            <wp:effectExtent l="0" t="0" r="0" b="0"/>
            <wp:docPr id="3" name="图片 3" descr="图片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2-1"/>
                    <pic:cNvPicPr>
                      <a:picLocks noChangeAspect="1"/>
                    </pic:cNvPicPr>
                  </pic:nvPicPr>
                  <pic:blipFill>
                    <a:blip r:embed="rId22" cstate="email"/>
                    <a:stretch>
                      <a:fillRect/>
                    </a:stretch>
                  </pic:blipFill>
                  <pic:spPr>
                    <a:xfrm>
                      <a:off x="0" y="0"/>
                      <a:ext cx="5766203" cy="2919499"/>
                    </a:xfrm>
                    <a:prstGeom prst="rect">
                      <a:avLst/>
                    </a:prstGeom>
                  </pic:spPr>
                </pic:pic>
              </a:graphicData>
            </a:graphic>
          </wp:inline>
        </w:drawing>
      </w:r>
    </w:p>
    <w:p w14:paraId="5B0CA5C5">
      <w:pPr>
        <w:pStyle w:val="442"/>
        <w:rPr>
          <w:color w:val="000000" w:themeColor="text1"/>
          <w14:textFill>
            <w14:solidFill>
              <w14:schemeClr w14:val="tx1"/>
            </w14:solidFill>
          </w14:textFill>
        </w:rPr>
      </w:pPr>
      <w:r>
        <w:rPr>
          <w:color w:val="000000" w:themeColor="text1"/>
          <w14:textFill>
            <w14:solidFill>
              <w14:schemeClr w14:val="tx1"/>
            </w14:solidFill>
          </w14:textFill>
        </w:rPr>
        <w:t>图5.2-1技术路线一示意图</w:t>
      </w:r>
    </w:p>
    <w:p w14:paraId="63157280">
      <w:pPr>
        <w:pStyle w:val="52"/>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技术路线二：建设三格化粪池</w:t>
      </w:r>
    </w:p>
    <w:p w14:paraId="4C2E66E4">
      <w:pPr>
        <w:pStyle w:val="52"/>
        <w:rPr>
          <w:color w:val="000000" w:themeColor="text1"/>
          <w:szCs w:val="24"/>
          <w14:textFill>
            <w14:solidFill>
              <w14:schemeClr w14:val="tx1"/>
            </w14:solidFill>
          </w14:textFill>
        </w:rPr>
      </w:pPr>
      <w:r>
        <w:rPr>
          <w:color w:val="000000" w:themeColor="text1"/>
          <w:szCs w:val="24"/>
          <w14:textFill>
            <w14:solidFill>
              <w14:schemeClr w14:val="tx1"/>
            </w14:solidFill>
          </w14:textFill>
        </w:rPr>
        <w:t>对于集镇区内较为偏远且不适宜采用管网收集的居民，优先采用资源化循环化利用的治理方式。建设三格化粪池处理后，尾水经周边土地利用消纳。见图5.2-2。</w:t>
      </w:r>
    </w:p>
    <w:p w14:paraId="76E452CE">
      <w:pPr>
        <w:pStyle w:val="52"/>
        <w:rPr>
          <w:color w:val="000000" w:themeColor="text1"/>
          <w14:textFill>
            <w14:solidFill>
              <w14:schemeClr w14:val="tx1"/>
            </w14:solidFill>
          </w14:textFill>
        </w:rPr>
      </w:pPr>
      <w:r>
        <w:rPr>
          <w:color w:val="000000" w:themeColor="text1"/>
          <w:szCs w:val="24"/>
          <w14:textFill>
            <w14:solidFill>
              <w14:schemeClr w14:val="tx1"/>
            </w14:solidFill>
          </w14:textFill>
        </w:rPr>
        <w:t>根据北峰山区乡镇的地理位置、居民集中程度、地形地貌状况不同，选择适宜模式对乡镇集镇区生活污水进行治理。对集镇区内的居民，按照与城镇污水治理厂收集主管的距离远近分为纳管处理和建设三格化粪池，尾水排入山体、林地、农田消纳吸收利用。</w:t>
      </w:r>
    </w:p>
    <w:p w14:paraId="77FDA2D9">
      <w:pPr>
        <w:pStyle w:val="5"/>
        <w:ind w:firstLine="0"/>
        <w:rPr>
          <w:color w:val="000000" w:themeColor="text1"/>
          <w:lang w:val="en-US"/>
          <w14:textFill>
            <w14:solidFill>
              <w14:schemeClr w14:val="tx1"/>
            </w14:solidFill>
          </w14:textFill>
        </w:rPr>
      </w:pPr>
      <w:r>
        <w:rPr>
          <w:color w:val="000000" w:themeColor="text1"/>
          <w:lang w:val="en-US"/>
          <w14:textFill>
            <w14:solidFill>
              <w14:schemeClr w14:val="tx1"/>
            </w14:solidFill>
          </w14:textFill>
        </w:rPr>
        <w:drawing>
          <wp:inline distT="0" distB="0" distL="0" distR="0">
            <wp:extent cx="5737860" cy="3164840"/>
            <wp:effectExtent l="0" t="0" r="0" b="0"/>
            <wp:docPr id="256" name="图片 256" descr="图片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descr="图片3.2-3"/>
                    <pic:cNvPicPr>
                      <a:picLocks noChangeAspect="1"/>
                    </pic:cNvPicPr>
                  </pic:nvPicPr>
                  <pic:blipFill>
                    <a:blip r:embed="rId23"/>
                    <a:stretch>
                      <a:fillRect/>
                    </a:stretch>
                  </pic:blipFill>
                  <pic:spPr>
                    <a:xfrm>
                      <a:off x="0" y="0"/>
                      <a:ext cx="5737860" cy="3165262"/>
                    </a:xfrm>
                    <a:prstGeom prst="rect">
                      <a:avLst/>
                    </a:prstGeom>
                  </pic:spPr>
                </pic:pic>
              </a:graphicData>
            </a:graphic>
          </wp:inline>
        </w:drawing>
      </w:r>
    </w:p>
    <w:p w14:paraId="408F3144">
      <w:pPr>
        <w:pStyle w:val="442"/>
        <w:rPr>
          <w:color w:val="000000" w:themeColor="text1"/>
          <w14:textFill>
            <w14:solidFill>
              <w14:schemeClr w14:val="tx1"/>
            </w14:solidFill>
          </w14:textFill>
        </w:rPr>
      </w:pPr>
      <w:r>
        <w:rPr>
          <w:color w:val="000000" w:themeColor="text1"/>
          <w14:textFill>
            <w14:solidFill>
              <w14:schemeClr w14:val="tx1"/>
            </w14:solidFill>
          </w14:textFill>
        </w:rPr>
        <w:t>图5.2-2技术路线二示意图</w:t>
      </w:r>
    </w:p>
    <w:p w14:paraId="438BBC1F">
      <w:pPr>
        <w:pStyle w:val="7"/>
        <w:rPr>
          <w:color w:val="000000" w:themeColor="text1"/>
          <w14:textFill>
            <w14:solidFill>
              <w14:schemeClr w14:val="tx1"/>
            </w14:solidFill>
          </w14:textFill>
        </w:rPr>
      </w:pPr>
      <w:r>
        <w:rPr>
          <w:color w:val="000000" w:themeColor="text1"/>
          <w14:textFill>
            <w14:solidFill>
              <w14:schemeClr w14:val="tx1"/>
            </w14:solidFill>
          </w14:textFill>
        </w:rPr>
        <w:t>固体废物处理处置</w:t>
      </w:r>
    </w:p>
    <w:p w14:paraId="4F4B545D">
      <w:pPr>
        <w:pStyle w:val="52"/>
        <w:rPr>
          <w:color w:val="000000" w:themeColor="text1"/>
          <w14:textFill>
            <w14:solidFill>
              <w14:schemeClr w14:val="tx1"/>
            </w14:solidFill>
          </w14:textFill>
        </w:rPr>
      </w:pPr>
      <w:r>
        <w:rPr>
          <w:color w:val="000000" w:themeColor="text1"/>
          <w14:textFill>
            <w14:solidFill>
              <w14:schemeClr w14:val="tx1"/>
            </w14:solidFill>
          </w14:textFill>
        </w:rPr>
        <w:t>固体废物主要包括污水预处理系统的污泥和生化处理系统的剩余污泥。北峰山区乡镇生活污水治理厂污泥处理处置要坚持“资源化、无害化、低碳节能、安全环保、因地制宜”的原则；坚持污泥用于土地利用为主，污泥焚烧、污泥填埋、建材利用等其他处置方式为辅，参照《城镇污水治理厂污泥处理处置技术指南（试行）》，进行选择。</w:t>
      </w:r>
    </w:p>
    <w:p w14:paraId="5218D5ED">
      <w:pPr>
        <w:pStyle w:val="52"/>
        <w:rPr>
          <w:color w:val="000000" w:themeColor="text1"/>
          <w14:textFill>
            <w14:solidFill>
              <w14:schemeClr w14:val="tx1"/>
            </w14:solidFill>
          </w14:textFill>
        </w:rPr>
      </w:pPr>
      <w:r>
        <w:rPr>
          <w:color w:val="000000" w:themeColor="text1"/>
          <w14:textFill>
            <w14:solidFill>
              <w14:schemeClr w14:val="tx1"/>
            </w14:solidFill>
          </w14:textFill>
        </w:rPr>
        <w:t>1、常见污泥处理工艺</w:t>
      </w:r>
    </w:p>
    <w:p w14:paraId="158F875A">
      <w:pPr>
        <w:pStyle w:val="52"/>
        <w:ind w:firstLine="482"/>
        <w:rPr>
          <w:b/>
          <w:color w:val="000000" w:themeColor="text1"/>
          <w14:textFill>
            <w14:solidFill>
              <w14:schemeClr w14:val="tx1"/>
            </w14:solidFill>
          </w14:textFill>
        </w:rPr>
      </w:pPr>
      <w:r>
        <w:rPr>
          <w:b/>
          <w:color w:val="000000" w:themeColor="text1"/>
          <w14:textFill>
            <w14:solidFill>
              <w14:schemeClr w14:val="tx1"/>
            </w14:solidFill>
          </w14:textFill>
        </w:rPr>
        <w:t>污泥机械干化：</w:t>
      </w:r>
    </w:p>
    <w:p w14:paraId="25B75AD4">
      <w:pPr>
        <w:pStyle w:val="52"/>
        <w:rPr>
          <w:color w:val="000000" w:themeColor="text1"/>
          <w14:textFill>
            <w14:solidFill>
              <w14:schemeClr w14:val="tx1"/>
            </w14:solidFill>
          </w14:textFill>
        </w:rPr>
      </w:pPr>
      <w:r>
        <w:rPr>
          <w:color w:val="000000" w:themeColor="text1"/>
          <w14:textFill>
            <w14:solidFill>
              <w14:schemeClr w14:val="tx1"/>
            </w14:solidFill>
          </w14:textFill>
        </w:rPr>
        <w:t>机械脱水主要有带式压滤脱水、离心脱水、板框压滤脱水及叠螺式脱水等方式。</w:t>
      </w:r>
    </w:p>
    <w:p w14:paraId="685CC347">
      <w:pPr>
        <w:pStyle w:val="52"/>
        <w:rPr>
          <w:color w:val="000000" w:themeColor="text1"/>
          <w14:textFill>
            <w14:solidFill>
              <w14:schemeClr w14:val="tx1"/>
            </w14:solidFill>
          </w14:textFill>
        </w:rPr>
      </w:pPr>
      <w:r>
        <w:rPr>
          <w:color w:val="000000" w:themeColor="text1"/>
          <w14:textFill>
            <w14:solidFill>
              <w14:schemeClr w14:val="tx1"/>
            </w14:solidFill>
          </w14:textFill>
        </w:rPr>
        <w:t>带式脱水噪声小、电耗少，但占地面积和冲洗水量较大，车间环境较差。带式脱水进泥含水率要求一般为97.5%以下，出泥含水率一般可达82%以下。</w:t>
      </w:r>
    </w:p>
    <w:p w14:paraId="43FFC4A5">
      <w:pPr>
        <w:pStyle w:val="52"/>
        <w:rPr>
          <w:color w:val="000000" w:themeColor="text1"/>
          <w14:textFill>
            <w14:solidFill>
              <w14:schemeClr w14:val="tx1"/>
            </w14:solidFill>
          </w14:textFill>
        </w:rPr>
      </w:pPr>
      <w:r>
        <w:rPr>
          <w:color w:val="000000" w:themeColor="text1"/>
          <w14:textFill>
            <w14:solidFill>
              <w14:schemeClr w14:val="tx1"/>
            </w14:solidFill>
          </w14:textFill>
        </w:rPr>
        <w:t>离心脱水占地面积小、不需冲洗水、车间环境好，但电耗高，药剂量高，噪声大。离心脱水进泥含水率要求一般为95%～99.5%，出泥含水率一般可达75%～80%。</w:t>
      </w:r>
    </w:p>
    <w:p w14:paraId="47328540">
      <w:pPr>
        <w:pStyle w:val="52"/>
        <w:rPr>
          <w:color w:val="000000" w:themeColor="text1"/>
          <w14:textFill>
            <w14:solidFill>
              <w14:schemeClr w14:val="tx1"/>
            </w14:solidFill>
          </w14:textFill>
        </w:rPr>
      </w:pPr>
      <w:r>
        <w:rPr>
          <w:color w:val="000000" w:themeColor="text1"/>
          <w14:textFill>
            <w14:solidFill>
              <w14:schemeClr w14:val="tx1"/>
            </w14:solidFill>
          </w14:textFill>
        </w:rPr>
        <w:t>板框压滤脱水泥饼含水率低，但占地和冲洗水量较大，车间环境较差。板框压滤脱水进泥含水率要求一般为97%以下，出泥含水率一般可达65%～75%。</w:t>
      </w:r>
    </w:p>
    <w:p w14:paraId="2E3F2024">
      <w:pPr>
        <w:pStyle w:val="52"/>
        <w:rPr>
          <w:color w:val="000000" w:themeColor="text1"/>
          <w14:textFill>
            <w14:solidFill>
              <w14:schemeClr w14:val="tx1"/>
            </w14:solidFill>
          </w14:textFill>
        </w:rPr>
      </w:pPr>
      <w:r>
        <w:rPr>
          <w:color w:val="000000" w:themeColor="text1"/>
          <w14:textFill>
            <w14:solidFill>
              <w14:schemeClr w14:val="tx1"/>
            </w14:solidFill>
          </w14:textFill>
        </w:rPr>
        <w:t>叠螺式压榨脱水和滚压式脱水占地面积小、冲洗水量少、噪声低、车间环境好，但单机容量小，上清液固体含量高。</w:t>
      </w:r>
    </w:p>
    <w:p w14:paraId="64568A9C">
      <w:pPr>
        <w:pStyle w:val="52"/>
        <w:rPr>
          <w:color w:val="000000" w:themeColor="text1"/>
          <w14:textFill>
            <w14:solidFill>
              <w14:schemeClr w14:val="tx1"/>
            </w14:solidFill>
          </w14:textFill>
        </w:rPr>
      </w:pPr>
      <w:r>
        <w:rPr>
          <w:color w:val="000000" w:themeColor="text1"/>
          <w14:textFill>
            <w14:solidFill>
              <w14:schemeClr w14:val="tx1"/>
            </w14:solidFill>
          </w14:textFill>
        </w:rPr>
        <w:t>北峰山区乡镇生活污水治理厂污泥产生量不大，占地面积有限，本指南推荐污泥的机械干化，采用单机容量小、占地面积小的叠螺式压榨脱水。</w:t>
      </w:r>
    </w:p>
    <w:p w14:paraId="1468FD35">
      <w:pPr>
        <w:pStyle w:val="52"/>
        <w:rPr>
          <w:color w:val="000000" w:themeColor="text1"/>
          <w14:textFill>
            <w14:solidFill>
              <w14:schemeClr w14:val="tx1"/>
            </w14:solidFill>
          </w14:textFill>
        </w:rPr>
      </w:pPr>
      <w:r>
        <w:rPr>
          <w:color w:val="000000" w:themeColor="text1"/>
          <w14:textFill>
            <w14:solidFill>
              <w14:schemeClr w14:val="tx1"/>
            </w14:solidFill>
          </w14:textFill>
        </w:rPr>
        <w:t>叠螺式压榨脱水系统特点：自动化程度高、管理方便，运行期间产生电耗、药耗；需建污泥脱水机房。</w:t>
      </w:r>
    </w:p>
    <w:p w14:paraId="4E89F29F">
      <w:pPr>
        <w:pStyle w:val="23"/>
        <w:ind w:firstLine="480" w:firstLineChars="200"/>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移动式污泥脱水车：</w:t>
      </w:r>
    </w:p>
    <w:p w14:paraId="7DD5468C">
      <w:pPr>
        <w:pStyle w:val="52"/>
        <w:rPr>
          <w:color w:val="000000" w:themeColor="text1"/>
          <w14:textFill>
            <w14:solidFill>
              <w14:schemeClr w14:val="tx1"/>
            </w14:solidFill>
          </w14:textFill>
        </w:rPr>
      </w:pPr>
      <w:r>
        <w:rPr>
          <w:color w:val="000000" w:themeColor="text1"/>
          <w14:textFill>
            <w14:solidFill>
              <w14:schemeClr w14:val="tx1"/>
            </w14:solidFill>
          </w14:textFill>
        </w:rPr>
        <w:t>移动式污泥脱水车集成叠螺机或者平板式脱水机、发电机、加药装置、污泥泵等，可搭载卡车，实现污泥处理设备的灵活移动、方便转场作业。</w:t>
      </w:r>
    </w:p>
    <w:p w14:paraId="1AC6511A">
      <w:pPr>
        <w:pStyle w:val="52"/>
        <w:rPr>
          <w:color w:val="000000" w:themeColor="text1"/>
          <w14:textFill>
            <w14:solidFill>
              <w14:schemeClr w14:val="tx1"/>
            </w14:solidFill>
          </w14:textFill>
        </w:rPr>
      </w:pPr>
      <w:r>
        <w:rPr>
          <w:color w:val="000000" w:themeColor="text1"/>
          <w14:textFill>
            <w14:solidFill>
              <w14:schemeClr w14:val="tx1"/>
            </w14:solidFill>
          </w14:textFill>
        </w:rPr>
        <w:t>移动式脱水车可根据不同污水处理站的需要，开至污水处理站污泥池附近进行剩余污泥的脱水处理。运行时，先开启高分子泡药机对投加的粉末絮凝剂进行充分搅拌至熟化；再将污泥池内的污泥抽至活动式螺杆脱水机混合絮凝槽，污泥在混合絮凝槽内与计量泵投加的絮凝剂进行混合反应，形成矾花后流入活动式螺杆脱水机主体，在浓缩部通过重力浓缩后，被运输到脱水部进行脱水处理。脱水后的泥饼通过运输车外运处理，滤液则返回生化系统进行再处理。</w:t>
      </w:r>
    </w:p>
    <w:p w14:paraId="2F7DE50F">
      <w:pPr>
        <w:pStyle w:val="52"/>
        <w:rPr>
          <w:color w:val="000000" w:themeColor="text1"/>
          <w14:textFill>
            <w14:solidFill>
              <w14:schemeClr w14:val="tx1"/>
            </w14:solidFill>
          </w14:textFill>
        </w:rPr>
      </w:pPr>
      <w:r>
        <w:rPr>
          <w:color w:val="000000" w:themeColor="text1"/>
          <w14:textFill>
            <w14:solidFill>
              <w14:schemeClr w14:val="tx1"/>
            </w14:solidFill>
          </w14:textFill>
        </w:rPr>
        <w:t>适用范围：移动式污水脱水车适用于村镇区域内有多个污水治理设施的污泥脱水，轮换进行污泥脱水。</w:t>
      </w:r>
    </w:p>
    <w:p w14:paraId="6D88A3E7">
      <w:pPr>
        <w:pStyle w:val="52"/>
        <w:ind w:firstLine="482"/>
        <w:rPr>
          <w:b/>
          <w:bCs/>
          <w:color w:val="000000" w:themeColor="text1"/>
          <w14:textFill>
            <w14:solidFill>
              <w14:schemeClr w14:val="tx1"/>
            </w14:solidFill>
          </w14:textFill>
        </w:rPr>
      </w:pPr>
      <w:r>
        <w:rPr>
          <w:b/>
          <w:bCs/>
          <w:color w:val="000000" w:themeColor="text1"/>
          <w14:textFill>
            <w14:solidFill>
              <w14:schemeClr w14:val="tx1"/>
            </w14:solidFill>
          </w14:textFill>
        </w:rPr>
        <w:t>污泥静态快速生物干化技术：</w:t>
      </w:r>
    </w:p>
    <w:p w14:paraId="1E60CB38">
      <w:pPr>
        <w:pStyle w:val="52"/>
        <w:rPr>
          <w:color w:val="000000" w:themeColor="text1"/>
          <w14:textFill>
            <w14:solidFill>
              <w14:schemeClr w14:val="tx1"/>
            </w14:solidFill>
          </w14:textFill>
        </w:rPr>
      </w:pPr>
      <w:r>
        <w:rPr>
          <w:color w:val="000000" w:themeColor="text1"/>
          <w14:textFill>
            <w14:solidFill>
              <w14:schemeClr w14:val="tx1"/>
            </w14:solidFill>
          </w14:textFill>
        </w:rPr>
        <w:t>将含水率80%的污泥与辅料（如粉碎后的植物秸秆）混合搅拌均匀，得到透气性良好的堆料，并转移至发酵槽中进行强制通风曝气。堆料快速升温并维持在50～55℃以上超过5天，7天后堆料含水率可降至35～40%，若继续发酵可转化为稳定的腐殖质。这是目前生活污水治理厂推广应用的污泥无害化、资源化处理的主要技术。</w:t>
      </w:r>
    </w:p>
    <w:p w14:paraId="27282567">
      <w:pPr>
        <w:pStyle w:val="52"/>
        <w:rPr>
          <w:color w:val="000000" w:themeColor="text1"/>
          <w14:textFill>
            <w14:solidFill>
              <w14:schemeClr w14:val="tx1"/>
            </w14:solidFill>
          </w14:textFill>
        </w:rPr>
      </w:pPr>
      <w:r>
        <w:rPr>
          <w:color w:val="000000" w:themeColor="text1"/>
          <w14:textFill>
            <w14:solidFill>
              <w14:schemeClr w14:val="tx1"/>
            </w14:solidFill>
          </w14:textFill>
        </w:rPr>
        <w:t>工艺特点：（1）温度和曝气控制效果好，处理周期短，占地面积小，可灵活调整规模。（2）无需翻抛，有效控制臭气、粉尘和蚊蝇。（3）高温和曝气产生的密集水蒸汽可效杀灭病原菌、虫卵和杂草种籽等。（4）设备投入和易损件少，寿命长，维护成本低。（5）对槽（池）体底部布气均匀性要求较高，需进行合理分区。</w:t>
      </w:r>
    </w:p>
    <w:p w14:paraId="384622A8">
      <w:pPr>
        <w:pStyle w:val="52"/>
        <w:rPr>
          <w:color w:val="000000" w:themeColor="text1"/>
          <w14:textFill>
            <w14:solidFill>
              <w14:schemeClr w14:val="tx1"/>
            </w14:solidFill>
          </w14:textFill>
        </w:rPr>
      </w:pPr>
      <w:r>
        <w:rPr>
          <w:color w:val="000000" w:themeColor="text1"/>
          <w14:textFill>
            <w14:solidFill>
              <w14:schemeClr w14:val="tx1"/>
            </w14:solidFill>
          </w14:textFill>
        </w:rPr>
        <w:t>2、本规划污泥处理模式</w:t>
      </w:r>
    </w:p>
    <w:p w14:paraId="43ECF106">
      <w:pPr>
        <w:pStyle w:val="52"/>
        <w:rPr>
          <w:color w:val="000000" w:themeColor="text1"/>
          <w14:textFill>
            <w14:solidFill>
              <w14:schemeClr w14:val="tx1"/>
            </w14:solidFill>
          </w14:textFill>
        </w:rPr>
      </w:pPr>
      <w:r>
        <w:rPr>
          <w:color w:val="000000" w:themeColor="text1"/>
          <w14:textFill>
            <w14:solidFill>
              <w14:schemeClr w14:val="tx1"/>
            </w14:solidFill>
          </w14:textFill>
        </w:rPr>
        <w:t>本规划晋安区乡镇生活污水处理设规模较小，成分较为单一，主要污水治理方式是纳管，纳管产生的污泥由城市污水治理厂处理。因此，北峰山区乡镇生活污水治理处置固体废物主要包括化粪池清掏产生的污泥和乡镇污水治理设施污泥，产生的污泥量较少。固体废物处理处置主要考虑以下两种污泥处理模式：</w:t>
      </w:r>
    </w:p>
    <w:p w14:paraId="272E535E">
      <w:pPr>
        <w:pStyle w:val="52"/>
        <w:rPr>
          <w:color w:val="000000" w:themeColor="text1"/>
          <w14:textFill>
            <w14:solidFill>
              <w14:schemeClr w14:val="tx1"/>
            </w14:solidFill>
          </w14:textFill>
        </w:rPr>
      </w:pPr>
      <w:r>
        <w:rPr>
          <w:color w:val="000000" w:themeColor="text1"/>
          <w14:textFill>
            <w14:solidFill>
              <w14:schemeClr w14:val="tx1"/>
            </w14:solidFill>
          </w14:textFill>
        </w:rPr>
        <w:t>采用就近实现资源化方式，采用堆肥或进入市政系统与市政污泥一并处理。</w:t>
      </w:r>
    </w:p>
    <w:p w14:paraId="3EAFEA4D">
      <w:pPr>
        <w:pStyle w:val="52"/>
        <w:rPr>
          <w:color w:val="000000" w:themeColor="text1"/>
          <w14:textFill>
            <w14:solidFill>
              <w14:schemeClr w14:val="tx1"/>
            </w14:solidFill>
          </w14:textFill>
        </w:rPr>
      </w:pPr>
      <w:r>
        <w:rPr>
          <w:color w:val="000000" w:themeColor="text1"/>
          <w14:textFill>
            <w14:solidFill>
              <w14:schemeClr w14:val="tx1"/>
            </w14:solidFill>
          </w14:textFill>
        </w:rPr>
        <w:t>3、污泥最终处置方式</w:t>
      </w:r>
    </w:p>
    <w:p w14:paraId="3BA4A3DF">
      <w:pPr>
        <w:pStyle w:val="52"/>
        <w:rPr>
          <w:color w:val="000000" w:themeColor="text1"/>
          <w14:textFill>
            <w14:solidFill>
              <w14:schemeClr w14:val="tx1"/>
            </w14:solidFill>
          </w14:textFill>
        </w:rPr>
      </w:pPr>
      <w:r>
        <w:rPr>
          <w:color w:val="000000" w:themeColor="text1"/>
          <w14:textFill>
            <w14:solidFill>
              <w14:schemeClr w14:val="tx1"/>
            </w14:solidFill>
          </w14:textFill>
        </w:rPr>
        <w:t>在最终处置方面，目前有效的有填埋、焚烧、肥料利用、建筑材料原料。从资源的角度出发，首先考虑的是物料的利用（堆肥）；然后考虑的是能量的利用（干化+焚烧）；无法利用的选择就是填埋，还占用土地资源。晋安区北峰山区乡镇污泥的处置方式，推荐采用堆肥利用，相关参数需满足《农用地污泥污染物控制标准》《城镇污水治理厂污泥处置园林绿化用泥质》等相关要求。</w:t>
      </w:r>
    </w:p>
    <w:p w14:paraId="54EF1365">
      <w:pPr>
        <w:pStyle w:val="7"/>
        <w:rPr>
          <w:color w:val="000000" w:themeColor="text1"/>
          <w14:textFill>
            <w14:solidFill>
              <w14:schemeClr w14:val="tx1"/>
            </w14:solidFill>
          </w14:textFill>
        </w:rPr>
      </w:pPr>
      <w:r>
        <w:rPr>
          <w:color w:val="000000" w:themeColor="text1"/>
          <w14:textFill>
            <w14:solidFill>
              <w14:schemeClr w14:val="tx1"/>
            </w14:solidFill>
          </w14:textFill>
        </w:rPr>
        <w:t>污水收集系统建设及改造方案</w:t>
      </w:r>
    </w:p>
    <w:p w14:paraId="2D29FB3B">
      <w:pPr>
        <w:pStyle w:val="52"/>
        <w:rPr>
          <w:color w:val="000000" w:themeColor="text1"/>
          <w14:textFill>
            <w14:solidFill>
              <w14:schemeClr w14:val="tx1"/>
            </w14:solidFill>
          </w14:textFill>
        </w:rPr>
      </w:pPr>
      <w:r>
        <w:rPr>
          <w:color w:val="000000" w:themeColor="text1"/>
          <w14:textFill>
            <w14:solidFill>
              <w14:schemeClr w14:val="tx1"/>
            </w14:solidFill>
          </w14:textFill>
        </w:rPr>
        <w:t>1、污水收集系统规划原则</w:t>
      </w:r>
    </w:p>
    <w:p w14:paraId="1113049C">
      <w:pPr>
        <w:pStyle w:val="52"/>
        <w:rPr>
          <w:color w:val="000000" w:themeColor="text1"/>
          <w14:textFill>
            <w14:solidFill>
              <w14:schemeClr w14:val="tx1"/>
            </w14:solidFill>
          </w14:textFill>
        </w:rPr>
      </w:pPr>
      <w:r>
        <w:rPr>
          <w:color w:val="000000" w:themeColor="text1"/>
          <w14:textFill>
            <w14:solidFill>
              <w14:schemeClr w14:val="tx1"/>
            </w14:solidFill>
          </w14:textFill>
        </w:rPr>
        <w:t>结合晋安区实际情况，本方案各生活污水管网工程主要设计原则为：</w:t>
      </w:r>
    </w:p>
    <w:p w14:paraId="03578A69">
      <w:pPr>
        <w:pStyle w:val="52"/>
        <w:rPr>
          <w:color w:val="000000" w:themeColor="text1"/>
          <w14:textFill>
            <w14:solidFill>
              <w14:schemeClr w14:val="tx1"/>
            </w14:solidFill>
          </w14:textFill>
        </w:rPr>
      </w:pPr>
      <w:r>
        <w:rPr>
          <w:color w:val="000000" w:themeColor="text1"/>
          <w14:textFill>
            <w14:solidFill>
              <w14:schemeClr w14:val="tx1"/>
            </w14:solidFill>
          </w14:textFill>
        </w:rPr>
        <w:t>（1）依据项目区内地形地貌特点进行污水收集管网工程设计；</w:t>
      </w:r>
    </w:p>
    <w:p w14:paraId="4B5F11AC">
      <w:pPr>
        <w:pStyle w:val="52"/>
        <w:rPr>
          <w:color w:val="000000" w:themeColor="text1"/>
          <w14:textFill>
            <w14:solidFill>
              <w14:schemeClr w14:val="tx1"/>
            </w14:solidFill>
          </w14:textFill>
        </w:rPr>
      </w:pPr>
      <w:r>
        <w:rPr>
          <w:color w:val="000000" w:themeColor="text1"/>
          <w14:textFill>
            <w14:solidFill>
              <w14:schemeClr w14:val="tx1"/>
            </w14:solidFill>
          </w14:textFill>
        </w:rPr>
        <w:t>（2）项目区污水管网与乡镇规划相协调，统筹规划、充分利用现有已建处理设施及污水管网；</w:t>
      </w:r>
    </w:p>
    <w:p w14:paraId="0786463E">
      <w:pPr>
        <w:pStyle w:val="52"/>
        <w:rPr>
          <w:color w:val="000000" w:themeColor="text1"/>
          <w14:textFill>
            <w14:solidFill>
              <w14:schemeClr w14:val="tx1"/>
            </w14:solidFill>
          </w14:textFill>
        </w:rPr>
      </w:pPr>
      <w:r>
        <w:rPr>
          <w:color w:val="000000" w:themeColor="text1"/>
          <w14:textFill>
            <w14:solidFill>
              <w14:schemeClr w14:val="tx1"/>
            </w14:solidFill>
          </w14:textFill>
        </w:rPr>
        <w:t>（3）污水管网按收集片区最大日规模污水量设计；</w:t>
      </w:r>
    </w:p>
    <w:p w14:paraId="4BF34797">
      <w:pPr>
        <w:pStyle w:val="52"/>
        <w:rPr>
          <w:color w:val="000000" w:themeColor="text1"/>
          <w14:textFill>
            <w14:solidFill>
              <w14:schemeClr w14:val="tx1"/>
            </w14:solidFill>
          </w14:textFill>
        </w:rPr>
      </w:pPr>
      <w:r>
        <w:rPr>
          <w:color w:val="000000" w:themeColor="text1"/>
          <w14:textFill>
            <w14:solidFill>
              <w14:schemeClr w14:val="tx1"/>
            </w14:solidFill>
          </w14:textFill>
        </w:rPr>
        <w:t>（4）污水管网在平面布置上尽量避免或减少与现有建筑物、构筑物交叉；</w:t>
      </w:r>
    </w:p>
    <w:p w14:paraId="606CD78A">
      <w:pPr>
        <w:pStyle w:val="52"/>
        <w:rPr>
          <w:color w:val="000000" w:themeColor="text1"/>
          <w14:textFill>
            <w14:solidFill>
              <w14:schemeClr w14:val="tx1"/>
            </w14:solidFill>
          </w14:textFill>
        </w:rPr>
      </w:pPr>
      <w:r>
        <w:rPr>
          <w:color w:val="000000" w:themeColor="text1"/>
          <w14:textFill>
            <w14:solidFill>
              <w14:schemeClr w14:val="tx1"/>
            </w14:solidFill>
          </w14:textFill>
        </w:rPr>
        <w:t>（5）充分利用地形，尽量减少管道埋设深度和设置污水提升泵站，以降低施工费用、运行费用及减少日后养护工作的难度；</w:t>
      </w:r>
    </w:p>
    <w:p w14:paraId="33F677F9">
      <w:pPr>
        <w:pStyle w:val="52"/>
        <w:rPr>
          <w:color w:val="000000" w:themeColor="text1"/>
          <w14:textFill>
            <w14:solidFill>
              <w14:schemeClr w14:val="tx1"/>
            </w14:solidFill>
          </w14:textFill>
        </w:rPr>
      </w:pPr>
      <w:r>
        <w:rPr>
          <w:color w:val="000000" w:themeColor="text1"/>
          <w14:textFill>
            <w14:solidFill>
              <w14:schemeClr w14:val="tx1"/>
            </w14:solidFill>
          </w14:textFill>
        </w:rPr>
        <w:t>本方案主要收集对象为集镇区各村居民生活污水，集镇区范围内的企业生活废水，集镇区范围内的企业生产废水和集中式养殖污水不得接入，应单独建设污水治理设施，排放标准执行相关行业或国家标准，尾水引入农田作为灌溉用水。</w:t>
      </w:r>
    </w:p>
    <w:p w14:paraId="49682B9B">
      <w:pPr>
        <w:pStyle w:val="52"/>
        <w:rPr>
          <w:color w:val="000000" w:themeColor="text1"/>
          <w14:textFill>
            <w14:solidFill>
              <w14:schemeClr w14:val="tx1"/>
            </w14:solidFill>
          </w14:textFill>
        </w:rPr>
      </w:pPr>
      <w:r>
        <w:rPr>
          <w:color w:val="000000" w:themeColor="text1"/>
          <w14:textFill>
            <w14:solidFill>
              <w14:schemeClr w14:val="tx1"/>
            </w14:solidFill>
          </w14:textFill>
        </w:rPr>
        <w:t>2、管网提升改造方式</w:t>
      </w:r>
    </w:p>
    <w:p w14:paraId="11D0015F">
      <w:pPr>
        <w:pStyle w:val="52"/>
        <w:ind w:firstLine="482"/>
        <w:rPr>
          <w:b/>
          <w:color w:val="000000" w:themeColor="text1"/>
          <w14:textFill>
            <w14:solidFill>
              <w14:schemeClr w14:val="tx1"/>
            </w14:solidFill>
          </w14:textFill>
        </w:rPr>
      </w:pPr>
      <w:r>
        <w:rPr>
          <w:b/>
          <w:color w:val="000000" w:themeColor="text1"/>
          <w14:textFill>
            <w14:solidFill>
              <w14:schemeClr w14:val="tx1"/>
            </w14:solidFill>
          </w14:textFill>
        </w:rPr>
        <w:t>接户管网改造：</w:t>
      </w:r>
    </w:p>
    <w:p w14:paraId="1851151A">
      <w:pPr>
        <w:pStyle w:val="52"/>
        <w:rPr>
          <w:color w:val="000000" w:themeColor="text1"/>
          <w14:textFill>
            <w14:solidFill>
              <w14:schemeClr w14:val="tx1"/>
            </w14:solidFill>
          </w14:textFill>
        </w:rPr>
      </w:pPr>
      <w:r>
        <w:rPr>
          <w:color w:val="000000" w:themeColor="text1"/>
          <w14:textFill>
            <w14:solidFill>
              <w14:schemeClr w14:val="tx1"/>
            </w14:solidFill>
          </w14:textFill>
        </w:rPr>
        <w:t>对卫生间、厨房、洗涤池等接户管，存在接管混乱、大小管套接、接户管过小、未有效设置“S”或“P”型存水弯，以及部分接户管存在户外管裸露、凌空，未采取保护和防冻防晒等措施；部分农户存在错接漏接现象，部分四水未全部接入，厕所污水、厨房污水、洗浴废水、洗涤废水未做到应纳尽纳的，均应进行梳理，按照横平竖直的原则和规范要求进行有效改造（如图5.2-3～5.2-5）。</w:t>
      </w:r>
    </w:p>
    <w:p w14:paraId="10233F9E">
      <w:pPr>
        <w:pStyle w:val="52"/>
        <w:adjustRightInd w:val="0"/>
        <w:snapToGrid w:val="0"/>
        <w:spacing w:line="240" w:lineRule="auto"/>
        <w:ind w:firstLine="0" w:firstLineChars="0"/>
        <w:rPr>
          <w:color w:val="000000" w:themeColor="text1"/>
          <w14:textFill>
            <w14:solidFill>
              <w14:schemeClr w14:val="tx1"/>
            </w14:solidFill>
          </w14:textFill>
        </w:rPr>
      </w:pPr>
      <w:r>
        <w:rPr>
          <w:b/>
          <w:bCs/>
          <w:color w:val="000000" w:themeColor="text1"/>
          <w:szCs w:val="24"/>
          <w14:textFill>
            <w14:solidFill>
              <w14:schemeClr w14:val="tx1"/>
            </w14:solidFill>
          </w14:textFill>
        </w:rPr>
        <w:drawing>
          <wp:inline distT="0" distB="0" distL="0" distR="0">
            <wp:extent cx="5624195" cy="5196840"/>
            <wp:effectExtent l="0" t="0" r="0" b="3810"/>
            <wp:docPr id="257" name="图片 257" descr="图片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descr="图片3.2-4"/>
                    <pic:cNvPicPr>
                      <a:picLocks noChangeAspect="1"/>
                    </pic:cNvPicPr>
                  </pic:nvPicPr>
                  <pic:blipFill>
                    <a:blip r:embed="rId24" cstate="email"/>
                    <a:stretch>
                      <a:fillRect/>
                    </a:stretch>
                  </pic:blipFill>
                  <pic:spPr>
                    <a:xfrm>
                      <a:off x="0" y="0"/>
                      <a:ext cx="5626524" cy="5199019"/>
                    </a:xfrm>
                    <a:prstGeom prst="rect">
                      <a:avLst/>
                    </a:prstGeom>
                  </pic:spPr>
                </pic:pic>
              </a:graphicData>
            </a:graphic>
          </wp:inline>
        </w:drawing>
      </w:r>
    </w:p>
    <w:p w14:paraId="7FA9786E">
      <w:pPr>
        <w:pStyle w:val="442"/>
        <w:rPr>
          <w:color w:val="000000" w:themeColor="text1"/>
          <w14:textFill>
            <w14:solidFill>
              <w14:schemeClr w14:val="tx1"/>
            </w14:solidFill>
          </w14:textFill>
        </w:rPr>
      </w:pPr>
      <w:r>
        <w:rPr>
          <w:color w:val="000000" w:themeColor="text1"/>
          <w14:textFill>
            <w14:solidFill>
              <w14:schemeClr w14:val="tx1"/>
            </w14:solidFill>
          </w14:textFill>
        </w:rPr>
        <w:t>图5.2-3典型北峰山区乡镇单户房屋接户管布置图</w:t>
      </w:r>
    </w:p>
    <w:p w14:paraId="3D0F5082">
      <w:pPr>
        <w:pStyle w:val="52"/>
        <w:ind w:firstLine="482"/>
        <w:rPr>
          <w:b/>
          <w:color w:val="000000" w:themeColor="text1"/>
          <w14:textFill>
            <w14:solidFill>
              <w14:schemeClr w14:val="tx1"/>
            </w14:solidFill>
          </w14:textFill>
        </w:rPr>
      </w:pPr>
      <w:r>
        <w:rPr>
          <w:b/>
          <w:color w:val="000000" w:themeColor="text1"/>
          <w14:textFill>
            <w14:solidFill>
              <w14:schemeClr w14:val="tx1"/>
            </w14:solidFill>
          </w14:textFill>
        </w:rPr>
        <w:t>北峰山区乡镇化粪池改造：</w:t>
      </w:r>
    </w:p>
    <w:p w14:paraId="532AD832">
      <w:pPr>
        <w:pStyle w:val="52"/>
        <w:ind w:firstLine="474"/>
        <w:rPr>
          <w:color w:val="000000" w:themeColor="text1"/>
          <w:spacing w:val="-3"/>
          <w:szCs w:val="24"/>
          <w14:textFill>
            <w14:solidFill>
              <w14:schemeClr w14:val="tx1"/>
            </w14:solidFill>
          </w14:textFill>
        </w:rPr>
      </w:pPr>
      <w:r>
        <w:rPr>
          <w:color w:val="000000" w:themeColor="text1"/>
          <w:spacing w:val="-3"/>
          <w:szCs w:val="24"/>
          <w14:textFill>
            <w14:solidFill>
              <w14:schemeClr w14:val="tx1"/>
            </w14:solidFill>
          </w14:textFill>
        </w:rPr>
        <w:t>对于仍采用原有地渗式老旧化粪池，及未建或建但未按照规范要求建设（三格式、防渗处理、停留时间符合人口要求等，达不到使用要求的化粪池，须进行新建或对原有化粪池进行提升改造，达到储粪、化粪及满足预处理的要求。</w:t>
      </w:r>
    </w:p>
    <w:p w14:paraId="5885D1D7">
      <w:pPr>
        <w:pStyle w:val="52"/>
        <w:ind w:firstLine="0" w:firstLineChars="0"/>
        <w:rPr>
          <w:color w:val="000000" w:themeColor="text1"/>
          <w14:textFill>
            <w14:solidFill>
              <w14:schemeClr w14:val="tx1"/>
            </w14:solidFill>
          </w14:textFill>
        </w:rPr>
      </w:pPr>
      <w:r>
        <w:rPr>
          <w:b/>
          <w:color w:val="000000" w:themeColor="text1"/>
          <w14:textFill>
            <w14:solidFill>
              <w14:schemeClr w14:val="tx1"/>
            </w14:solidFill>
          </w14:textFill>
        </w:rPr>
        <w:drawing>
          <wp:inline distT="0" distB="0" distL="0" distR="0">
            <wp:extent cx="5737860" cy="2476500"/>
            <wp:effectExtent l="0" t="0" r="0" b="0"/>
            <wp:docPr id="258" name="图片 258" descr="图片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8" descr="图片3.2-5"/>
                    <pic:cNvPicPr>
                      <a:picLocks noChangeAspect="1"/>
                    </pic:cNvPicPr>
                  </pic:nvPicPr>
                  <pic:blipFill>
                    <a:blip r:embed="rId25" cstate="email"/>
                    <a:stretch>
                      <a:fillRect/>
                    </a:stretch>
                  </pic:blipFill>
                  <pic:spPr>
                    <a:xfrm>
                      <a:off x="0" y="0"/>
                      <a:ext cx="5737860" cy="2476669"/>
                    </a:xfrm>
                    <a:prstGeom prst="rect">
                      <a:avLst/>
                    </a:prstGeom>
                  </pic:spPr>
                </pic:pic>
              </a:graphicData>
            </a:graphic>
          </wp:inline>
        </w:drawing>
      </w:r>
    </w:p>
    <w:p w14:paraId="2D09CD9A">
      <w:pPr>
        <w:pStyle w:val="442"/>
        <w:rPr>
          <w:color w:val="000000" w:themeColor="text1"/>
          <w14:textFill>
            <w14:solidFill>
              <w14:schemeClr w14:val="tx1"/>
            </w14:solidFill>
          </w14:textFill>
        </w:rPr>
      </w:pPr>
      <w:r>
        <w:rPr>
          <w:color w:val="000000" w:themeColor="text1"/>
          <w14:textFill>
            <w14:solidFill>
              <w14:schemeClr w14:val="tx1"/>
            </w14:solidFill>
          </w14:textFill>
        </w:rPr>
        <w:t>图5.2-4典型北峰山区乡镇村多户联排房屋接户管布置图</w:t>
      </w:r>
    </w:p>
    <w:p w14:paraId="4D0FCFE2">
      <w:pPr>
        <w:pStyle w:val="52"/>
        <w:ind w:firstLine="0" w:firstLineChars="0"/>
        <w:rPr>
          <w:color w:val="000000" w:themeColor="text1"/>
          <w14:textFill>
            <w14:solidFill>
              <w14:schemeClr w14:val="tx1"/>
            </w14:solidFill>
          </w14:textFill>
        </w:rPr>
      </w:pPr>
      <w:r>
        <w:rPr>
          <w:color w:val="000000" w:themeColor="text1"/>
          <w:szCs w:val="24"/>
          <w14:textFill>
            <w14:solidFill>
              <w14:schemeClr w14:val="tx1"/>
            </w14:solidFill>
          </w14:textFill>
        </w:rPr>
        <w:drawing>
          <wp:inline distT="0" distB="0" distL="0" distR="0">
            <wp:extent cx="5737860" cy="2707005"/>
            <wp:effectExtent l="0" t="0" r="0" b="0"/>
            <wp:docPr id="259" name="图片 259" descr="图片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descr="图片3.2-6"/>
                    <pic:cNvPicPr>
                      <a:picLocks noChangeAspect="1"/>
                    </pic:cNvPicPr>
                  </pic:nvPicPr>
                  <pic:blipFill>
                    <a:blip r:embed="rId26" cstate="email"/>
                    <a:stretch>
                      <a:fillRect/>
                    </a:stretch>
                  </pic:blipFill>
                  <pic:spPr>
                    <a:xfrm>
                      <a:off x="0" y="0"/>
                      <a:ext cx="5737860" cy="2707579"/>
                    </a:xfrm>
                    <a:prstGeom prst="rect">
                      <a:avLst/>
                    </a:prstGeom>
                  </pic:spPr>
                </pic:pic>
              </a:graphicData>
            </a:graphic>
          </wp:inline>
        </w:drawing>
      </w:r>
    </w:p>
    <w:p w14:paraId="792E5444">
      <w:pPr>
        <w:pStyle w:val="442"/>
        <w:rPr>
          <w:color w:val="000000" w:themeColor="text1"/>
          <w14:textFill>
            <w14:solidFill>
              <w14:schemeClr w14:val="tx1"/>
            </w14:solidFill>
          </w14:textFill>
        </w:rPr>
      </w:pPr>
      <w:r>
        <w:rPr>
          <w:color w:val="000000" w:themeColor="text1"/>
          <w14:textFill>
            <w14:solidFill>
              <w14:schemeClr w14:val="tx1"/>
            </w14:solidFill>
          </w14:textFill>
        </w:rPr>
        <w:t>图5.2-5典型北峰山区乡镇村多户联排房屋接户管布置图</w:t>
      </w:r>
    </w:p>
    <w:p w14:paraId="287C743D">
      <w:pPr>
        <w:pStyle w:val="52"/>
        <w:ind w:firstLine="482"/>
        <w:rPr>
          <w:b/>
          <w:color w:val="000000" w:themeColor="text1"/>
          <w14:textFill>
            <w14:solidFill>
              <w14:schemeClr w14:val="tx1"/>
            </w14:solidFill>
          </w14:textFill>
        </w:rPr>
      </w:pPr>
      <w:r>
        <w:rPr>
          <w:b/>
          <w:color w:val="000000" w:themeColor="text1"/>
          <w14:textFill>
            <w14:solidFill>
              <w14:schemeClr w14:val="tx1"/>
            </w14:solidFill>
          </w14:textFill>
        </w:rPr>
        <w:t>雨污管网分流改造：</w:t>
      </w:r>
    </w:p>
    <w:p w14:paraId="4924CDB5">
      <w:pPr>
        <w:pStyle w:val="52"/>
        <w:rPr>
          <w:color w:val="000000" w:themeColor="text1"/>
          <w:szCs w:val="24"/>
          <w14:textFill>
            <w14:solidFill>
              <w14:schemeClr w14:val="tx1"/>
            </w14:solidFill>
          </w14:textFill>
        </w:rPr>
      </w:pPr>
      <w:r>
        <w:rPr>
          <w:color w:val="000000" w:themeColor="text1"/>
          <w:szCs w:val="24"/>
          <w14:textFill>
            <w14:solidFill>
              <w14:schemeClr w14:val="tx1"/>
            </w14:solidFill>
          </w14:textFill>
        </w:rPr>
        <w:t>对于雨污未进行有效分离或分离不清的，须进行系统性改造，部分需切断房前屋后的雨水（屋面水、地坪水）进入污水管网，部分需增设地面、路面雨水导排设施，防止雨水通过检查井、化粪池等设施进入污水管网系统内。</w:t>
      </w:r>
    </w:p>
    <w:p w14:paraId="73ADDCBE">
      <w:pPr>
        <w:pStyle w:val="52"/>
        <w:ind w:firstLine="482"/>
        <w:rPr>
          <w:b/>
          <w:color w:val="000000" w:themeColor="text1"/>
          <w14:textFill>
            <w14:solidFill>
              <w14:schemeClr w14:val="tx1"/>
            </w14:solidFill>
          </w14:textFill>
        </w:rPr>
      </w:pPr>
      <w:r>
        <w:rPr>
          <w:b/>
          <w:color w:val="000000" w:themeColor="text1"/>
          <w14:textFill>
            <w14:solidFill>
              <w14:schemeClr w14:val="tx1"/>
            </w14:solidFill>
          </w14:textFill>
        </w:rPr>
        <w:t>管网施工改造：</w:t>
      </w:r>
    </w:p>
    <w:p w14:paraId="0680CA8C">
      <w:pPr>
        <w:pStyle w:val="52"/>
        <w:rPr>
          <w:color w:val="000000" w:themeColor="text1"/>
          <w:szCs w:val="24"/>
          <w14:textFill>
            <w14:solidFill>
              <w14:schemeClr w14:val="tx1"/>
            </w14:solidFill>
          </w14:textFill>
        </w:rPr>
      </w:pPr>
      <w:r>
        <w:rPr>
          <w:color w:val="000000" w:themeColor="text1"/>
          <w:szCs w:val="24"/>
          <w14:textFill>
            <w14:solidFill>
              <w14:schemeClr w14:val="tx1"/>
            </w14:solidFill>
          </w14:textFill>
        </w:rPr>
        <w:t>对于未使用承重井盖，或施工质量问题，导致管网破损渗水、路面沉降、检查井渗漏、设置偏少，以及井盖被路面浇筑等问题，按现有规范化要求进行提升改造。增设部分及清理出被覆盖检查井，拆除无法开启的水泥井盖，统一采用承重井盖，盖板承载能力按照GB-T23858-2009要求执行。改造和新建管网按国家有关管网建设标准实施。</w:t>
      </w:r>
    </w:p>
    <w:p w14:paraId="5026D7B6">
      <w:pPr>
        <w:pStyle w:val="52"/>
        <w:rPr>
          <w:color w:val="000000" w:themeColor="text1"/>
          <w:szCs w:val="24"/>
          <w14:textFill>
            <w14:solidFill>
              <w14:schemeClr w14:val="tx1"/>
            </w14:solidFill>
          </w14:textFill>
        </w:rPr>
      </w:pPr>
      <w:r>
        <w:rPr>
          <w:color w:val="000000" w:themeColor="text1"/>
          <w:szCs w:val="24"/>
          <w14:textFill>
            <w14:solidFill>
              <w14:schemeClr w14:val="tx1"/>
            </w14:solidFill>
          </w14:textFill>
        </w:rPr>
        <w:t>（3）管道建设标准</w:t>
      </w:r>
    </w:p>
    <w:p w14:paraId="7E5E95FA">
      <w:pPr>
        <w:pStyle w:val="52"/>
        <w:ind w:firstLine="482"/>
        <w:rPr>
          <w:b/>
          <w:color w:val="000000" w:themeColor="text1"/>
          <w:spacing w:val="-3"/>
          <w14:textFill>
            <w14:solidFill>
              <w14:schemeClr w14:val="tx1"/>
            </w14:solidFill>
          </w14:textFill>
        </w:rPr>
      </w:pPr>
      <w:r>
        <w:rPr>
          <w:b/>
          <w:color w:val="000000" w:themeColor="text1"/>
          <w14:textFill>
            <w14:solidFill>
              <w14:schemeClr w14:val="tx1"/>
            </w14:solidFill>
          </w14:textFill>
        </w:rPr>
        <w:t>管道埋设：</w:t>
      </w:r>
    </w:p>
    <w:p w14:paraId="6597FA19">
      <w:pPr>
        <w:pStyle w:val="52"/>
        <w:rPr>
          <w:color w:val="000000" w:themeColor="text1"/>
          <w:szCs w:val="24"/>
          <w14:textFill>
            <w14:solidFill>
              <w14:schemeClr w14:val="tx1"/>
            </w14:solidFill>
          </w14:textFill>
        </w:rPr>
      </w:pPr>
      <w:r>
        <w:rPr>
          <w:color w:val="000000" w:themeColor="text1"/>
          <w:szCs w:val="24"/>
          <w14:textFill>
            <w14:solidFill>
              <w14:schemeClr w14:val="tx1"/>
            </w14:solidFill>
          </w14:textFill>
        </w:rPr>
        <w:t>不同直径的管道在检查井内的连接，宜采用管顶平接或水面平接；</w:t>
      </w:r>
    </w:p>
    <w:p w14:paraId="0A1401DC">
      <w:pPr>
        <w:pStyle w:val="52"/>
        <w:rPr>
          <w:color w:val="000000" w:themeColor="text1"/>
          <w:szCs w:val="24"/>
          <w14:textFill>
            <w14:solidFill>
              <w14:schemeClr w14:val="tx1"/>
            </w14:solidFill>
          </w14:textFill>
        </w:rPr>
      </w:pPr>
      <w:r>
        <w:rPr>
          <w:color w:val="000000" w:themeColor="text1"/>
          <w:szCs w:val="24"/>
          <w14:textFill>
            <w14:solidFill>
              <w14:schemeClr w14:val="tx1"/>
            </w14:solidFill>
          </w14:textFill>
        </w:rPr>
        <w:t>管道基础应根据管道材质、接口形式和地质条件确定，对地基松软或不均匀沉降地段，管道基础应采取加固措施；</w:t>
      </w:r>
    </w:p>
    <w:p w14:paraId="4C0C587C">
      <w:pPr>
        <w:pStyle w:val="52"/>
        <w:rPr>
          <w:color w:val="000000" w:themeColor="text1"/>
          <w:szCs w:val="24"/>
          <w14:textFill>
            <w14:solidFill>
              <w14:schemeClr w14:val="tx1"/>
            </w14:solidFill>
          </w14:textFill>
        </w:rPr>
      </w:pPr>
      <w:r>
        <w:rPr>
          <w:color w:val="000000" w:themeColor="text1"/>
          <w:szCs w:val="24"/>
          <w14:textFill>
            <w14:solidFill>
              <w14:schemeClr w14:val="tx1"/>
            </w14:solidFill>
          </w14:textFill>
        </w:rPr>
        <w:t>管顶最小覆土深度，应根据管材强度、外部荷载、土壤冰冻深度和土壤性质等条件，结合当地埋管经验确定。管顶最小覆土深度宜为：人行道下0.6m，车行道下0.7m；</w:t>
      </w:r>
    </w:p>
    <w:p w14:paraId="19D4AB32">
      <w:pPr>
        <w:pStyle w:val="52"/>
        <w:rPr>
          <w:color w:val="000000" w:themeColor="text1"/>
          <w:szCs w:val="24"/>
          <w14:textFill>
            <w14:solidFill>
              <w14:schemeClr w14:val="tx1"/>
            </w14:solidFill>
          </w14:textFill>
        </w:rPr>
      </w:pPr>
      <w:r>
        <w:rPr>
          <w:color w:val="000000" w:themeColor="text1"/>
          <w:szCs w:val="24"/>
          <w14:textFill>
            <w14:solidFill>
              <w14:schemeClr w14:val="tx1"/>
            </w14:solidFill>
          </w14:textFill>
        </w:rPr>
        <w:t>管道的施工方法，应根据管道所处土层性质、管径、地下水位、附近地下和地上建筑物等因素，经技术经济比较，确定采用开槽、顶管或盾构施工等。</w:t>
      </w:r>
    </w:p>
    <w:p w14:paraId="1DE26659">
      <w:pPr>
        <w:pStyle w:val="52"/>
        <w:ind w:firstLine="0" w:firstLineChars="0"/>
        <w:rPr>
          <w:color w:val="000000" w:themeColor="text1"/>
          <w14:textFill>
            <w14:solidFill>
              <w14:schemeClr w14:val="tx1"/>
            </w14:solidFill>
          </w14:textFill>
        </w:rPr>
      </w:pPr>
      <w:r>
        <w:rPr>
          <w:color w:val="000000" w:themeColor="text1"/>
          <w:spacing w:val="-3"/>
          <w:szCs w:val="24"/>
          <w14:textFill>
            <w14:solidFill>
              <w14:schemeClr w14:val="tx1"/>
            </w14:solidFill>
          </w14:textFill>
        </w:rPr>
        <w:drawing>
          <wp:inline distT="0" distB="0" distL="114300" distR="114300">
            <wp:extent cx="5580380" cy="2465070"/>
            <wp:effectExtent l="0" t="0" r="1270" b="0"/>
            <wp:docPr id="267" name="图片 267" descr="图片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descr="图片3.2-7"/>
                    <pic:cNvPicPr>
                      <a:picLocks noChangeAspect="1"/>
                    </pic:cNvPicPr>
                  </pic:nvPicPr>
                  <pic:blipFill>
                    <a:blip r:embed="rId27" cstate="email"/>
                    <a:stretch>
                      <a:fillRect/>
                    </a:stretch>
                  </pic:blipFill>
                  <pic:spPr>
                    <a:xfrm>
                      <a:off x="0" y="0"/>
                      <a:ext cx="5623728" cy="2484406"/>
                    </a:xfrm>
                    <a:prstGeom prst="rect">
                      <a:avLst/>
                    </a:prstGeom>
                  </pic:spPr>
                </pic:pic>
              </a:graphicData>
            </a:graphic>
          </wp:inline>
        </w:drawing>
      </w:r>
    </w:p>
    <w:p w14:paraId="68BCD186">
      <w:pPr>
        <w:pStyle w:val="442"/>
        <w:rPr>
          <w:color w:val="000000" w:themeColor="text1"/>
          <w14:textFill>
            <w14:solidFill>
              <w14:schemeClr w14:val="tx1"/>
            </w14:solidFill>
          </w14:textFill>
        </w:rPr>
      </w:pPr>
      <w:r>
        <w:rPr>
          <w:color w:val="000000" w:themeColor="text1"/>
          <w14:textFill>
            <w14:solidFill>
              <w14:schemeClr w14:val="tx1"/>
            </w14:solidFill>
          </w14:textFill>
        </w:rPr>
        <w:t>图5.2-6典型沿路及沿河污水主管埋设断面示意图</w:t>
      </w:r>
    </w:p>
    <w:p w14:paraId="71A7ED48">
      <w:pPr>
        <w:pStyle w:val="52"/>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检查井：</w:t>
      </w:r>
    </w:p>
    <w:p w14:paraId="436E81C9">
      <w:pPr>
        <w:pStyle w:val="52"/>
        <w:ind w:firstLine="474"/>
        <w:rPr>
          <w:color w:val="000000" w:themeColor="text1"/>
          <w:spacing w:val="-3"/>
          <w14:textFill>
            <w14:solidFill>
              <w14:schemeClr w14:val="tx1"/>
            </w14:solidFill>
          </w14:textFill>
        </w:rPr>
      </w:pPr>
      <w:r>
        <w:rPr>
          <w:color w:val="000000" w:themeColor="text1"/>
          <w:spacing w:val="-3"/>
          <w14:textFill>
            <w14:solidFill>
              <w14:schemeClr w14:val="tx1"/>
            </w14:solidFill>
          </w14:textFill>
        </w:rPr>
        <w:t>检查井的位置，应设在管道交汇处、转弯处、管径或坡度改变处、跌水处以及直线管段上每隔一定距离处；</w:t>
      </w:r>
    </w:p>
    <w:p w14:paraId="5F59EC4B">
      <w:pPr>
        <w:pStyle w:val="52"/>
        <w:ind w:firstLine="474"/>
        <w:rPr>
          <w:color w:val="000000" w:themeColor="text1"/>
          <w:spacing w:val="-3"/>
          <w14:textFill>
            <w14:solidFill>
              <w14:schemeClr w14:val="tx1"/>
            </w14:solidFill>
          </w14:textFill>
        </w:rPr>
      </w:pPr>
      <w:r>
        <w:rPr>
          <w:color w:val="000000" w:themeColor="text1"/>
          <w:spacing w:val="-3"/>
          <w14:textFill>
            <w14:solidFill>
              <w14:schemeClr w14:val="tx1"/>
            </w14:solidFill>
          </w14:textFill>
        </w:rPr>
        <w:t>检查井各部分尺寸，应符合下列要求：</w:t>
      </w:r>
    </w:p>
    <w:p w14:paraId="12E7879C">
      <w:pPr>
        <w:pStyle w:val="52"/>
        <w:ind w:firstLine="474"/>
        <w:rPr>
          <w:color w:val="000000" w:themeColor="text1"/>
          <w:spacing w:val="-3"/>
          <w14:textFill>
            <w14:solidFill>
              <w14:schemeClr w14:val="tx1"/>
            </w14:solidFill>
          </w14:textFill>
        </w:rPr>
      </w:pPr>
      <w:r>
        <w:rPr>
          <w:rFonts w:hint="eastAsia" w:ascii="宋体" w:hAnsi="宋体" w:cs="宋体"/>
          <w:color w:val="000000" w:themeColor="text1"/>
          <w:spacing w:val="-3"/>
          <w14:textFill>
            <w14:solidFill>
              <w14:schemeClr w14:val="tx1"/>
            </w14:solidFill>
          </w14:textFill>
        </w:rPr>
        <w:t>①</w:t>
      </w:r>
      <w:r>
        <w:rPr>
          <w:color w:val="000000" w:themeColor="text1"/>
          <w:spacing w:val="-3"/>
          <w14:textFill>
            <w14:solidFill>
              <w14:schemeClr w14:val="tx1"/>
            </w14:solidFill>
          </w14:textFill>
        </w:rPr>
        <w:t>井口、井筒和井室的尺寸应便于养护和检修，爬梯和脚窝的尺寸、位置应便于检修和上下安全；</w:t>
      </w:r>
    </w:p>
    <w:p w14:paraId="47303C60">
      <w:pPr>
        <w:pStyle w:val="52"/>
        <w:ind w:firstLine="474"/>
        <w:rPr>
          <w:color w:val="000000" w:themeColor="text1"/>
          <w:spacing w:val="-3"/>
          <w14:textFill>
            <w14:solidFill>
              <w14:schemeClr w14:val="tx1"/>
            </w14:solidFill>
          </w14:textFill>
        </w:rPr>
      </w:pPr>
      <w:r>
        <w:rPr>
          <w:rFonts w:hint="eastAsia" w:ascii="宋体" w:hAnsi="宋体" w:cs="宋体"/>
          <w:color w:val="000000" w:themeColor="text1"/>
          <w:spacing w:val="-3"/>
          <w14:textFill>
            <w14:solidFill>
              <w14:schemeClr w14:val="tx1"/>
            </w14:solidFill>
          </w14:textFill>
        </w:rPr>
        <w:t>②</w:t>
      </w:r>
      <w:r>
        <w:rPr>
          <w:color w:val="000000" w:themeColor="text1"/>
          <w:spacing w:val="-3"/>
          <w14:textFill>
            <w14:solidFill>
              <w14:schemeClr w14:val="tx1"/>
            </w14:solidFill>
          </w14:textFill>
        </w:rPr>
        <w:t>检修室高度在管道埋深许可时宜为1.8m，污水检查井由流槽顶算起，雨水便于检修和上下安全；</w:t>
      </w:r>
    </w:p>
    <w:p w14:paraId="1919B40D">
      <w:pPr>
        <w:pStyle w:val="52"/>
        <w:ind w:firstLine="474"/>
        <w:rPr>
          <w:color w:val="000000" w:themeColor="text1"/>
          <w:spacing w:val="-3"/>
          <w14:textFill>
            <w14:solidFill>
              <w14:schemeClr w14:val="tx1"/>
            </w14:solidFill>
          </w14:textFill>
        </w:rPr>
      </w:pPr>
      <w:r>
        <w:rPr>
          <w:rFonts w:hint="eastAsia" w:ascii="宋体" w:hAnsi="宋体" w:cs="宋体"/>
          <w:color w:val="000000" w:themeColor="text1"/>
          <w:spacing w:val="-3"/>
          <w14:textFill>
            <w14:solidFill>
              <w14:schemeClr w14:val="tx1"/>
            </w14:solidFill>
          </w14:textFill>
        </w:rPr>
        <w:t>③</w:t>
      </w:r>
      <w:r>
        <w:rPr>
          <w:color w:val="000000" w:themeColor="text1"/>
          <w:spacing w:val="-3"/>
          <w14:textFill>
            <w14:solidFill>
              <w14:schemeClr w14:val="tx1"/>
            </w14:solidFill>
          </w14:textFill>
        </w:rPr>
        <w:t>在排水管道每隔适当距离的检查井内和泵站前一检查井内，宜设置沉泥槽，深度宜为0.3～0.5。</w:t>
      </w:r>
    </w:p>
    <w:p w14:paraId="2D72A1EF">
      <w:pPr>
        <w:spacing w:line="360" w:lineRule="auto"/>
        <w:rPr>
          <w:color w:val="000000" w:themeColor="text1"/>
          <w:spacing w:val="-3"/>
          <w14:textFill>
            <w14:solidFill>
              <w14:schemeClr w14:val="tx1"/>
            </w14:solidFill>
          </w14:textFill>
        </w:rPr>
      </w:pPr>
      <w:r>
        <w:rPr>
          <w:color w:val="000000" w:themeColor="text1"/>
          <w14:textFill>
            <w14:solidFill>
              <w14:schemeClr w14:val="tx1"/>
            </w14:solidFill>
          </w14:textFill>
        </w:rPr>
        <w:drawing>
          <wp:inline distT="0" distB="0" distL="0" distR="0">
            <wp:extent cx="5737860" cy="2731135"/>
            <wp:effectExtent l="0" t="0" r="0" b="0"/>
            <wp:docPr id="268" name="图片 268" descr="图片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descr="图片3.2-8"/>
                    <pic:cNvPicPr>
                      <a:picLocks noChangeAspect="1"/>
                    </pic:cNvPicPr>
                  </pic:nvPicPr>
                  <pic:blipFill>
                    <a:blip r:embed="rId28" cstate="email"/>
                    <a:stretch>
                      <a:fillRect/>
                    </a:stretch>
                  </pic:blipFill>
                  <pic:spPr>
                    <a:xfrm>
                      <a:off x="0" y="0"/>
                      <a:ext cx="5737860" cy="2731746"/>
                    </a:xfrm>
                    <a:prstGeom prst="rect">
                      <a:avLst/>
                    </a:prstGeom>
                  </pic:spPr>
                </pic:pic>
              </a:graphicData>
            </a:graphic>
          </wp:inline>
        </w:drawing>
      </w:r>
    </w:p>
    <w:p w14:paraId="1E9CE1A9">
      <w:pPr>
        <w:pStyle w:val="442"/>
        <w:rPr>
          <w:color w:val="000000" w:themeColor="text1"/>
          <w14:textFill>
            <w14:solidFill>
              <w14:schemeClr w14:val="tx1"/>
            </w14:solidFill>
          </w14:textFill>
        </w:rPr>
      </w:pPr>
      <w:r>
        <w:rPr>
          <w:color w:val="000000" w:themeColor="text1"/>
          <w14:textFill>
            <w14:solidFill>
              <w14:schemeClr w14:val="tx1"/>
            </w14:solidFill>
          </w14:textFill>
        </w:rPr>
        <w:t>图5.2-7典型同材一体化检查井安装示意图</w:t>
      </w:r>
    </w:p>
    <w:p w14:paraId="036F186B">
      <w:pPr>
        <w:pStyle w:val="52"/>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出水口：</w:t>
      </w:r>
    </w:p>
    <w:p w14:paraId="636198AF">
      <w:pPr>
        <w:pStyle w:val="52"/>
        <w:rPr>
          <w:color w:val="000000" w:themeColor="text1"/>
          <w14:textFill>
            <w14:solidFill>
              <w14:schemeClr w14:val="tx1"/>
            </w14:solidFill>
          </w14:textFill>
        </w:rPr>
      </w:pPr>
      <w:r>
        <w:rPr>
          <w:color w:val="000000" w:themeColor="text1"/>
          <w14:textFill>
            <w14:solidFill>
              <w14:schemeClr w14:val="tx1"/>
            </w14:solidFill>
          </w14:textFill>
        </w:rPr>
        <w:t>（1）排水管渠出水口位置、形式和出口流速，应根据受纳水体的水质要求、水体的流量、水位变化幅度、水流方向、波浪状况、稀释自净能力、地形变迁和气候特征等因素确定；</w:t>
      </w:r>
    </w:p>
    <w:p w14:paraId="71B2F113">
      <w:pPr>
        <w:pStyle w:val="52"/>
        <w:rPr>
          <w:color w:val="000000" w:themeColor="text1"/>
          <w14:textFill>
            <w14:solidFill>
              <w14:schemeClr w14:val="tx1"/>
            </w14:solidFill>
          </w14:textFill>
        </w:rPr>
      </w:pPr>
      <w:r>
        <w:rPr>
          <w:color w:val="000000" w:themeColor="text1"/>
          <w14:textFill>
            <w14:solidFill>
              <w14:schemeClr w14:val="tx1"/>
            </w14:solidFill>
          </w14:textFill>
        </w:rPr>
        <w:t>（2）出水口应采取防冲刷、消能、加固等措施，并视需要设置标志。</w:t>
      </w:r>
    </w:p>
    <w:p w14:paraId="04BC16E8">
      <w:pPr>
        <w:pStyle w:val="52"/>
        <w:ind w:firstLine="482"/>
        <w:rPr>
          <w:b/>
          <w:color w:val="000000" w:themeColor="text1"/>
          <w14:textFill>
            <w14:solidFill>
              <w14:schemeClr w14:val="tx1"/>
            </w14:solidFill>
          </w14:textFill>
        </w:rPr>
      </w:pPr>
      <w:r>
        <w:rPr>
          <w:b/>
          <w:color w:val="000000" w:themeColor="text1"/>
          <w14:textFill>
            <w14:solidFill>
              <w14:schemeClr w14:val="tx1"/>
            </w14:solidFill>
          </w14:textFill>
        </w:rPr>
        <w:t>管道综合：</w:t>
      </w:r>
    </w:p>
    <w:p w14:paraId="720F7467">
      <w:pPr>
        <w:pStyle w:val="52"/>
        <w:rPr>
          <w:color w:val="000000" w:themeColor="text1"/>
          <w14:textFill>
            <w14:solidFill>
              <w14:schemeClr w14:val="tx1"/>
            </w14:solidFill>
          </w14:textFill>
        </w:rPr>
      </w:pPr>
      <w:r>
        <w:rPr>
          <w:color w:val="000000" w:themeColor="text1"/>
          <w14:textFill>
            <w14:solidFill>
              <w14:schemeClr w14:val="tx1"/>
            </w14:solidFill>
          </w14:textFill>
        </w:rPr>
        <w:t>排水管道与其他地下管渠、建筑物、构筑物等相互间的位置，应符合下列要求：</w:t>
      </w:r>
    </w:p>
    <w:p w14:paraId="310F49ED">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敷设和检修管道时，不应互相影响；</w:t>
      </w:r>
    </w:p>
    <w:p w14:paraId="3E39169E">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排水管道损坏时，不应影响附近建筑物、构筑物的基础，不应污染生活用水</w:t>
      </w:r>
    </w:p>
    <w:p w14:paraId="7ACB455E">
      <w:pPr>
        <w:pStyle w:val="52"/>
        <w:rPr>
          <w:color w:val="000000" w:themeColor="text1"/>
          <w14:textFill>
            <w14:solidFill>
              <w14:schemeClr w14:val="tx1"/>
            </w14:solidFill>
          </w14:textFill>
        </w:rPr>
      </w:pPr>
      <w:r>
        <w:rPr>
          <w:color w:val="000000" w:themeColor="text1"/>
          <w14:textFill>
            <w14:solidFill>
              <w14:schemeClr w14:val="tx1"/>
            </w14:solidFill>
          </w14:textFill>
        </w:rPr>
        <w:t>污水管道、合流管道与生活给水管道相交时，应敷设在生活给水管道的下面。</w:t>
      </w:r>
    </w:p>
    <w:p w14:paraId="2EEA4927">
      <w:pPr>
        <w:pStyle w:val="52"/>
        <w:ind w:firstLine="482"/>
        <w:rPr>
          <w:b/>
          <w:color w:val="000000" w:themeColor="text1"/>
          <w14:textFill>
            <w14:solidFill>
              <w14:schemeClr w14:val="tx1"/>
            </w14:solidFill>
          </w14:textFill>
        </w:rPr>
      </w:pPr>
      <w:r>
        <w:rPr>
          <w:b/>
          <w:color w:val="000000" w:themeColor="text1"/>
          <w14:textFill>
            <w14:solidFill>
              <w14:schemeClr w14:val="tx1"/>
            </w14:solidFill>
          </w14:textFill>
        </w:rPr>
        <w:t>管材选择：</w:t>
      </w:r>
    </w:p>
    <w:p w14:paraId="45E5A1CB">
      <w:pPr>
        <w:pStyle w:val="52"/>
        <w:rPr>
          <w:color w:val="000000" w:themeColor="text1"/>
          <w14:textFill>
            <w14:solidFill>
              <w14:schemeClr w14:val="tx1"/>
            </w14:solidFill>
          </w14:textFill>
        </w:rPr>
      </w:pPr>
      <w:r>
        <w:rPr>
          <w:color w:val="000000" w:themeColor="text1"/>
          <w14:textFill>
            <w14:solidFill>
              <w14:schemeClr w14:val="tx1"/>
            </w14:solidFill>
          </w14:textFill>
        </w:rPr>
        <w:t>小区室外排水管道，应优先采用埋地排水塑料管；</w:t>
      </w:r>
    </w:p>
    <w:p w14:paraId="26CD1BC5">
      <w:pPr>
        <w:pStyle w:val="52"/>
        <w:rPr>
          <w:color w:val="000000" w:themeColor="text1"/>
          <w14:textFill>
            <w14:solidFill>
              <w14:schemeClr w14:val="tx1"/>
            </w14:solidFill>
          </w14:textFill>
        </w:rPr>
      </w:pPr>
      <w:r>
        <w:rPr>
          <w:color w:val="000000" w:themeColor="text1"/>
          <w14:textFill>
            <w14:solidFill>
              <w14:schemeClr w14:val="tx1"/>
            </w14:solidFill>
          </w14:textFill>
        </w:rPr>
        <w:t>建筑内部排水管道应采用建筑排水塑料管及管件或柔性接口机制排水铸铁管及相应管件；</w:t>
      </w:r>
    </w:p>
    <w:p w14:paraId="22F98676">
      <w:pPr>
        <w:pStyle w:val="52"/>
        <w:rPr>
          <w:color w:val="000000" w:themeColor="text1"/>
          <w14:textFill>
            <w14:solidFill>
              <w14:schemeClr w14:val="tx1"/>
            </w14:solidFill>
          </w14:textFill>
        </w:rPr>
      </w:pPr>
      <w:r>
        <w:rPr>
          <w:color w:val="000000" w:themeColor="text1"/>
          <w14:textFill>
            <w14:solidFill>
              <w14:schemeClr w14:val="tx1"/>
            </w14:solidFill>
          </w14:textFill>
        </w:rPr>
        <w:t>压力排水管道可采用耐压塑料管、金属管或钢塑复合管。</w:t>
      </w:r>
    </w:p>
    <w:p w14:paraId="12DE02AF">
      <w:pPr>
        <w:pStyle w:val="52"/>
        <w:rPr>
          <w:color w:val="000000" w:themeColor="text1"/>
          <w14:textFill>
            <w14:solidFill>
              <w14:schemeClr w14:val="tx1"/>
            </w14:solidFill>
          </w14:textFill>
        </w:rPr>
      </w:pPr>
      <w:r>
        <w:rPr>
          <w:color w:val="000000" w:themeColor="text1"/>
          <w14:textFill>
            <w14:solidFill>
              <w14:schemeClr w14:val="tx1"/>
            </w14:solidFill>
          </w14:textFill>
        </w:rPr>
        <w:t>（4）污水收集系统建设内容</w:t>
      </w:r>
    </w:p>
    <w:p w14:paraId="530D380F">
      <w:pPr>
        <w:pStyle w:val="52"/>
        <w:rPr>
          <w:color w:val="000000" w:themeColor="text1"/>
          <w14:textFill>
            <w14:solidFill>
              <w14:schemeClr w14:val="tx1"/>
            </w14:solidFill>
          </w14:textFill>
        </w:rPr>
      </w:pPr>
      <w:r>
        <w:rPr>
          <w:color w:val="000000" w:themeColor="text1"/>
          <w14:textFill>
            <w14:solidFill>
              <w14:schemeClr w14:val="tx1"/>
            </w14:solidFill>
          </w14:textFill>
        </w:rPr>
        <w:t>根据现场实际调查情况，在各村现有污水收集系统基础上，进一步完善污水收集管网，并因地制宜增设中间泵站。增加入户支管覆盖范围，对于人口集中居住区，尽量做到雨污分流，提高污水收集率。</w:t>
      </w:r>
    </w:p>
    <w:p w14:paraId="29F4A2E7">
      <w:pPr>
        <w:pStyle w:val="52"/>
        <w:ind w:firstLine="0" w:firstLineChars="0"/>
        <w:rPr>
          <w:color w:val="000000" w:themeColor="text1"/>
          <w14:textFill>
            <w14:solidFill>
              <w14:schemeClr w14:val="tx1"/>
            </w14:solidFill>
          </w14:textFill>
        </w:rPr>
        <w:sectPr>
          <w:pgSz w:w="11906" w:h="16838"/>
          <w:pgMar w:top="1701" w:right="1701" w:bottom="1701" w:left="1701" w:header="851" w:footer="992" w:gutter="0"/>
          <w:cols w:space="720" w:num="1"/>
          <w:docGrid w:type="linesAndChars" w:linePitch="312" w:charSpace="0"/>
        </w:sectPr>
      </w:pPr>
    </w:p>
    <w:p w14:paraId="4948D022">
      <w:pPr>
        <w:pStyle w:val="442"/>
        <w:rPr>
          <w:color w:val="000000" w:themeColor="text1"/>
          <w14:textFill>
            <w14:solidFill>
              <w14:schemeClr w14:val="tx1"/>
            </w14:solidFill>
          </w14:textFill>
        </w:rPr>
      </w:pPr>
      <w:r>
        <w:rPr>
          <w:color w:val="000000" w:themeColor="text1"/>
          <w14:textFill>
            <w14:solidFill>
              <w14:schemeClr w14:val="tx1"/>
            </w14:solidFill>
          </w14:textFill>
        </w:rPr>
        <w:t>表5.2-3北峰山区乡镇生活污水治理设施（含厂外管网）提升改造规划</w:t>
      </w:r>
    </w:p>
    <w:tbl>
      <w:tblPr>
        <w:tblStyle w:val="55"/>
        <w:tblW w:w="4999" w:type="pct"/>
        <w:jc w:val="center"/>
        <w:tblLayout w:type="fixed"/>
        <w:tblCellMar>
          <w:top w:w="0" w:type="dxa"/>
          <w:left w:w="57" w:type="dxa"/>
          <w:bottom w:w="28" w:type="dxa"/>
          <w:right w:w="57" w:type="dxa"/>
        </w:tblCellMar>
      </w:tblPr>
      <w:tblGrid>
        <w:gridCol w:w="545"/>
        <w:gridCol w:w="548"/>
        <w:gridCol w:w="846"/>
        <w:gridCol w:w="841"/>
        <w:gridCol w:w="974"/>
        <w:gridCol w:w="1558"/>
        <w:gridCol w:w="1441"/>
        <w:gridCol w:w="1035"/>
        <w:gridCol w:w="734"/>
        <w:gridCol w:w="742"/>
        <w:gridCol w:w="1875"/>
        <w:gridCol w:w="1718"/>
        <w:gridCol w:w="688"/>
      </w:tblGrid>
      <w:tr w14:paraId="715484E0">
        <w:tblPrEx>
          <w:tblCellMar>
            <w:top w:w="0" w:type="dxa"/>
            <w:left w:w="57" w:type="dxa"/>
            <w:bottom w:w="28" w:type="dxa"/>
            <w:right w:w="57" w:type="dxa"/>
          </w:tblCellMar>
        </w:tblPrEx>
        <w:trPr>
          <w:trHeight w:val="567" w:hRule="atLeast"/>
          <w:tblHeader/>
          <w:jc w:val="center"/>
        </w:trPr>
        <w:tc>
          <w:tcPr>
            <w:tcW w:w="201"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74CC6A7A">
            <w:pPr>
              <w:pStyle w:val="476"/>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202"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24C10A06">
            <w:pPr>
              <w:pStyle w:val="476"/>
              <w:rPr>
                <w:b/>
                <w:color w:val="000000" w:themeColor="text1"/>
                <w14:textFill>
                  <w14:solidFill>
                    <w14:schemeClr w14:val="tx1"/>
                  </w14:solidFill>
                </w14:textFill>
              </w:rPr>
            </w:pPr>
            <w:r>
              <w:rPr>
                <w:b/>
                <w:color w:val="000000" w:themeColor="text1"/>
                <w14:textFill>
                  <w14:solidFill>
                    <w14:schemeClr w14:val="tx1"/>
                  </w14:solidFill>
                </w14:textFill>
              </w:rPr>
              <w:t>乡镇</w:t>
            </w:r>
          </w:p>
        </w:tc>
        <w:tc>
          <w:tcPr>
            <w:tcW w:w="3015" w:type="pct"/>
            <w:gridSpan w:val="8"/>
            <w:tcBorders>
              <w:top w:val="single" w:color="auto" w:sz="8" w:space="0"/>
              <w:left w:val="nil"/>
              <w:bottom w:val="single" w:color="auto" w:sz="8" w:space="0"/>
              <w:right w:val="single" w:color="000000" w:sz="8" w:space="0"/>
            </w:tcBorders>
            <w:shd w:val="clear" w:color="auto" w:fill="auto"/>
            <w:vAlign w:val="center"/>
          </w:tcPr>
          <w:p w14:paraId="5861C820">
            <w:pPr>
              <w:pStyle w:val="476"/>
              <w:rPr>
                <w:b/>
                <w:color w:val="000000" w:themeColor="text1"/>
                <w14:textFill>
                  <w14:solidFill>
                    <w14:schemeClr w14:val="tx1"/>
                  </w14:solidFill>
                </w14:textFill>
              </w:rPr>
            </w:pPr>
            <w:r>
              <w:rPr>
                <w:b/>
                <w:color w:val="000000" w:themeColor="text1"/>
                <w14:textFill>
                  <w14:solidFill>
                    <w14:schemeClr w14:val="tx1"/>
                  </w14:solidFill>
                </w14:textFill>
              </w:rPr>
              <w:t>村庄概况</w:t>
            </w:r>
          </w:p>
        </w:tc>
        <w:tc>
          <w:tcPr>
            <w:tcW w:w="1580" w:type="pct"/>
            <w:gridSpan w:val="3"/>
            <w:tcBorders>
              <w:top w:val="single" w:color="auto" w:sz="8" w:space="0"/>
              <w:left w:val="nil"/>
              <w:bottom w:val="single" w:color="auto" w:sz="8" w:space="0"/>
              <w:right w:val="single" w:color="000000" w:sz="8" w:space="0"/>
            </w:tcBorders>
            <w:shd w:val="clear" w:color="auto" w:fill="auto"/>
            <w:vAlign w:val="center"/>
          </w:tcPr>
          <w:p w14:paraId="5A3B35AF">
            <w:pPr>
              <w:pStyle w:val="476"/>
              <w:rPr>
                <w:b/>
                <w:color w:val="000000" w:themeColor="text1"/>
                <w14:textFill>
                  <w14:solidFill>
                    <w14:schemeClr w14:val="tx1"/>
                  </w14:solidFill>
                </w14:textFill>
              </w:rPr>
            </w:pPr>
            <w:r>
              <w:rPr>
                <w:b/>
                <w:color w:val="000000" w:themeColor="text1"/>
                <w14:textFill>
                  <w14:solidFill>
                    <w14:schemeClr w14:val="tx1"/>
                  </w14:solidFill>
                </w14:textFill>
              </w:rPr>
              <w:t>具体改造建议</w:t>
            </w:r>
          </w:p>
        </w:tc>
      </w:tr>
      <w:tr w14:paraId="41616220">
        <w:tblPrEx>
          <w:tblCellMar>
            <w:top w:w="0" w:type="dxa"/>
            <w:left w:w="57" w:type="dxa"/>
            <w:bottom w:w="28" w:type="dxa"/>
            <w:right w:w="57" w:type="dxa"/>
          </w:tblCellMar>
        </w:tblPrEx>
        <w:trPr>
          <w:trHeight w:val="567" w:hRule="atLeast"/>
          <w:tblHeader/>
          <w:jc w:val="center"/>
        </w:trPr>
        <w:tc>
          <w:tcPr>
            <w:tcW w:w="201" w:type="pct"/>
            <w:vMerge w:val="continue"/>
            <w:tcBorders>
              <w:top w:val="single" w:color="auto" w:sz="8" w:space="0"/>
              <w:left w:val="single" w:color="auto" w:sz="8" w:space="0"/>
              <w:bottom w:val="single" w:color="000000" w:sz="8" w:space="0"/>
              <w:right w:val="single" w:color="auto" w:sz="8" w:space="0"/>
            </w:tcBorders>
            <w:shd w:val="clear" w:color="auto" w:fill="auto"/>
            <w:vAlign w:val="center"/>
          </w:tcPr>
          <w:p w14:paraId="4E3065B0">
            <w:pPr>
              <w:pStyle w:val="476"/>
              <w:rPr>
                <w:b/>
                <w:color w:val="000000" w:themeColor="text1"/>
                <w14:textFill>
                  <w14:solidFill>
                    <w14:schemeClr w14:val="tx1"/>
                  </w14:solidFill>
                </w14:textFill>
              </w:rPr>
            </w:pPr>
          </w:p>
        </w:tc>
        <w:tc>
          <w:tcPr>
            <w:tcW w:w="202" w:type="pct"/>
            <w:vMerge w:val="continue"/>
            <w:tcBorders>
              <w:top w:val="single" w:color="auto" w:sz="8" w:space="0"/>
              <w:left w:val="single" w:color="auto" w:sz="8" w:space="0"/>
              <w:bottom w:val="single" w:color="000000" w:sz="8" w:space="0"/>
              <w:right w:val="single" w:color="auto" w:sz="8" w:space="0"/>
            </w:tcBorders>
            <w:shd w:val="clear" w:color="auto" w:fill="auto"/>
            <w:vAlign w:val="center"/>
          </w:tcPr>
          <w:p w14:paraId="06546105">
            <w:pPr>
              <w:pStyle w:val="476"/>
              <w:rPr>
                <w:b/>
                <w:color w:val="000000" w:themeColor="text1"/>
                <w14:textFill>
                  <w14:solidFill>
                    <w14:schemeClr w14:val="tx1"/>
                  </w14:solidFill>
                </w14:textFill>
              </w:rPr>
            </w:pPr>
          </w:p>
        </w:tc>
        <w:tc>
          <w:tcPr>
            <w:tcW w:w="312" w:type="pct"/>
            <w:tcBorders>
              <w:top w:val="nil"/>
              <w:left w:val="nil"/>
              <w:bottom w:val="single" w:color="auto" w:sz="8" w:space="0"/>
              <w:right w:val="single" w:color="auto" w:sz="8" w:space="0"/>
            </w:tcBorders>
            <w:shd w:val="clear" w:color="auto" w:fill="auto"/>
            <w:vAlign w:val="center"/>
          </w:tcPr>
          <w:p w14:paraId="20845764">
            <w:pPr>
              <w:pStyle w:val="476"/>
              <w:rPr>
                <w:b/>
                <w:color w:val="000000" w:themeColor="text1"/>
                <w14:textFill>
                  <w14:solidFill>
                    <w14:schemeClr w14:val="tx1"/>
                  </w14:solidFill>
                </w14:textFill>
              </w:rPr>
            </w:pPr>
            <w:r>
              <w:rPr>
                <w:b/>
                <w:color w:val="000000" w:themeColor="text1"/>
                <w14:textFill>
                  <w14:solidFill>
                    <w14:schemeClr w14:val="tx1"/>
                  </w14:solidFill>
                </w14:textFill>
              </w:rPr>
              <w:t>行政村名</w:t>
            </w:r>
          </w:p>
        </w:tc>
        <w:tc>
          <w:tcPr>
            <w:tcW w:w="310" w:type="pct"/>
            <w:tcBorders>
              <w:top w:val="nil"/>
              <w:left w:val="nil"/>
              <w:bottom w:val="single" w:color="auto" w:sz="8" w:space="0"/>
              <w:right w:val="single" w:color="auto" w:sz="8" w:space="0"/>
            </w:tcBorders>
            <w:shd w:val="clear" w:color="auto" w:fill="auto"/>
            <w:vAlign w:val="center"/>
          </w:tcPr>
          <w:p w14:paraId="7A054A23">
            <w:pPr>
              <w:pStyle w:val="476"/>
              <w:rPr>
                <w:b/>
                <w:color w:val="000000" w:themeColor="text1"/>
                <w14:textFill>
                  <w14:solidFill>
                    <w14:schemeClr w14:val="tx1"/>
                  </w14:solidFill>
                </w14:textFill>
              </w:rPr>
            </w:pPr>
            <w:r>
              <w:rPr>
                <w:b/>
                <w:color w:val="000000" w:themeColor="text1"/>
                <w14:textFill>
                  <w14:solidFill>
                    <w14:schemeClr w14:val="tx1"/>
                  </w14:solidFill>
                </w14:textFill>
              </w:rPr>
              <w:t>设施数量（座）</w:t>
            </w:r>
          </w:p>
        </w:tc>
        <w:tc>
          <w:tcPr>
            <w:tcW w:w="359" w:type="pct"/>
            <w:tcBorders>
              <w:top w:val="nil"/>
              <w:left w:val="nil"/>
              <w:bottom w:val="single" w:color="auto" w:sz="8" w:space="0"/>
              <w:right w:val="single" w:color="auto" w:sz="8" w:space="0"/>
            </w:tcBorders>
            <w:shd w:val="clear" w:color="auto" w:fill="auto"/>
            <w:vAlign w:val="center"/>
          </w:tcPr>
          <w:p w14:paraId="367E3E88">
            <w:pPr>
              <w:pStyle w:val="476"/>
              <w:rPr>
                <w:b/>
                <w:color w:val="000000" w:themeColor="text1"/>
                <w14:textFill>
                  <w14:solidFill>
                    <w14:schemeClr w14:val="tx1"/>
                  </w14:solidFill>
                </w14:textFill>
              </w:rPr>
            </w:pPr>
            <w:r>
              <w:rPr>
                <w:b/>
                <w:color w:val="000000" w:themeColor="text1"/>
                <w14:textFill>
                  <w14:solidFill>
                    <w14:schemeClr w14:val="tx1"/>
                  </w14:solidFill>
                </w14:textFill>
              </w:rPr>
              <w:t>设计规模</w:t>
            </w:r>
          </w:p>
          <w:p w14:paraId="6CE370DD">
            <w:pPr>
              <w:pStyle w:val="476"/>
              <w:rPr>
                <w:b/>
                <w:color w:val="000000" w:themeColor="text1"/>
                <w14:textFill>
                  <w14:solidFill>
                    <w14:schemeClr w14:val="tx1"/>
                  </w14:solidFill>
                </w14:textFill>
              </w:rPr>
            </w:pPr>
            <w:r>
              <w:rPr>
                <w:b/>
                <w:color w:val="000000" w:themeColor="text1"/>
                <w14:textFill>
                  <w14:solidFill>
                    <w14:schemeClr w14:val="tx1"/>
                  </w14:solidFill>
                </w14:textFill>
              </w:rPr>
              <w:t>（吨/天）</w:t>
            </w:r>
          </w:p>
        </w:tc>
        <w:tc>
          <w:tcPr>
            <w:tcW w:w="575" w:type="pct"/>
            <w:tcBorders>
              <w:top w:val="nil"/>
              <w:left w:val="nil"/>
              <w:bottom w:val="single" w:color="auto" w:sz="8" w:space="0"/>
              <w:right w:val="single" w:color="auto" w:sz="8" w:space="0"/>
            </w:tcBorders>
            <w:shd w:val="clear" w:color="auto" w:fill="auto"/>
            <w:vAlign w:val="center"/>
          </w:tcPr>
          <w:p w14:paraId="5D499D61">
            <w:pPr>
              <w:pStyle w:val="476"/>
              <w:rPr>
                <w:b/>
                <w:color w:val="000000" w:themeColor="text1"/>
                <w14:textFill>
                  <w14:solidFill>
                    <w14:schemeClr w14:val="tx1"/>
                  </w14:solidFill>
                </w14:textFill>
              </w:rPr>
            </w:pPr>
            <w:r>
              <w:rPr>
                <w:b/>
                <w:color w:val="000000" w:themeColor="text1"/>
                <w14:textFill>
                  <w14:solidFill>
                    <w14:schemeClr w14:val="tx1"/>
                  </w14:solidFill>
                </w14:textFill>
              </w:rPr>
              <w:t>处理工艺</w:t>
            </w:r>
          </w:p>
        </w:tc>
        <w:tc>
          <w:tcPr>
            <w:tcW w:w="532" w:type="pct"/>
            <w:tcBorders>
              <w:top w:val="nil"/>
              <w:left w:val="nil"/>
              <w:bottom w:val="single" w:color="auto" w:sz="8" w:space="0"/>
              <w:right w:val="single" w:color="auto" w:sz="8" w:space="0"/>
            </w:tcBorders>
            <w:shd w:val="clear" w:color="auto" w:fill="auto"/>
            <w:vAlign w:val="center"/>
          </w:tcPr>
          <w:p w14:paraId="6BE41CA8">
            <w:pPr>
              <w:pStyle w:val="476"/>
              <w:rPr>
                <w:b/>
                <w:color w:val="000000" w:themeColor="text1"/>
                <w14:textFill>
                  <w14:solidFill>
                    <w14:schemeClr w14:val="tx1"/>
                  </w14:solidFill>
                </w14:textFill>
              </w:rPr>
            </w:pPr>
            <w:r>
              <w:rPr>
                <w:b/>
                <w:color w:val="000000" w:themeColor="text1"/>
                <w14:textFill>
                  <w14:solidFill>
                    <w14:schemeClr w14:val="tx1"/>
                  </w14:solidFill>
                </w14:textFill>
              </w:rPr>
              <w:t>执行排放标准</w:t>
            </w:r>
          </w:p>
        </w:tc>
        <w:tc>
          <w:tcPr>
            <w:tcW w:w="382" w:type="pct"/>
            <w:tcBorders>
              <w:top w:val="nil"/>
              <w:left w:val="nil"/>
              <w:bottom w:val="single" w:color="auto" w:sz="8" w:space="0"/>
              <w:right w:val="single" w:color="auto" w:sz="8" w:space="0"/>
            </w:tcBorders>
            <w:shd w:val="clear" w:color="auto" w:fill="auto"/>
            <w:vAlign w:val="center"/>
          </w:tcPr>
          <w:p w14:paraId="74B5F319">
            <w:pPr>
              <w:pStyle w:val="476"/>
              <w:rPr>
                <w:b/>
                <w:color w:val="000000" w:themeColor="text1"/>
                <w14:textFill>
                  <w14:solidFill>
                    <w14:schemeClr w14:val="tx1"/>
                  </w14:solidFill>
                </w14:textFill>
              </w:rPr>
            </w:pPr>
            <w:r>
              <w:rPr>
                <w:b/>
                <w:color w:val="000000" w:themeColor="text1"/>
                <w14:textFill>
                  <w14:solidFill>
                    <w14:schemeClr w14:val="tx1"/>
                  </w14:solidFill>
                </w14:textFill>
              </w:rPr>
              <w:t>设施完好情况</w:t>
            </w:r>
          </w:p>
        </w:tc>
        <w:tc>
          <w:tcPr>
            <w:tcW w:w="271" w:type="pct"/>
            <w:tcBorders>
              <w:top w:val="nil"/>
              <w:left w:val="nil"/>
              <w:bottom w:val="single" w:color="auto" w:sz="8" w:space="0"/>
              <w:right w:val="single" w:color="auto" w:sz="8" w:space="0"/>
            </w:tcBorders>
            <w:shd w:val="clear" w:color="auto" w:fill="auto"/>
            <w:vAlign w:val="center"/>
          </w:tcPr>
          <w:p w14:paraId="6F14BF76">
            <w:pPr>
              <w:pStyle w:val="476"/>
              <w:rPr>
                <w:b/>
                <w:color w:val="000000" w:themeColor="text1"/>
                <w14:textFill>
                  <w14:solidFill>
                    <w14:schemeClr w14:val="tx1"/>
                  </w14:solidFill>
                </w14:textFill>
              </w:rPr>
            </w:pPr>
            <w:r>
              <w:rPr>
                <w:b/>
                <w:color w:val="000000" w:themeColor="text1"/>
                <w14:textFill>
                  <w14:solidFill>
                    <w14:schemeClr w14:val="tx1"/>
                  </w14:solidFill>
                </w14:textFill>
              </w:rPr>
              <w:t>尾水去向</w:t>
            </w:r>
          </w:p>
        </w:tc>
        <w:tc>
          <w:tcPr>
            <w:tcW w:w="271" w:type="pct"/>
            <w:tcBorders>
              <w:top w:val="nil"/>
              <w:left w:val="nil"/>
              <w:bottom w:val="single" w:color="auto" w:sz="8" w:space="0"/>
              <w:right w:val="single" w:color="auto" w:sz="8" w:space="0"/>
            </w:tcBorders>
            <w:shd w:val="clear" w:color="auto" w:fill="auto"/>
            <w:vAlign w:val="center"/>
          </w:tcPr>
          <w:p w14:paraId="2E8EAA72">
            <w:pPr>
              <w:pStyle w:val="476"/>
              <w:rPr>
                <w:b/>
                <w:color w:val="000000" w:themeColor="text1"/>
                <w14:textFill>
                  <w14:solidFill>
                    <w14:schemeClr w14:val="tx1"/>
                  </w14:solidFill>
                </w14:textFill>
              </w:rPr>
            </w:pPr>
            <w:r>
              <w:rPr>
                <w:b/>
                <w:color w:val="000000" w:themeColor="text1"/>
                <w14:textFill>
                  <w14:solidFill>
                    <w14:schemeClr w14:val="tx1"/>
                  </w14:solidFill>
                </w14:textFill>
              </w:rPr>
              <w:t>运营</w:t>
            </w:r>
          </w:p>
          <w:p w14:paraId="42DBABAB">
            <w:pPr>
              <w:pStyle w:val="476"/>
              <w:rPr>
                <w:b/>
                <w:color w:val="000000" w:themeColor="text1"/>
                <w14:textFill>
                  <w14:solidFill>
                    <w14:schemeClr w14:val="tx1"/>
                  </w14:solidFill>
                </w14:textFill>
              </w:rPr>
            </w:pPr>
            <w:r>
              <w:rPr>
                <w:b/>
                <w:color w:val="000000" w:themeColor="text1"/>
                <w14:textFill>
                  <w14:solidFill>
                    <w14:schemeClr w14:val="tx1"/>
                  </w14:solidFill>
                </w14:textFill>
              </w:rPr>
              <w:t>单位</w:t>
            </w:r>
          </w:p>
        </w:tc>
        <w:tc>
          <w:tcPr>
            <w:tcW w:w="692" w:type="pct"/>
            <w:tcBorders>
              <w:top w:val="nil"/>
              <w:left w:val="nil"/>
              <w:bottom w:val="single" w:color="auto" w:sz="8" w:space="0"/>
              <w:right w:val="single" w:color="auto" w:sz="8" w:space="0"/>
            </w:tcBorders>
            <w:shd w:val="clear" w:color="auto" w:fill="auto"/>
            <w:vAlign w:val="center"/>
          </w:tcPr>
          <w:p w14:paraId="17179FB6">
            <w:pPr>
              <w:pStyle w:val="476"/>
              <w:rPr>
                <w:b/>
                <w:color w:val="000000" w:themeColor="text1"/>
                <w14:textFill>
                  <w14:solidFill>
                    <w14:schemeClr w14:val="tx1"/>
                  </w14:solidFill>
                </w14:textFill>
              </w:rPr>
            </w:pPr>
            <w:r>
              <w:rPr>
                <w:b/>
                <w:color w:val="000000" w:themeColor="text1"/>
                <w14:textFill>
                  <w14:solidFill>
                    <w14:schemeClr w14:val="tx1"/>
                  </w14:solidFill>
                </w14:textFill>
              </w:rPr>
              <w:t>配套管网改造建议</w:t>
            </w:r>
          </w:p>
        </w:tc>
        <w:tc>
          <w:tcPr>
            <w:tcW w:w="634" w:type="pct"/>
            <w:tcBorders>
              <w:top w:val="nil"/>
              <w:left w:val="nil"/>
              <w:bottom w:val="single" w:color="auto" w:sz="8" w:space="0"/>
              <w:right w:val="single" w:color="auto" w:sz="8" w:space="0"/>
            </w:tcBorders>
            <w:shd w:val="clear" w:color="auto" w:fill="auto"/>
            <w:vAlign w:val="center"/>
          </w:tcPr>
          <w:p w14:paraId="29C3A62B">
            <w:pPr>
              <w:pStyle w:val="476"/>
              <w:rPr>
                <w:b/>
                <w:color w:val="000000" w:themeColor="text1"/>
                <w14:textFill>
                  <w14:solidFill>
                    <w14:schemeClr w14:val="tx1"/>
                  </w14:solidFill>
                </w14:textFill>
              </w:rPr>
            </w:pPr>
            <w:r>
              <w:rPr>
                <w:b/>
                <w:color w:val="000000" w:themeColor="text1"/>
                <w14:textFill>
                  <w14:solidFill>
                    <w14:schemeClr w14:val="tx1"/>
                  </w14:solidFill>
                </w14:textFill>
              </w:rPr>
              <w:t>处理设施改造建议</w:t>
            </w:r>
          </w:p>
        </w:tc>
        <w:tc>
          <w:tcPr>
            <w:tcW w:w="253" w:type="pct"/>
            <w:tcBorders>
              <w:top w:val="nil"/>
              <w:left w:val="nil"/>
              <w:bottom w:val="single" w:color="auto" w:sz="8" w:space="0"/>
              <w:right w:val="single" w:color="auto" w:sz="8" w:space="0"/>
            </w:tcBorders>
            <w:shd w:val="clear" w:color="auto" w:fill="auto"/>
            <w:vAlign w:val="center"/>
          </w:tcPr>
          <w:p w14:paraId="29BCF43D">
            <w:pPr>
              <w:pStyle w:val="476"/>
              <w:rPr>
                <w:b/>
                <w:color w:val="000000" w:themeColor="text1"/>
                <w14:textFill>
                  <w14:solidFill>
                    <w14:schemeClr w14:val="tx1"/>
                  </w14:solidFill>
                </w14:textFill>
              </w:rPr>
            </w:pPr>
            <w:r>
              <w:rPr>
                <w:b/>
                <w:color w:val="000000" w:themeColor="text1"/>
                <w14:textFill>
                  <w14:solidFill>
                    <w14:schemeClr w14:val="tx1"/>
                  </w14:solidFill>
                </w14:textFill>
              </w:rPr>
              <w:t>运行维护建议</w:t>
            </w:r>
          </w:p>
        </w:tc>
      </w:tr>
      <w:tr w14:paraId="50EFDEF2">
        <w:tblPrEx>
          <w:tblCellMar>
            <w:top w:w="0" w:type="dxa"/>
            <w:left w:w="57" w:type="dxa"/>
            <w:bottom w:w="28" w:type="dxa"/>
            <w:right w:w="57" w:type="dxa"/>
          </w:tblCellMar>
        </w:tblPrEx>
        <w:trPr>
          <w:trHeight w:val="567" w:hRule="atLeast"/>
          <w:jc w:val="center"/>
        </w:trPr>
        <w:tc>
          <w:tcPr>
            <w:tcW w:w="201" w:type="pct"/>
            <w:vMerge w:val="restart"/>
            <w:tcBorders>
              <w:top w:val="nil"/>
              <w:left w:val="single" w:color="auto" w:sz="8" w:space="0"/>
              <w:right w:val="single" w:color="auto" w:sz="8" w:space="0"/>
            </w:tcBorders>
            <w:shd w:val="clear" w:color="auto" w:fill="auto"/>
            <w:vAlign w:val="center"/>
          </w:tcPr>
          <w:p w14:paraId="7493D30E">
            <w:pPr>
              <w:pStyle w:val="476"/>
              <w:rPr>
                <w:color w:val="000000" w:themeColor="text1"/>
                <w14:textFill>
                  <w14:solidFill>
                    <w14:schemeClr w14:val="tx1"/>
                  </w14:solidFill>
                </w14:textFill>
              </w:rPr>
            </w:pPr>
            <w:r>
              <w:rPr>
                <w:color w:val="000000" w:themeColor="text1"/>
                <w14:textFill>
                  <w14:solidFill>
                    <w14:schemeClr w14:val="tx1"/>
                  </w14:solidFill>
                </w14:textFill>
              </w:rPr>
              <w:t>1</w:t>
            </w:r>
          </w:p>
        </w:tc>
        <w:tc>
          <w:tcPr>
            <w:tcW w:w="202" w:type="pct"/>
            <w:vMerge w:val="restart"/>
            <w:tcBorders>
              <w:top w:val="nil"/>
              <w:left w:val="single" w:color="auto" w:sz="8" w:space="0"/>
              <w:bottom w:val="single" w:color="000000" w:sz="8" w:space="0"/>
              <w:right w:val="single" w:color="auto" w:sz="8" w:space="0"/>
            </w:tcBorders>
            <w:shd w:val="clear" w:color="auto" w:fill="auto"/>
            <w:vAlign w:val="center"/>
          </w:tcPr>
          <w:p w14:paraId="77FFA17E">
            <w:pPr>
              <w:pStyle w:val="476"/>
              <w:rPr>
                <w:color w:val="000000" w:themeColor="text1"/>
                <w14:textFill>
                  <w14:solidFill>
                    <w14:schemeClr w14:val="tx1"/>
                  </w14:solidFill>
                </w14:textFill>
              </w:rPr>
            </w:pPr>
            <w:r>
              <w:rPr>
                <w:color w:val="000000" w:themeColor="text1"/>
                <w14:textFill>
                  <w14:solidFill>
                    <w14:schemeClr w14:val="tx1"/>
                  </w14:solidFill>
                </w14:textFill>
              </w:rPr>
              <w:t>宦</w:t>
            </w:r>
          </w:p>
          <w:p w14:paraId="054464CC">
            <w:pPr>
              <w:pStyle w:val="476"/>
              <w:rPr>
                <w:color w:val="000000" w:themeColor="text1"/>
                <w14:textFill>
                  <w14:solidFill>
                    <w14:schemeClr w14:val="tx1"/>
                  </w14:solidFill>
                </w14:textFill>
              </w:rPr>
            </w:pPr>
            <w:r>
              <w:rPr>
                <w:color w:val="000000" w:themeColor="text1"/>
                <w14:textFill>
                  <w14:solidFill>
                    <w14:schemeClr w14:val="tx1"/>
                  </w14:solidFill>
                </w14:textFill>
              </w:rPr>
              <w:t>溪</w:t>
            </w:r>
          </w:p>
          <w:p w14:paraId="281C27A7">
            <w:pPr>
              <w:pStyle w:val="476"/>
              <w:rPr>
                <w:color w:val="000000" w:themeColor="text1"/>
                <w14:textFill>
                  <w14:solidFill>
                    <w14:schemeClr w14:val="tx1"/>
                  </w14:solidFill>
                </w14:textFill>
              </w:rPr>
            </w:pPr>
            <w:r>
              <w:rPr>
                <w:color w:val="000000" w:themeColor="text1"/>
                <w14:textFill>
                  <w14:solidFill>
                    <w14:schemeClr w14:val="tx1"/>
                  </w14:solidFill>
                </w14:textFill>
              </w:rPr>
              <w:t>镇</w:t>
            </w:r>
          </w:p>
        </w:tc>
        <w:tc>
          <w:tcPr>
            <w:tcW w:w="312" w:type="pct"/>
            <w:tcBorders>
              <w:top w:val="nil"/>
              <w:left w:val="nil"/>
              <w:bottom w:val="single" w:color="auto" w:sz="8" w:space="0"/>
              <w:right w:val="single" w:color="auto" w:sz="8" w:space="0"/>
            </w:tcBorders>
            <w:shd w:val="clear" w:color="auto" w:fill="auto"/>
            <w:vAlign w:val="center"/>
          </w:tcPr>
          <w:p w14:paraId="30F13A15">
            <w:pPr>
              <w:pStyle w:val="476"/>
              <w:rPr>
                <w:color w:val="000000" w:themeColor="text1"/>
                <w14:textFill>
                  <w14:solidFill>
                    <w14:schemeClr w14:val="tx1"/>
                  </w14:solidFill>
                </w14:textFill>
              </w:rPr>
            </w:pPr>
            <w:r>
              <w:rPr>
                <w:color w:val="000000" w:themeColor="text1"/>
                <w14:textFill>
                  <w14:solidFill>
                    <w14:schemeClr w14:val="tx1"/>
                  </w14:solidFill>
                </w14:textFill>
              </w:rPr>
              <w:t>宦溪村</w:t>
            </w:r>
          </w:p>
        </w:tc>
        <w:tc>
          <w:tcPr>
            <w:tcW w:w="310" w:type="pct"/>
            <w:vMerge w:val="restart"/>
            <w:tcBorders>
              <w:top w:val="nil"/>
              <w:left w:val="nil"/>
              <w:right w:val="single" w:color="auto" w:sz="8" w:space="0"/>
            </w:tcBorders>
            <w:shd w:val="clear" w:color="auto" w:fill="auto"/>
            <w:vAlign w:val="center"/>
          </w:tcPr>
          <w:p w14:paraId="1298AF47">
            <w:pPr>
              <w:pStyle w:val="476"/>
              <w:rPr>
                <w:color w:val="000000" w:themeColor="text1"/>
                <w14:textFill>
                  <w14:solidFill>
                    <w14:schemeClr w14:val="tx1"/>
                  </w14:solidFill>
                </w14:textFill>
              </w:rPr>
            </w:pPr>
            <w:r>
              <w:rPr>
                <w:color w:val="000000" w:themeColor="text1"/>
                <w14:textFill>
                  <w14:solidFill>
                    <w14:schemeClr w14:val="tx1"/>
                  </w14:solidFill>
                </w14:textFill>
              </w:rPr>
              <w:t>1</w:t>
            </w:r>
          </w:p>
        </w:tc>
        <w:tc>
          <w:tcPr>
            <w:tcW w:w="359" w:type="pct"/>
            <w:vMerge w:val="restart"/>
            <w:tcBorders>
              <w:top w:val="nil"/>
              <w:left w:val="nil"/>
              <w:right w:val="single" w:color="auto" w:sz="8" w:space="0"/>
            </w:tcBorders>
            <w:shd w:val="clear" w:color="auto" w:fill="auto"/>
            <w:vAlign w:val="center"/>
          </w:tcPr>
          <w:p w14:paraId="02A54A8D">
            <w:pPr>
              <w:pStyle w:val="476"/>
              <w:rPr>
                <w:color w:val="000000" w:themeColor="text1"/>
                <w14:textFill>
                  <w14:solidFill>
                    <w14:schemeClr w14:val="tx1"/>
                  </w14:solidFill>
                </w14:textFill>
              </w:rPr>
            </w:pPr>
            <w:r>
              <w:rPr>
                <w:color w:val="000000" w:themeColor="text1"/>
                <w14:textFill>
                  <w14:solidFill>
                    <w14:schemeClr w14:val="tx1"/>
                  </w14:solidFill>
                </w14:textFill>
              </w:rPr>
              <w:t>500</w:t>
            </w:r>
          </w:p>
        </w:tc>
        <w:tc>
          <w:tcPr>
            <w:tcW w:w="575" w:type="pct"/>
            <w:vMerge w:val="restart"/>
            <w:tcBorders>
              <w:top w:val="nil"/>
              <w:left w:val="nil"/>
              <w:right w:val="single" w:color="auto" w:sz="8" w:space="0"/>
            </w:tcBorders>
            <w:shd w:val="clear" w:color="auto" w:fill="auto"/>
            <w:vAlign w:val="center"/>
          </w:tcPr>
          <w:p w14:paraId="7C598683">
            <w:pPr>
              <w:pStyle w:val="476"/>
              <w:rPr>
                <w:color w:val="000000" w:themeColor="text1"/>
                <w14:textFill>
                  <w14:solidFill>
                    <w14:schemeClr w14:val="tx1"/>
                  </w14:solidFill>
                </w14:textFill>
              </w:rPr>
            </w:pPr>
            <w:r>
              <w:rPr>
                <w:color w:val="000000" w:themeColor="text1"/>
                <w14:textFill>
                  <w14:solidFill>
                    <w14:schemeClr w14:val="tx1"/>
                  </w14:solidFill>
                </w14:textFill>
              </w:rPr>
              <w:t>格栅－调节－A</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/O－斜板沉淀池－曝气滤池－重力无阀过滤池－加氯消毒－出水</w:t>
            </w:r>
          </w:p>
        </w:tc>
        <w:tc>
          <w:tcPr>
            <w:tcW w:w="532" w:type="pct"/>
            <w:vMerge w:val="restart"/>
            <w:tcBorders>
              <w:top w:val="nil"/>
              <w:left w:val="nil"/>
              <w:right w:val="single" w:color="auto" w:sz="8" w:space="0"/>
            </w:tcBorders>
            <w:shd w:val="clear" w:color="auto" w:fill="auto"/>
            <w:vAlign w:val="center"/>
          </w:tcPr>
          <w:p w14:paraId="37F624F2">
            <w:pPr>
              <w:pStyle w:val="476"/>
              <w:rPr>
                <w:color w:val="000000" w:themeColor="text1"/>
                <w14:textFill>
                  <w14:solidFill>
                    <w14:schemeClr w14:val="tx1"/>
                  </w14:solidFill>
                </w14:textFill>
              </w:rPr>
            </w:pPr>
            <w:r>
              <w:rPr>
                <w:color w:val="000000" w:themeColor="text1"/>
                <w14:textFill>
                  <w14:solidFill>
                    <w14:schemeClr w14:val="tx1"/>
                  </w14:solidFill>
                </w14:textFill>
              </w:rPr>
              <w:t>《GB18918-2002》一级A</w:t>
            </w:r>
          </w:p>
        </w:tc>
        <w:tc>
          <w:tcPr>
            <w:tcW w:w="382" w:type="pct"/>
            <w:vMerge w:val="restart"/>
            <w:tcBorders>
              <w:top w:val="nil"/>
              <w:left w:val="nil"/>
              <w:right w:val="single" w:color="auto" w:sz="8" w:space="0"/>
            </w:tcBorders>
            <w:shd w:val="clear" w:color="auto" w:fill="auto"/>
            <w:vAlign w:val="center"/>
          </w:tcPr>
          <w:p w14:paraId="6B284A88">
            <w:pPr>
              <w:pStyle w:val="476"/>
              <w:rPr>
                <w:color w:val="000000" w:themeColor="text1"/>
                <w14:textFill>
                  <w14:solidFill>
                    <w14:schemeClr w14:val="tx1"/>
                  </w14:solidFill>
                </w14:textFill>
              </w:rPr>
            </w:pPr>
            <w:r>
              <w:rPr>
                <w:color w:val="000000" w:themeColor="text1"/>
                <w14:textFill>
                  <w14:solidFill>
                    <w14:schemeClr w14:val="tx1"/>
                  </w14:solidFill>
                </w14:textFill>
              </w:rPr>
              <w:t>完好</w:t>
            </w:r>
          </w:p>
        </w:tc>
        <w:tc>
          <w:tcPr>
            <w:tcW w:w="271" w:type="pct"/>
            <w:vMerge w:val="restart"/>
            <w:tcBorders>
              <w:top w:val="nil"/>
              <w:left w:val="nil"/>
              <w:right w:val="single" w:color="auto" w:sz="8" w:space="0"/>
            </w:tcBorders>
            <w:shd w:val="clear" w:color="auto" w:fill="auto"/>
            <w:vAlign w:val="center"/>
          </w:tcPr>
          <w:p w14:paraId="30042504">
            <w:pPr>
              <w:pStyle w:val="476"/>
              <w:rPr>
                <w:color w:val="000000" w:themeColor="text1"/>
                <w14:textFill>
                  <w14:solidFill>
                    <w14:schemeClr w14:val="tx1"/>
                  </w14:solidFill>
                </w14:textFill>
              </w:rPr>
            </w:pPr>
            <w:r>
              <w:rPr>
                <w:color w:val="000000" w:themeColor="text1"/>
                <w14:textFill>
                  <w14:solidFill>
                    <w14:schemeClr w14:val="tx1"/>
                  </w14:solidFill>
                </w14:textFill>
              </w:rPr>
              <w:t>河</w:t>
            </w:r>
          </w:p>
        </w:tc>
        <w:tc>
          <w:tcPr>
            <w:tcW w:w="271" w:type="pct"/>
            <w:vMerge w:val="restart"/>
            <w:tcBorders>
              <w:top w:val="nil"/>
              <w:left w:val="nil"/>
              <w:right w:val="single" w:color="auto" w:sz="8" w:space="0"/>
            </w:tcBorders>
            <w:shd w:val="clear" w:color="auto" w:fill="auto"/>
            <w:vAlign w:val="center"/>
          </w:tcPr>
          <w:p w14:paraId="0195F74E">
            <w:pPr>
              <w:pStyle w:val="476"/>
              <w:rPr>
                <w:color w:val="000000" w:themeColor="text1"/>
                <w14:textFill>
                  <w14:solidFill>
                    <w14:schemeClr w14:val="tx1"/>
                  </w14:solidFill>
                </w14:textFill>
              </w:rPr>
            </w:pPr>
            <w:r>
              <w:rPr>
                <w:color w:val="000000" w:themeColor="text1"/>
                <w14:textFill>
                  <w14:solidFill>
                    <w14:schemeClr w14:val="tx1"/>
                  </w14:solidFill>
                </w14:textFill>
              </w:rPr>
              <w:t>海环</w:t>
            </w:r>
          </w:p>
        </w:tc>
        <w:tc>
          <w:tcPr>
            <w:tcW w:w="692" w:type="pct"/>
            <w:vMerge w:val="restart"/>
            <w:tcBorders>
              <w:top w:val="nil"/>
              <w:left w:val="nil"/>
              <w:right w:val="single" w:color="auto" w:sz="8" w:space="0"/>
            </w:tcBorders>
            <w:shd w:val="clear" w:color="auto" w:fill="auto"/>
            <w:vAlign w:val="center"/>
          </w:tcPr>
          <w:p w14:paraId="10544169">
            <w:pPr>
              <w:pStyle w:val="476"/>
              <w:rPr>
                <w:color w:val="000000" w:themeColor="text1"/>
                <w14:textFill>
                  <w14:solidFill>
                    <w14:schemeClr w14:val="tx1"/>
                  </w14:solidFill>
                </w14:textFill>
              </w:rPr>
            </w:pPr>
            <w:r>
              <w:rPr>
                <w:color w:val="000000" w:themeColor="text1"/>
                <w14:textFill>
                  <w14:solidFill>
                    <w14:schemeClr w14:val="tx1"/>
                  </w14:solidFill>
                </w14:textFill>
              </w:rPr>
              <w:t>厂外未按标准化建设的管网须进行提标改造，修复破损管网，增加入户支管</w:t>
            </w:r>
          </w:p>
        </w:tc>
        <w:tc>
          <w:tcPr>
            <w:tcW w:w="634" w:type="pct"/>
            <w:vMerge w:val="restart"/>
            <w:tcBorders>
              <w:top w:val="nil"/>
              <w:left w:val="nil"/>
              <w:right w:val="single" w:color="auto" w:sz="8" w:space="0"/>
            </w:tcBorders>
            <w:shd w:val="clear" w:color="auto" w:fill="auto"/>
            <w:vAlign w:val="center"/>
          </w:tcPr>
          <w:p w14:paraId="29740F92">
            <w:pPr>
              <w:pStyle w:val="476"/>
              <w:rPr>
                <w:color w:val="000000" w:themeColor="text1"/>
                <w14:textFill>
                  <w14:solidFill>
                    <w14:schemeClr w14:val="tx1"/>
                  </w14:solidFill>
                </w14:textFill>
              </w:rPr>
            </w:pPr>
            <w:r>
              <w:rPr>
                <w:color w:val="000000" w:themeColor="text1"/>
                <w14:textFill>
                  <w14:solidFill>
                    <w14:schemeClr w14:val="tx1"/>
                  </w14:solidFill>
                </w14:textFill>
              </w:rPr>
              <w:t>维修</w:t>
            </w:r>
            <w:r>
              <w:rPr>
                <w:color w:val="000000" w:themeColor="text1"/>
                <w:kern w:val="28"/>
                <w14:textFill>
                  <w14:solidFill>
                    <w14:schemeClr w14:val="tx1"/>
                  </w14:solidFill>
                </w14:textFill>
              </w:rPr>
              <w:t>斜板、</w:t>
            </w:r>
            <w:r>
              <w:rPr>
                <w:color w:val="000000" w:themeColor="text1"/>
                <w14:textFill>
                  <w14:solidFill>
                    <w14:schemeClr w14:val="tx1"/>
                  </w14:solidFill>
                </w14:textFill>
              </w:rPr>
              <w:t>污水管道及检查井</w:t>
            </w:r>
          </w:p>
          <w:p w14:paraId="33F632CF">
            <w:pPr>
              <w:pStyle w:val="476"/>
              <w:rPr>
                <w:color w:val="000000" w:themeColor="text1"/>
                <w14:textFill>
                  <w14:solidFill>
                    <w14:schemeClr w14:val="tx1"/>
                  </w14:solidFill>
                </w14:textFill>
              </w:rPr>
            </w:pPr>
            <w:r>
              <w:rPr>
                <w:color w:val="000000" w:themeColor="text1"/>
                <w14:textFill>
                  <w14:solidFill>
                    <w14:schemeClr w14:val="tx1"/>
                  </w14:solidFill>
                </w14:textFill>
              </w:rPr>
              <w:t>提升改造三格式化粪池</w:t>
            </w:r>
          </w:p>
        </w:tc>
        <w:tc>
          <w:tcPr>
            <w:tcW w:w="253" w:type="pct"/>
            <w:vMerge w:val="restart"/>
            <w:tcBorders>
              <w:top w:val="nil"/>
              <w:left w:val="nil"/>
              <w:right w:val="single" w:color="auto" w:sz="8" w:space="0"/>
            </w:tcBorders>
            <w:shd w:val="clear" w:color="auto" w:fill="auto"/>
            <w:vAlign w:val="center"/>
          </w:tcPr>
          <w:p w14:paraId="67F38AA8">
            <w:pPr>
              <w:pStyle w:val="476"/>
              <w:rPr>
                <w:color w:val="000000" w:themeColor="text1"/>
                <w14:textFill>
                  <w14:solidFill>
                    <w14:schemeClr w14:val="tx1"/>
                  </w14:solidFill>
                </w14:textFill>
              </w:rPr>
            </w:pPr>
            <w:r>
              <w:rPr>
                <w:color w:val="000000" w:themeColor="text1"/>
                <w14:textFill>
                  <w14:solidFill>
                    <w14:schemeClr w14:val="tx1"/>
                  </w14:solidFill>
                </w14:textFill>
              </w:rPr>
              <w:t>定期检查维护</w:t>
            </w:r>
          </w:p>
        </w:tc>
      </w:tr>
      <w:tr w14:paraId="4113BC83">
        <w:tblPrEx>
          <w:tblCellMar>
            <w:top w:w="0" w:type="dxa"/>
            <w:left w:w="57" w:type="dxa"/>
            <w:bottom w:w="28" w:type="dxa"/>
            <w:right w:w="57" w:type="dxa"/>
          </w:tblCellMar>
        </w:tblPrEx>
        <w:trPr>
          <w:trHeight w:val="567" w:hRule="atLeast"/>
          <w:jc w:val="center"/>
        </w:trPr>
        <w:tc>
          <w:tcPr>
            <w:tcW w:w="201" w:type="pct"/>
            <w:vMerge w:val="continue"/>
            <w:tcBorders>
              <w:left w:val="single" w:color="auto" w:sz="8" w:space="0"/>
              <w:right w:val="single" w:color="auto" w:sz="8" w:space="0"/>
            </w:tcBorders>
            <w:shd w:val="clear" w:color="auto" w:fill="auto"/>
            <w:vAlign w:val="center"/>
          </w:tcPr>
          <w:p w14:paraId="70346580">
            <w:pPr>
              <w:pStyle w:val="476"/>
              <w:rPr>
                <w:color w:val="000000" w:themeColor="text1"/>
                <w14:textFill>
                  <w14:solidFill>
                    <w14:schemeClr w14:val="tx1"/>
                  </w14:solidFill>
                </w14:textFill>
              </w:rPr>
            </w:pPr>
          </w:p>
        </w:tc>
        <w:tc>
          <w:tcPr>
            <w:tcW w:w="202" w:type="pct"/>
            <w:vMerge w:val="continue"/>
            <w:tcBorders>
              <w:top w:val="nil"/>
              <w:left w:val="single" w:color="auto" w:sz="8" w:space="0"/>
              <w:bottom w:val="single" w:color="000000" w:sz="8" w:space="0"/>
              <w:right w:val="single" w:color="auto" w:sz="8" w:space="0"/>
            </w:tcBorders>
            <w:vAlign w:val="center"/>
          </w:tcPr>
          <w:p w14:paraId="2F0C7831">
            <w:pPr>
              <w:pStyle w:val="476"/>
              <w:rPr>
                <w:color w:val="000000" w:themeColor="text1"/>
                <w14:textFill>
                  <w14:solidFill>
                    <w14:schemeClr w14:val="tx1"/>
                  </w14:solidFill>
                </w14:textFill>
              </w:rPr>
            </w:pPr>
          </w:p>
        </w:tc>
        <w:tc>
          <w:tcPr>
            <w:tcW w:w="312" w:type="pct"/>
            <w:tcBorders>
              <w:top w:val="nil"/>
              <w:left w:val="nil"/>
              <w:bottom w:val="single" w:color="auto" w:sz="8" w:space="0"/>
              <w:right w:val="single" w:color="auto" w:sz="8" w:space="0"/>
            </w:tcBorders>
            <w:shd w:val="clear" w:color="auto" w:fill="auto"/>
            <w:vAlign w:val="center"/>
          </w:tcPr>
          <w:p w14:paraId="5631A1B2">
            <w:pPr>
              <w:pStyle w:val="476"/>
              <w:rPr>
                <w:color w:val="000000" w:themeColor="text1"/>
                <w14:textFill>
                  <w14:solidFill>
                    <w14:schemeClr w14:val="tx1"/>
                  </w14:solidFill>
                </w14:textFill>
              </w:rPr>
            </w:pPr>
            <w:r>
              <w:rPr>
                <w:color w:val="000000" w:themeColor="text1"/>
                <w14:textFill>
                  <w14:solidFill>
                    <w14:schemeClr w14:val="tx1"/>
                  </w14:solidFill>
                </w14:textFill>
              </w:rPr>
              <w:t>牛项村</w:t>
            </w:r>
          </w:p>
        </w:tc>
        <w:tc>
          <w:tcPr>
            <w:tcW w:w="310" w:type="pct"/>
            <w:vMerge w:val="continue"/>
            <w:tcBorders>
              <w:left w:val="nil"/>
              <w:right w:val="single" w:color="auto" w:sz="8" w:space="0"/>
            </w:tcBorders>
            <w:shd w:val="clear" w:color="auto" w:fill="auto"/>
            <w:vAlign w:val="center"/>
          </w:tcPr>
          <w:p w14:paraId="514D7CD1">
            <w:pPr>
              <w:pStyle w:val="476"/>
              <w:rPr>
                <w:color w:val="000000" w:themeColor="text1"/>
                <w14:textFill>
                  <w14:solidFill>
                    <w14:schemeClr w14:val="tx1"/>
                  </w14:solidFill>
                </w14:textFill>
              </w:rPr>
            </w:pPr>
          </w:p>
        </w:tc>
        <w:tc>
          <w:tcPr>
            <w:tcW w:w="359" w:type="pct"/>
            <w:vMerge w:val="continue"/>
            <w:tcBorders>
              <w:left w:val="nil"/>
              <w:right w:val="single" w:color="auto" w:sz="8" w:space="0"/>
            </w:tcBorders>
            <w:shd w:val="clear" w:color="auto" w:fill="auto"/>
            <w:vAlign w:val="center"/>
          </w:tcPr>
          <w:p w14:paraId="41F0DC11">
            <w:pPr>
              <w:pStyle w:val="476"/>
              <w:rPr>
                <w:color w:val="000000" w:themeColor="text1"/>
                <w14:textFill>
                  <w14:solidFill>
                    <w14:schemeClr w14:val="tx1"/>
                  </w14:solidFill>
                </w14:textFill>
              </w:rPr>
            </w:pPr>
          </w:p>
        </w:tc>
        <w:tc>
          <w:tcPr>
            <w:tcW w:w="575" w:type="pct"/>
            <w:vMerge w:val="continue"/>
            <w:tcBorders>
              <w:left w:val="nil"/>
              <w:right w:val="single" w:color="auto" w:sz="8" w:space="0"/>
            </w:tcBorders>
            <w:shd w:val="clear" w:color="auto" w:fill="auto"/>
            <w:vAlign w:val="center"/>
          </w:tcPr>
          <w:p w14:paraId="16A3DA47">
            <w:pPr>
              <w:pStyle w:val="476"/>
              <w:rPr>
                <w:color w:val="000000" w:themeColor="text1"/>
                <w14:textFill>
                  <w14:solidFill>
                    <w14:schemeClr w14:val="tx1"/>
                  </w14:solidFill>
                </w14:textFill>
              </w:rPr>
            </w:pPr>
          </w:p>
        </w:tc>
        <w:tc>
          <w:tcPr>
            <w:tcW w:w="532" w:type="pct"/>
            <w:vMerge w:val="continue"/>
            <w:tcBorders>
              <w:left w:val="nil"/>
              <w:right w:val="single" w:color="auto" w:sz="8" w:space="0"/>
            </w:tcBorders>
            <w:shd w:val="clear" w:color="auto" w:fill="auto"/>
            <w:vAlign w:val="center"/>
          </w:tcPr>
          <w:p w14:paraId="0CCF342A">
            <w:pPr>
              <w:pStyle w:val="476"/>
              <w:rPr>
                <w:color w:val="000000" w:themeColor="text1"/>
                <w14:textFill>
                  <w14:solidFill>
                    <w14:schemeClr w14:val="tx1"/>
                  </w14:solidFill>
                </w14:textFill>
              </w:rPr>
            </w:pPr>
          </w:p>
        </w:tc>
        <w:tc>
          <w:tcPr>
            <w:tcW w:w="382" w:type="pct"/>
            <w:vMerge w:val="continue"/>
            <w:tcBorders>
              <w:left w:val="nil"/>
              <w:right w:val="single" w:color="auto" w:sz="8" w:space="0"/>
            </w:tcBorders>
            <w:shd w:val="clear" w:color="auto" w:fill="auto"/>
            <w:vAlign w:val="center"/>
          </w:tcPr>
          <w:p w14:paraId="368800E6">
            <w:pPr>
              <w:pStyle w:val="476"/>
              <w:rPr>
                <w:color w:val="000000" w:themeColor="text1"/>
                <w14:textFill>
                  <w14:solidFill>
                    <w14:schemeClr w14:val="tx1"/>
                  </w14:solidFill>
                </w14:textFill>
              </w:rPr>
            </w:pPr>
          </w:p>
        </w:tc>
        <w:tc>
          <w:tcPr>
            <w:tcW w:w="271" w:type="pct"/>
            <w:vMerge w:val="continue"/>
            <w:tcBorders>
              <w:left w:val="nil"/>
              <w:right w:val="single" w:color="auto" w:sz="8" w:space="0"/>
            </w:tcBorders>
            <w:shd w:val="clear" w:color="auto" w:fill="auto"/>
            <w:vAlign w:val="center"/>
          </w:tcPr>
          <w:p w14:paraId="13E34AF9">
            <w:pPr>
              <w:pStyle w:val="476"/>
              <w:rPr>
                <w:color w:val="000000" w:themeColor="text1"/>
                <w14:textFill>
                  <w14:solidFill>
                    <w14:schemeClr w14:val="tx1"/>
                  </w14:solidFill>
                </w14:textFill>
              </w:rPr>
            </w:pPr>
          </w:p>
        </w:tc>
        <w:tc>
          <w:tcPr>
            <w:tcW w:w="271" w:type="pct"/>
            <w:vMerge w:val="continue"/>
            <w:tcBorders>
              <w:left w:val="nil"/>
              <w:right w:val="single" w:color="auto" w:sz="8" w:space="0"/>
            </w:tcBorders>
            <w:shd w:val="clear" w:color="auto" w:fill="auto"/>
            <w:vAlign w:val="center"/>
          </w:tcPr>
          <w:p w14:paraId="016F875A">
            <w:pPr>
              <w:pStyle w:val="476"/>
              <w:rPr>
                <w:color w:val="000000" w:themeColor="text1"/>
                <w14:textFill>
                  <w14:solidFill>
                    <w14:schemeClr w14:val="tx1"/>
                  </w14:solidFill>
                </w14:textFill>
              </w:rPr>
            </w:pPr>
          </w:p>
        </w:tc>
        <w:tc>
          <w:tcPr>
            <w:tcW w:w="692" w:type="pct"/>
            <w:vMerge w:val="continue"/>
            <w:tcBorders>
              <w:left w:val="nil"/>
              <w:right w:val="single" w:color="auto" w:sz="8" w:space="0"/>
            </w:tcBorders>
            <w:shd w:val="clear" w:color="auto" w:fill="auto"/>
            <w:vAlign w:val="center"/>
          </w:tcPr>
          <w:p w14:paraId="7C1D632C">
            <w:pPr>
              <w:pStyle w:val="476"/>
              <w:rPr>
                <w:color w:val="000000" w:themeColor="text1"/>
                <w14:textFill>
                  <w14:solidFill>
                    <w14:schemeClr w14:val="tx1"/>
                  </w14:solidFill>
                </w14:textFill>
              </w:rPr>
            </w:pPr>
          </w:p>
        </w:tc>
        <w:tc>
          <w:tcPr>
            <w:tcW w:w="634" w:type="pct"/>
            <w:vMerge w:val="continue"/>
            <w:tcBorders>
              <w:left w:val="nil"/>
              <w:right w:val="single" w:color="auto" w:sz="8" w:space="0"/>
            </w:tcBorders>
            <w:shd w:val="clear" w:color="auto" w:fill="auto"/>
            <w:vAlign w:val="center"/>
          </w:tcPr>
          <w:p w14:paraId="230C93B8">
            <w:pPr>
              <w:pStyle w:val="476"/>
              <w:rPr>
                <w:color w:val="000000" w:themeColor="text1"/>
                <w14:textFill>
                  <w14:solidFill>
                    <w14:schemeClr w14:val="tx1"/>
                  </w14:solidFill>
                </w14:textFill>
              </w:rPr>
            </w:pPr>
          </w:p>
        </w:tc>
        <w:tc>
          <w:tcPr>
            <w:tcW w:w="253" w:type="pct"/>
            <w:vMerge w:val="continue"/>
            <w:tcBorders>
              <w:left w:val="nil"/>
              <w:right w:val="single" w:color="auto" w:sz="8" w:space="0"/>
            </w:tcBorders>
            <w:shd w:val="clear" w:color="auto" w:fill="auto"/>
            <w:vAlign w:val="center"/>
          </w:tcPr>
          <w:p w14:paraId="4807042A">
            <w:pPr>
              <w:pStyle w:val="476"/>
              <w:rPr>
                <w:color w:val="000000" w:themeColor="text1"/>
                <w14:textFill>
                  <w14:solidFill>
                    <w14:schemeClr w14:val="tx1"/>
                  </w14:solidFill>
                </w14:textFill>
              </w:rPr>
            </w:pPr>
          </w:p>
        </w:tc>
      </w:tr>
      <w:tr w14:paraId="528BDC41">
        <w:tblPrEx>
          <w:tblCellMar>
            <w:top w:w="0" w:type="dxa"/>
            <w:left w:w="57" w:type="dxa"/>
            <w:bottom w:w="28" w:type="dxa"/>
            <w:right w:w="57" w:type="dxa"/>
          </w:tblCellMar>
        </w:tblPrEx>
        <w:trPr>
          <w:trHeight w:val="567" w:hRule="atLeast"/>
          <w:jc w:val="center"/>
        </w:trPr>
        <w:tc>
          <w:tcPr>
            <w:tcW w:w="201" w:type="pct"/>
            <w:vMerge w:val="continue"/>
            <w:tcBorders>
              <w:left w:val="single" w:color="auto" w:sz="8" w:space="0"/>
              <w:bottom w:val="single" w:color="auto" w:sz="8" w:space="0"/>
              <w:right w:val="single" w:color="auto" w:sz="8" w:space="0"/>
            </w:tcBorders>
            <w:shd w:val="clear" w:color="auto" w:fill="auto"/>
            <w:vAlign w:val="center"/>
          </w:tcPr>
          <w:p w14:paraId="756D45E0">
            <w:pPr>
              <w:pStyle w:val="476"/>
              <w:rPr>
                <w:color w:val="000000" w:themeColor="text1"/>
                <w14:textFill>
                  <w14:solidFill>
                    <w14:schemeClr w14:val="tx1"/>
                  </w14:solidFill>
                </w14:textFill>
              </w:rPr>
            </w:pPr>
          </w:p>
        </w:tc>
        <w:tc>
          <w:tcPr>
            <w:tcW w:w="202" w:type="pct"/>
            <w:vMerge w:val="continue"/>
            <w:tcBorders>
              <w:top w:val="nil"/>
              <w:left w:val="single" w:color="auto" w:sz="8" w:space="0"/>
              <w:bottom w:val="single" w:color="000000" w:sz="8" w:space="0"/>
              <w:right w:val="single" w:color="auto" w:sz="8" w:space="0"/>
            </w:tcBorders>
            <w:vAlign w:val="center"/>
          </w:tcPr>
          <w:p w14:paraId="61A2F63C">
            <w:pPr>
              <w:pStyle w:val="476"/>
              <w:rPr>
                <w:color w:val="000000" w:themeColor="text1"/>
                <w14:textFill>
                  <w14:solidFill>
                    <w14:schemeClr w14:val="tx1"/>
                  </w14:solidFill>
                </w14:textFill>
              </w:rPr>
            </w:pPr>
          </w:p>
        </w:tc>
        <w:tc>
          <w:tcPr>
            <w:tcW w:w="312" w:type="pct"/>
            <w:tcBorders>
              <w:top w:val="nil"/>
              <w:left w:val="nil"/>
              <w:bottom w:val="single" w:color="auto" w:sz="8" w:space="0"/>
              <w:right w:val="single" w:color="auto" w:sz="8" w:space="0"/>
            </w:tcBorders>
            <w:shd w:val="clear" w:color="auto" w:fill="auto"/>
            <w:vAlign w:val="center"/>
          </w:tcPr>
          <w:p w14:paraId="1C60E6EE">
            <w:pPr>
              <w:pStyle w:val="476"/>
              <w:rPr>
                <w:color w:val="000000" w:themeColor="text1"/>
                <w14:textFill>
                  <w14:solidFill>
                    <w14:schemeClr w14:val="tx1"/>
                  </w14:solidFill>
                </w14:textFill>
              </w:rPr>
            </w:pPr>
            <w:r>
              <w:rPr>
                <w:color w:val="000000" w:themeColor="text1"/>
                <w14:textFill>
                  <w14:solidFill>
                    <w14:schemeClr w14:val="tx1"/>
                  </w14:solidFill>
                </w14:textFill>
              </w:rPr>
              <w:t>亥由村</w:t>
            </w:r>
          </w:p>
        </w:tc>
        <w:tc>
          <w:tcPr>
            <w:tcW w:w="310" w:type="pct"/>
            <w:vMerge w:val="continue"/>
            <w:tcBorders>
              <w:left w:val="nil"/>
              <w:bottom w:val="single" w:color="auto" w:sz="8" w:space="0"/>
              <w:right w:val="single" w:color="auto" w:sz="8" w:space="0"/>
            </w:tcBorders>
            <w:shd w:val="clear" w:color="auto" w:fill="auto"/>
            <w:vAlign w:val="center"/>
          </w:tcPr>
          <w:p w14:paraId="2388E6AF">
            <w:pPr>
              <w:pStyle w:val="476"/>
              <w:rPr>
                <w:color w:val="000000" w:themeColor="text1"/>
                <w14:textFill>
                  <w14:solidFill>
                    <w14:schemeClr w14:val="tx1"/>
                  </w14:solidFill>
                </w14:textFill>
              </w:rPr>
            </w:pPr>
          </w:p>
        </w:tc>
        <w:tc>
          <w:tcPr>
            <w:tcW w:w="359" w:type="pct"/>
            <w:vMerge w:val="continue"/>
            <w:tcBorders>
              <w:left w:val="nil"/>
              <w:bottom w:val="single" w:color="auto" w:sz="8" w:space="0"/>
              <w:right w:val="single" w:color="auto" w:sz="8" w:space="0"/>
            </w:tcBorders>
            <w:shd w:val="clear" w:color="auto" w:fill="auto"/>
            <w:vAlign w:val="center"/>
          </w:tcPr>
          <w:p w14:paraId="532ED284">
            <w:pPr>
              <w:pStyle w:val="476"/>
              <w:rPr>
                <w:color w:val="000000" w:themeColor="text1"/>
                <w14:textFill>
                  <w14:solidFill>
                    <w14:schemeClr w14:val="tx1"/>
                  </w14:solidFill>
                </w14:textFill>
              </w:rPr>
            </w:pPr>
          </w:p>
        </w:tc>
        <w:tc>
          <w:tcPr>
            <w:tcW w:w="575" w:type="pct"/>
            <w:vMerge w:val="continue"/>
            <w:tcBorders>
              <w:left w:val="nil"/>
              <w:bottom w:val="single" w:color="auto" w:sz="8" w:space="0"/>
              <w:right w:val="single" w:color="auto" w:sz="8" w:space="0"/>
            </w:tcBorders>
            <w:shd w:val="clear" w:color="auto" w:fill="auto"/>
            <w:vAlign w:val="center"/>
          </w:tcPr>
          <w:p w14:paraId="5A14134D">
            <w:pPr>
              <w:pStyle w:val="476"/>
              <w:rPr>
                <w:color w:val="000000" w:themeColor="text1"/>
                <w14:textFill>
                  <w14:solidFill>
                    <w14:schemeClr w14:val="tx1"/>
                  </w14:solidFill>
                </w14:textFill>
              </w:rPr>
            </w:pPr>
          </w:p>
        </w:tc>
        <w:tc>
          <w:tcPr>
            <w:tcW w:w="532" w:type="pct"/>
            <w:vMerge w:val="continue"/>
            <w:tcBorders>
              <w:left w:val="nil"/>
              <w:bottom w:val="single" w:color="auto" w:sz="8" w:space="0"/>
              <w:right w:val="single" w:color="auto" w:sz="8" w:space="0"/>
            </w:tcBorders>
            <w:shd w:val="clear" w:color="auto" w:fill="auto"/>
            <w:vAlign w:val="center"/>
          </w:tcPr>
          <w:p w14:paraId="2250543B">
            <w:pPr>
              <w:pStyle w:val="476"/>
              <w:rPr>
                <w:color w:val="000000" w:themeColor="text1"/>
                <w14:textFill>
                  <w14:solidFill>
                    <w14:schemeClr w14:val="tx1"/>
                  </w14:solidFill>
                </w14:textFill>
              </w:rPr>
            </w:pPr>
          </w:p>
        </w:tc>
        <w:tc>
          <w:tcPr>
            <w:tcW w:w="382" w:type="pct"/>
            <w:vMerge w:val="continue"/>
            <w:tcBorders>
              <w:left w:val="nil"/>
              <w:bottom w:val="single" w:color="auto" w:sz="8" w:space="0"/>
              <w:right w:val="single" w:color="auto" w:sz="8" w:space="0"/>
            </w:tcBorders>
            <w:shd w:val="clear" w:color="auto" w:fill="auto"/>
            <w:vAlign w:val="center"/>
          </w:tcPr>
          <w:p w14:paraId="13138A0F">
            <w:pPr>
              <w:pStyle w:val="476"/>
              <w:rPr>
                <w:color w:val="000000" w:themeColor="text1"/>
                <w14:textFill>
                  <w14:solidFill>
                    <w14:schemeClr w14:val="tx1"/>
                  </w14:solidFill>
                </w14:textFill>
              </w:rPr>
            </w:pPr>
          </w:p>
        </w:tc>
        <w:tc>
          <w:tcPr>
            <w:tcW w:w="271" w:type="pct"/>
            <w:vMerge w:val="continue"/>
            <w:tcBorders>
              <w:left w:val="nil"/>
              <w:bottom w:val="single" w:color="auto" w:sz="8" w:space="0"/>
              <w:right w:val="single" w:color="auto" w:sz="8" w:space="0"/>
            </w:tcBorders>
            <w:shd w:val="clear" w:color="auto" w:fill="auto"/>
            <w:vAlign w:val="center"/>
          </w:tcPr>
          <w:p w14:paraId="6E1F93E6">
            <w:pPr>
              <w:pStyle w:val="476"/>
              <w:rPr>
                <w:color w:val="000000" w:themeColor="text1"/>
                <w14:textFill>
                  <w14:solidFill>
                    <w14:schemeClr w14:val="tx1"/>
                  </w14:solidFill>
                </w14:textFill>
              </w:rPr>
            </w:pPr>
          </w:p>
        </w:tc>
        <w:tc>
          <w:tcPr>
            <w:tcW w:w="271" w:type="pct"/>
            <w:vMerge w:val="continue"/>
            <w:tcBorders>
              <w:left w:val="nil"/>
              <w:bottom w:val="single" w:color="auto" w:sz="8" w:space="0"/>
              <w:right w:val="single" w:color="auto" w:sz="8" w:space="0"/>
            </w:tcBorders>
            <w:shd w:val="clear" w:color="auto" w:fill="auto"/>
            <w:vAlign w:val="center"/>
          </w:tcPr>
          <w:p w14:paraId="3A5B6549">
            <w:pPr>
              <w:pStyle w:val="476"/>
              <w:rPr>
                <w:color w:val="000000" w:themeColor="text1"/>
                <w14:textFill>
                  <w14:solidFill>
                    <w14:schemeClr w14:val="tx1"/>
                  </w14:solidFill>
                </w14:textFill>
              </w:rPr>
            </w:pPr>
          </w:p>
        </w:tc>
        <w:tc>
          <w:tcPr>
            <w:tcW w:w="692" w:type="pct"/>
            <w:vMerge w:val="continue"/>
            <w:tcBorders>
              <w:left w:val="nil"/>
              <w:bottom w:val="single" w:color="auto" w:sz="8" w:space="0"/>
              <w:right w:val="single" w:color="auto" w:sz="8" w:space="0"/>
            </w:tcBorders>
            <w:shd w:val="clear" w:color="auto" w:fill="auto"/>
            <w:vAlign w:val="center"/>
          </w:tcPr>
          <w:p w14:paraId="50EE19A5">
            <w:pPr>
              <w:pStyle w:val="476"/>
              <w:rPr>
                <w:color w:val="000000" w:themeColor="text1"/>
                <w14:textFill>
                  <w14:solidFill>
                    <w14:schemeClr w14:val="tx1"/>
                  </w14:solidFill>
                </w14:textFill>
              </w:rPr>
            </w:pPr>
          </w:p>
        </w:tc>
        <w:tc>
          <w:tcPr>
            <w:tcW w:w="634" w:type="pct"/>
            <w:vMerge w:val="continue"/>
            <w:tcBorders>
              <w:left w:val="nil"/>
              <w:bottom w:val="single" w:color="auto" w:sz="8" w:space="0"/>
              <w:right w:val="single" w:color="auto" w:sz="8" w:space="0"/>
            </w:tcBorders>
            <w:shd w:val="clear" w:color="auto" w:fill="auto"/>
            <w:vAlign w:val="center"/>
          </w:tcPr>
          <w:p w14:paraId="44171252">
            <w:pPr>
              <w:pStyle w:val="476"/>
              <w:rPr>
                <w:color w:val="000000" w:themeColor="text1"/>
                <w14:textFill>
                  <w14:solidFill>
                    <w14:schemeClr w14:val="tx1"/>
                  </w14:solidFill>
                </w14:textFill>
              </w:rPr>
            </w:pPr>
          </w:p>
        </w:tc>
        <w:tc>
          <w:tcPr>
            <w:tcW w:w="253" w:type="pct"/>
            <w:vMerge w:val="continue"/>
            <w:tcBorders>
              <w:left w:val="nil"/>
              <w:bottom w:val="single" w:color="auto" w:sz="8" w:space="0"/>
              <w:right w:val="single" w:color="auto" w:sz="8" w:space="0"/>
            </w:tcBorders>
            <w:shd w:val="clear" w:color="auto" w:fill="auto"/>
            <w:vAlign w:val="center"/>
          </w:tcPr>
          <w:p w14:paraId="40C73408">
            <w:pPr>
              <w:pStyle w:val="476"/>
              <w:rPr>
                <w:color w:val="000000" w:themeColor="text1"/>
                <w14:textFill>
                  <w14:solidFill>
                    <w14:schemeClr w14:val="tx1"/>
                  </w14:solidFill>
                </w14:textFill>
              </w:rPr>
            </w:pPr>
          </w:p>
        </w:tc>
      </w:tr>
      <w:tr w14:paraId="0BEC0FD9">
        <w:tblPrEx>
          <w:tblCellMar>
            <w:top w:w="0" w:type="dxa"/>
            <w:left w:w="57" w:type="dxa"/>
            <w:bottom w:w="28" w:type="dxa"/>
            <w:right w:w="57" w:type="dxa"/>
          </w:tblCellMar>
        </w:tblPrEx>
        <w:trPr>
          <w:trHeight w:val="567" w:hRule="atLeast"/>
          <w:jc w:val="center"/>
        </w:trPr>
        <w:tc>
          <w:tcPr>
            <w:tcW w:w="201" w:type="pct"/>
            <w:tcBorders>
              <w:top w:val="nil"/>
              <w:left w:val="single" w:color="auto" w:sz="8" w:space="0"/>
              <w:bottom w:val="single" w:color="auto" w:sz="8" w:space="0"/>
              <w:right w:val="single" w:color="auto" w:sz="8" w:space="0"/>
            </w:tcBorders>
            <w:shd w:val="clear" w:color="auto" w:fill="auto"/>
            <w:vAlign w:val="center"/>
          </w:tcPr>
          <w:p w14:paraId="23AF32CB">
            <w:pPr>
              <w:pStyle w:val="476"/>
              <w:rPr>
                <w:color w:val="000000" w:themeColor="text1"/>
                <w14:textFill>
                  <w14:solidFill>
                    <w14:schemeClr w14:val="tx1"/>
                  </w14:solidFill>
                </w14:textFill>
              </w:rPr>
            </w:pPr>
            <w:r>
              <w:rPr>
                <w:color w:val="000000" w:themeColor="text1"/>
                <w14:textFill>
                  <w14:solidFill>
                    <w14:schemeClr w14:val="tx1"/>
                  </w14:solidFill>
                </w14:textFill>
              </w:rPr>
              <w:t>2</w:t>
            </w:r>
          </w:p>
        </w:tc>
        <w:tc>
          <w:tcPr>
            <w:tcW w:w="202" w:type="pct"/>
            <w:tcBorders>
              <w:top w:val="nil"/>
              <w:left w:val="single" w:color="auto" w:sz="8" w:space="0"/>
              <w:bottom w:val="single" w:color="000000" w:sz="8" w:space="0"/>
              <w:right w:val="single" w:color="auto" w:sz="8" w:space="0"/>
            </w:tcBorders>
            <w:shd w:val="clear" w:color="auto" w:fill="auto"/>
            <w:vAlign w:val="center"/>
          </w:tcPr>
          <w:p w14:paraId="25AF5E12">
            <w:pPr>
              <w:pStyle w:val="476"/>
              <w:rPr>
                <w:color w:val="000000" w:themeColor="text1"/>
                <w14:textFill>
                  <w14:solidFill>
                    <w14:schemeClr w14:val="tx1"/>
                  </w14:solidFill>
                </w14:textFill>
              </w:rPr>
            </w:pPr>
            <w:r>
              <w:rPr>
                <w:color w:val="000000" w:themeColor="text1"/>
                <w14:textFill>
                  <w14:solidFill>
                    <w14:schemeClr w14:val="tx1"/>
                  </w14:solidFill>
                </w14:textFill>
              </w:rPr>
              <w:t>寿</w:t>
            </w:r>
          </w:p>
          <w:p w14:paraId="36C74698">
            <w:pPr>
              <w:pStyle w:val="476"/>
              <w:rPr>
                <w:color w:val="000000" w:themeColor="text1"/>
                <w14:textFill>
                  <w14:solidFill>
                    <w14:schemeClr w14:val="tx1"/>
                  </w14:solidFill>
                </w14:textFill>
              </w:rPr>
            </w:pPr>
            <w:r>
              <w:rPr>
                <w:color w:val="000000" w:themeColor="text1"/>
                <w14:textFill>
                  <w14:solidFill>
                    <w14:schemeClr w14:val="tx1"/>
                  </w14:solidFill>
                </w14:textFill>
              </w:rPr>
              <w:t>山</w:t>
            </w:r>
          </w:p>
          <w:p w14:paraId="58035136">
            <w:pPr>
              <w:pStyle w:val="476"/>
              <w:rPr>
                <w:color w:val="000000" w:themeColor="text1"/>
                <w14:textFill>
                  <w14:solidFill>
                    <w14:schemeClr w14:val="tx1"/>
                  </w14:solidFill>
                </w14:textFill>
              </w:rPr>
            </w:pPr>
            <w:r>
              <w:rPr>
                <w:color w:val="000000" w:themeColor="text1"/>
                <w14:textFill>
                  <w14:solidFill>
                    <w14:schemeClr w14:val="tx1"/>
                  </w14:solidFill>
                </w14:textFill>
              </w:rPr>
              <w:t>乡</w:t>
            </w:r>
          </w:p>
        </w:tc>
        <w:tc>
          <w:tcPr>
            <w:tcW w:w="312" w:type="pct"/>
            <w:tcBorders>
              <w:top w:val="nil"/>
              <w:left w:val="nil"/>
              <w:bottom w:val="single" w:color="auto" w:sz="8" w:space="0"/>
              <w:right w:val="single" w:color="auto" w:sz="8" w:space="0"/>
            </w:tcBorders>
            <w:shd w:val="clear" w:color="auto" w:fill="auto"/>
            <w:vAlign w:val="center"/>
          </w:tcPr>
          <w:p w14:paraId="44721F91">
            <w:pPr>
              <w:pStyle w:val="476"/>
              <w:rPr>
                <w:color w:val="000000" w:themeColor="text1"/>
                <w14:textFill>
                  <w14:solidFill>
                    <w14:schemeClr w14:val="tx1"/>
                  </w14:solidFill>
                </w14:textFill>
              </w:rPr>
            </w:pPr>
            <w:r>
              <w:rPr>
                <w:color w:val="000000" w:themeColor="text1"/>
                <w14:textFill>
                  <w14:solidFill>
                    <w14:schemeClr w14:val="tx1"/>
                  </w14:solidFill>
                </w14:textFill>
              </w:rPr>
              <w:t>岭头村</w:t>
            </w:r>
          </w:p>
        </w:tc>
        <w:tc>
          <w:tcPr>
            <w:tcW w:w="310" w:type="pct"/>
            <w:tcBorders>
              <w:top w:val="nil"/>
              <w:left w:val="nil"/>
              <w:bottom w:val="single" w:color="auto" w:sz="8" w:space="0"/>
              <w:right w:val="single" w:color="auto" w:sz="8" w:space="0"/>
            </w:tcBorders>
            <w:shd w:val="clear" w:color="auto" w:fill="auto"/>
            <w:vAlign w:val="center"/>
          </w:tcPr>
          <w:p w14:paraId="148AE4F7">
            <w:pPr>
              <w:pStyle w:val="476"/>
              <w:rPr>
                <w:color w:val="000000" w:themeColor="text1"/>
                <w14:textFill>
                  <w14:solidFill>
                    <w14:schemeClr w14:val="tx1"/>
                  </w14:solidFill>
                </w14:textFill>
              </w:rPr>
            </w:pPr>
            <w:r>
              <w:rPr>
                <w:color w:val="000000" w:themeColor="text1"/>
                <w14:textFill>
                  <w14:solidFill>
                    <w14:schemeClr w14:val="tx1"/>
                  </w14:solidFill>
                </w14:textFill>
              </w:rPr>
              <w:t>1</w:t>
            </w:r>
          </w:p>
        </w:tc>
        <w:tc>
          <w:tcPr>
            <w:tcW w:w="359" w:type="pct"/>
            <w:tcBorders>
              <w:top w:val="nil"/>
              <w:left w:val="nil"/>
              <w:bottom w:val="single" w:color="auto" w:sz="8" w:space="0"/>
              <w:right w:val="single" w:color="auto" w:sz="8" w:space="0"/>
            </w:tcBorders>
            <w:shd w:val="clear" w:color="auto" w:fill="auto"/>
            <w:vAlign w:val="center"/>
          </w:tcPr>
          <w:p w14:paraId="59BA529A">
            <w:pPr>
              <w:pStyle w:val="476"/>
              <w:rPr>
                <w:color w:val="000000" w:themeColor="text1"/>
                <w14:textFill>
                  <w14:solidFill>
                    <w14:schemeClr w14:val="tx1"/>
                  </w14:solidFill>
                </w14:textFill>
              </w:rPr>
            </w:pPr>
            <w:r>
              <w:rPr>
                <w:color w:val="000000" w:themeColor="text1"/>
                <w14:textFill>
                  <w14:solidFill>
                    <w14:schemeClr w14:val="tx1"/>
                  </w14:solidFill>
                </w14:textFill>
              </w:rPr>
              <w:t>500</w:t>
            </w:r>
          </w:p>
        </w:tc>
        <w:tc>
          <w:tcPr>
            <w:tcW w:w="575" w:type="pct"/>
            <w:tcBorders>
              <w:top w:val="nil"/>
              <w:left w:val="nil"/>
              <w:bottom w:val="single" w:color="auto" w:sz="8" w:space="0"/>
              <w:right w:val="single" w:color="auto" w:sz="8" w:space="0"/>
            </w:tcBorders>
            <w:shd w:val="clear" w:color="auto" w:fill="auto"/>
            <w:vAlign w:val="center"/>
          </w:tcPr>
          <w:p w14:paraId="331637BB">
            <w:pPr>
              <w:pStyle w:val="476"/>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/O+深度处理</w:t>
            </w:r>
          </w:p>
        </w:tc>
        <w:tc>
          <w:tcPr>
            <w:tcW w:w="532" w:type="pct"/>
            <w:tcBorders>
              <w:top w:val="nil"/>
              <w:left w:val="nil"/>
              <w:bottom w:val="single" w:color="auto" w:sz="8" w:space="0"/>
              <w:right w:val="single" w:color="auto" w:sz="8" w:space="0"/>
            </w:tcBorders>
            <w:shd w:val="clear" w:color="auto" w:fill="auto"/>
            <w:vAlign w:val="center"/>
          </w:tcPr>
          <w:p w14:paraId="6858ED8B">
            <w:pPr>
              <w:pStyle w:val="476"/>
              <w:rPr>
                <w:color w:val="000000" w:themeColor="text1"/>
                <w14:textFill>
                  <w14:solidFill>
                    <w14:schemeClr w14:val="tx1"/>
                  </w14:solidFill>
                </w14:textFill>
              </w:rPr>
            </w:pPr>
            <w:r>
              <w:rPr>
                <w:color w:val="000000" w:themeColor="text1"/>
                <w14:textFill>
                  <w14:solidFill>
                    <w14:schemeClr w14:val="tx1"/>
                  </w14:solidFill>
                </w14:textFill>
              </w:rPr>
              <w:t>《GB18918-2002》一级A</w:t>
            </w:r>
          </w:p>
        </w:tc>
        <w:tc>
          <w:tcPr>
            <w:tcW w:w="382" w:type="pct"/>
            <w:tcBorders>
              <w:top w:val="nil"/>
              <w:left w:val="nil"/>
              <w:bottom w:val="single" w:color="auto" w:sz="8" w:space="0"/>
              <w:right w:val="single" w:color="auto" w:sz="8" w:space="0"/>
            </w:tcBorders>
            <w:shd w:val="clear" w:color="auto" w:fill="auto"/>
            <w:vAlign w:val="center"/>
          </w:tcPr>
          <w:p w14:paraId="0894F4F7">
            <w:pPr>
              <w:pStyle w:val="476"/>
              <w:rPr>
                <w:color w:val="000000" w:themeColor="text1"/>
                <w14:textFill>
                  <w14:solidFill>
                    <w14:schemeClr w14:val="tx1"/>
                  </w14:solidFill>
                </w14:textFill>
              </w:rPr>
            </w:pPr>
            <w:r>
              <w:rPr>
                <w:color w:val="000000" w:themeColor="text1"/>
                <w14:textFill>
                  <w14:solidFill>
                    <w14:schemeClr w14:val="tx1"/>
                  </w14:solidFill>
                </w14:textFill>
              </w:rPr>
              <w:t>基本完好</w:t>
            </w:r>
          </w:p>
        </w:tc>
        <w:tc>
          <w:tcPr>
            <w:tcW w:w="271" w:type="pct"/>
            <w:tcBorders>
              <w:top w:val="nil"/>
              <w:left w:val="nil"/>
              <w:bottom w:val="single" w:color="auto" w:sz="8" w:space="0"/>
              <w:right w:val="single" w:color="auto" w:sz="8" w:space="0"/>
            </w:tcBorders>
            <w:shd w:val="clear" w:color="auto" w:fill="auto"/>
            <w:vAlign w:val="center"/>
          </w:tcPr>
          <w:p w14:paraId="04A446FE">
            <w:pPr>
              <w:pStyle w:val="476"/>
              <w:rPr>
                <w:color w:val="000000" w:themeColor="text1"/>
                <w14:textFill>
                  <w14:solidFill>
                    <w14:schemeClr w14:val="tx1"/>
                  </w14:solidFill>
                </w14:textFill>
              </w:rPr>
            </w:pPr>
            <w:r>
              <w:rPr>
                <w:color w:val="000000" w:themeColor="text1"/>
                <w14:textFill>
                  <w14:solidFill>
                    <w14:schemeClr w14:val="tx1"/>
                  </w14:solidFill>
                </w14:textFill>
              </w:rPr>
              <w:t>河</w:t>
            </w:r>
          </w:p>
        </w:tc>
        <w:tc>
          <w:tcPr>
            <w:tcW w:w="271" w:type="pct"/>
            <w:tcBorders>
              <w:top w:val="nil"/>
              <w:left w:val="nil"/>
              <w:bottom w:val="single" w:color="auto" w:sz="8" w:space="0"/>
              <w:right w:val="single" w:color="auto" w:sz="8" w:space="0"/>
            </w:tcBorders>
            <w:shd w:val="clear" w:color="auto" w:fill="auto"/>
            <w:vAlign w:val="center"/>
          </w:tcPr>
          <w:p w14:paraId="25D6793F">
            <w:pPr>
              <w:pStyle w:val="476"/>
              <w:rPr>
                <w:color w:val="000000" w:themeColor="text1"/>
                <w14:textFill>
                  <w14:solidFill>
                    <w14:schemeClr w14:val="tx1"/>
                  </w14:solidFill>
                </w14:textFill>
              </w:rPr>
            </w:pPr>
            <w:r>
              <w:rPr>
                <w:color w:val="000000" w:themeColor="text1"/>
                <w14:textFill>
                  <w14:solidFill>
                    <w14:schemeClr w14:val="tx1"/>
                  </w14:solidFill>
                </w14:textFill>
              </w:rPr>
              <w:t>海环</w:t>
            </w:r>
          </w:p>
        </w:tc>
        <w:tc>
          <w:tcPr>
            <w:tcW w:w="692" w:type="pct"/>
            <w:tcBorders>
              <w:top w:val="nil"/>
              <w:left w:val="nil"/>
              <w:bottom w:val="single" w:color="auto" w:sz="8" w:space="0"/>
              <w:right w:val="single" w:color="auto" w:sz="8" w:space="0"/>
            </w:tcBorders>
            <w:shd w:val="clear" w:color="auto" w:fill="auto"/>
            <w:vAlign w:val="center"/>
          </w:tcPr>
          <w:p w14:paraId="73066FAB">
            <w:pPr>
              <w:pStyle w:val="476"/>
              <w:rPr>
                <w:color w:val="000000" w:themeColor="text1"/>
                <w14:textFill>
                  <w14:solidFill>
                    <w14:schemeClr w14:val="tx1"/>
                  </w14:solidFill>
                </w14:textFill>
              </w:rPr>
            </w:pPr>
            <w:r>
              <w:rPr>
                <w:color w:val="000000" w:themeColor="text1"/>
                <w14:textFill>
                  <w14:solidFill>
                    <w14:schemeClr w14:val="tx1"/>
                  </w14:solidFill>
                </w14:textFill>
              </w:rPr>
              <w:t>-</w:t>
            </w:r>
          </w:p>
        </w:tc>
        <w:tc>
          <w:tcPr>
            <w:tcW w:w="634" w:type="pct"/>
            <w:tcBorders>
              <w:top w:val="nil"/>
              <w:left w:val="nil"/>
              <w:bottom w:val="single" w:color="auto" w:sz="8" w:space="0"/>
              <w:right w:val="single" w:color="auto" w:sz="8" w:space="0"/>
            </w:tcBorders>
            <w:shd w:val="clear" w:color="auto" w:fill="auto"/>
            <w:vAlign w:val="center"/>
          </w:tcPr>
          <w:p w14:paraId="6D4527A7">
            <w:pPr>
              <w:pStyle w:val="476"/>
              <w:rPr>
                <w:color w:val="000000" w:themeColor="text1"/>
                <w14:textFill>
                  <w14:solidFill>
                    <w14:schemeClr w14:val="tx1"/>
                  </w14:solidFill>
                </w14:textFill>
              </w:rPr>
            </w:pPr>
            <w:r>
              <w:rPr>
                <w:color w:val="000000" w:themeColor="text1"/>
                <w14:textFill>
                  <w14:solidFill>
                    <w14:schemeClr w14:val="tx1"/>
                  </w14:solidFill>
                </w14:textFill>
              </w:rPr>
              <w:t>-</w:t>
            </w:r>
          </w:p>
        </w:tc>
        <w:tc>
          <w:tcPr>
            <w:tcW w:w="253" w:type="pct"/>
            <w:tcBorders>
              <w:top w:val="nil"/>
              <w:left w:val="nil"/>
              <w:bottom w:val="single" w:color="auto" w:sz="8" w:space="0"/>
              <w:right w:val="single" w:color="auto" w:sz="8" w:space="0"/>
            </w:tcBorders>
            <w:shd w:val="clear" w:color="auto" w:fill="auto"/>
            <w:vAlign w:val="center"/>
          </w:tcPr>
          <w:p w14:paraId="41D2ED24">
            <w:pPr>
              <w:pStyle w:val="476"/>
              <w:rPr>
                <w:color w:val="000000" w:themeColor="text1"/>
                <w14:textFill>
                  <w14:solidFill>
                    <w14:schemeClr w14:val="tx1"/>
                  </w14:solidFill>
                </w14:textFill>
              </w:rPr>
            </w:pPr>
            <w:r>
              <w:rPr>
                <w:color w:val="000000" w:themeColor="text1"/>
                <w14:textFill>
                  <w14:solidFill>
                    <w14:schemeClr w14:val="tx1"/>
                  </w14:solidFill>
                </w14:textFill>
              </w:rPr>
              <w:t>定期检查维护</w:t>
            </w:r>
          </w:p>
        </w:tc>
      </w:tr>
      <w:tr w14:paraId="57638641">
        <w:tblPrEx>
          <w:tblCellMar>
            <w:top w:w="0" w:type="dxa"/>
            <w:left w:w="57" w:type="dxa"/>
            <w:bottom w:w="28" w:type="dxa"/>
            <w:right w:w="57" w:type="dxa"/>
          </w:tblCellMar>
        </w:tblPrEx>
        <w:trPr>
          <w:trHeight w:val="567" w:hRule="atLeast"/>
          <w:jc w:val="center"/>
        </w:trPr>
        <w:tc>
          <w:tcPr>
            <w:tcW w:w="201" w:type="pct"/>
            <w:tcBorders>
              <w:top w:val="nil"/>
              <w:left w:val="single" w:color="auto" w:sz="8" w:space="0"/>
              <w:bottom w:val="single" w:color="auto" w:sz="8" w:space="0"/>
              <w:right w:val="single" w:color="auto" w:sz="8" w:space="0"/>
            </w:tcBorders>
            <w:shd w:val="clear" w:color="auto" w:fill="auto"/>
            <w:vAlign w:val="center"/>
          </w:tcPr>
          <w:p w14:paraId="2B08A6AE">
            <w:pPr>
              <w:pStyle w:val="476"/>
              <w:rPr>
                <w:color w:val="000000" w:themeColor="text1"/>
                <w14:textFill>
                  <w14:solidFill>
                    <w14:schemeClr w14:val="tx1"/>
                  </w14:solidFill>
                </w14:textFill>
              </w:rPr>
            </w:pPr>
            <w:r>
              <w:rPr>
                <w:color w:val="000000" w:themeColor="text1"/>
                <w14:textFill>
                  <w14:solidFill>
                    <w14:schemeClr w14:val="tx1"/>
                  </w14:solidFill>
                </w14:textFill>
              </w:rPr>
              <w:t>3</w:t>
            </w:r>
          </w:p>
        </w:tc>
        <w:tc>
          <w:tcPr>
            <w:tcW w:w="202" w:type="pct"/>
            <w:tcBorders>
              <w:top w:val="nil"/>
              <w:left w:val="single" w:color="auto" w:sz="8" w:space="0"/>
              <w:bottom w:val="single" w:color="000000" w:sz="8" w:space="0"/>
              <w:right w:val="single" w:color="auto" w:sz="8" w:space="0"/>
            </w:tcBorders>
            <w:shd w:val="clear" w:color="auto" w:fill="auto"/>
            <w:vAlign w:val="center"/>
          </w:tcPr>
          <w:p w14:paraId="58C42BD7">
            <w:pPr>
              <w:pStyle w:val="476"/>
              <w:rPr>
                <w:color w:val="000000" w:themeColor="text1"/>
                <w14:textFill>
                  <w14:solidFill>
                    <w14:schemeClr w14:val="tx1"/>
                  </w14:solidFill>
                </w14:textFill>
              </w:rPr>
            </w:pPr>
            <w:r>
              <w:rPr>
                <w:color w:val="000000" w:themeColor="text1"/>
                <w14:textFill>
                  <w14:solidFill>
                    <w14:schemeClr w14:val="tx1"/>
                  </w14:solidFill>
                </w14:textFill>
              </w:rPr>
              <w:t>日</w:t>
            </w:r>
          </w:p>
          <w:p w14:paraId="54331DF8">
            <w:pPr>
              <w:pStyle w:val="476"/>
              <w:rPr>
                <w:color w:val="000000" w:themeColor="text1"/>
                <w14:textFill>
                  <w14:solidFill>
                    <w14:schemeClr w14:val="tx1"/>
                  </w14:solidFill>
                </w14:textFill>
              </w:rPr>
            </w:pPr>
            <w:r>
              <w:rPr>
                <w:color w:val="000000" w:themeColor="text1"/>
                <w14:textFill>
                  <w14:solidFill>
                    <w14:schemeClr w14:val="tx1"/>
                  </w14:solidFill>
                </w14:textFill>
              </w:rPr>
              <w:t>溪</w:t>
            </w:r>
          </w:p>
          <w:p w14:paraId="40912FE6">
            <w:pPr>
              <w:pStyle w:val="476"/>
              <w:rPr>
                <w:color w:val="000000" w:themeColor="text1"/>
                <w14:textFill>
                  <w14:solidFill>
                    <w14:schemeClr w14:val="tx1"/>
                  </w14:solidFill>
                </w14:textFill>
              </w:rPr>
            </w:pPr>
            <w:r>
              <w:rPr>
                <w:color w:val="000000" w:themeColor="text1"/>
                <w14:textFill>
                  <w14:solidFill>
                    <w14:schemeClr w14:val="tx1"/>
                  </w14:solidFill>
                </w14:textFill>
              </w:rPr>
              <w:t>乡</w:t>
            </w:r>
          </w:p>
        </w:tc>
        <w:tc>
          <w:tcPr>
            <w:tcW w:w="312" w:type="pct"/>
            <w:tcBorders>
              <w:top w:val="nil"/>
              <w:left w:val="nil"/>
              <w:bottom w:val="single" w:color="auto" w:sz="8" w:space="0"/>
              <w:right w:val="single" w:color="auto" w:sz="8" w:space="0"/>
            </w:tcBorders>
            <w:shd w:val="clear" w:color="auto" w:fill="auto"/>
            <w:vAlign w:val="center"/>
          </w:tcPr>
          <w:p w14:paraId="17594E06">
            <w:pPr>
              <w:pStyle w:val="476"/>
              <w:rPr>
                <w:color w:val="000000" w:themeColor="text1"/>
                <w14:textFill>
                  <w14:solidFill>
                    <w14:schemeClr w14:val="tx1"/>
                  </w14:solidFill>
                </w14:textFill>
              </w:rPr>
            </w:pPr>
            <w:r>
              <w:rPr>
                <w:color w:val="000000" w:themeColor="text1"/>
                <w14:textFill>
                  <w14:solidFill>
                    <w14:schemeClr w14:val="tx1"/>
                  </w14:solidFill>
                </w14:textFill>
              </w:rPr>
              <w:t>日溪村</w:t>
            </w:r>
          </w:p>
        </w:tc>
        <w:tc>
          <w:tcPr>
            <w:tcW w:w="310" w:type="pct"/>
            <w:tcBorders>
              <w:top w:val="nil"/>
              <w:left w:val="nil"/>
              <w:bottom w:val="single" w:color="auto" w:sz="8" w:space="0"/>
              <w:right w:val="single" w:color="auto" w:sz="8" w:space="0"/>
            </w:tcBorders>
            <w:shd w:val="clear" w:color="auto" w:fill="auto"/>
            <w:vAlign w:val="center"/>
          </w:tcPr>
          <w:p w14:paraId="7D200638">
            <w:pPr>
              <w:pStyle w:val="476"/>
              <w:rPr>
                <w:color w:val="000000" w:themeColor="text1"/>
                <w14:textFill>
                  <w14:solidFill>
                    <w14:schemeClr w14:val="tx1"/>
                  </w14:solidFill>
                </w14:textFill>
              </w:rPr>
            </w:pPr>
            <w:r>
              <w:rPr>
                <w:color w:val="000000" w:themeColor="text1"/>
                <w14:textFill>
                  <w14:solidFill>
                    <w14:schemeClr w14:val="tx1"/>
                  </w14:solidFill>
                </w14:textFill>
              </w:rPr>
              <w:t>1</w:t>
            </w:r>
          </w:p>
        </w:tc>
        <w:tc>
          <w:tcPr>
            <w:tcW w:w="359" w:type="pct"/>
            <w:tcBorders>
              <w:top w:val="nil"/>
              <w:left w:val="nil"/>
              <w:bottom w:val="single" w:color="auto" w:sz="8" w:space="0"/>
              <w:right w:val="single" w:color="auto" w:sz="8" w:space="0"/>
            </w:tcBorders>
            <w:shd w:val="clear" w:color="auto" w:fill="auto"/>
            <w:vAlign w:val="center"/>
          </w:tcPr>
          <w:p w14:paraId="77255B83">
            <w:pPr>
              <w:pStyle w:val="476"/>
              <w:rPr>
                <w:color w:val="000000" w:themeColor="text1"/>
                <w14:textFill>
                  <w14:solidFill>
                    <w14:schemeClr w14:val="tx1"/>
                  </w14:solidFill>
                </w14:textFill>
              </w:rPr>
            </w:pPr>
            <w:r>
              <w:rPr>
                <w:color w:val="000000" w:themeColor="text1"/>
                <w14:textFill>
                  <w14:solidFill>
                    <w14:schemeClr w14:val="tx1"/>
                  </w14:solidFill>
                </w14:textFill>
              </w:rPr>
              <w:t>400</w:t>
            </w:r>
          </w:p>
        </w:tc>
        <w:tc>
          <w:tcPr>
            <w:tcW w:w="575" w:type="pct"/>
            <w:tcBorders>
              <w:top w:val="nil"/>
              <w:left w:val="nil"/>
              <w:bottom w:val="single" w:color="auto" w:sz="8" w:space="0"/>
              <w:right w:val="single" w:color="auto" w:sz="8" w:space="0"/>
            </w:tcBorders>
            <w:shd w:val="clear" w:color="auto" w:fill="auto"/>
            <w:vAlign w:val="center"/>
          </w:tcPr>
          <w:p w14:paraId="5D620859">
            <w:pPr>
              <w:pStyle w:val="476"/>
              <w:rPr>
                <w:color w:val="000000" w:themeColor="text1"/>
                <w14:textFill>
                  <w14:solidFill>
                    <w14:schemeClr w14:val="tx1"/>
                  </w14:solidFill>
                </w14:textFill>
              </w:rPr>
            </w:pPr>
            <w:r>
              <w:rPr>
                <w:color w:val="000000" w:themeColor="text1"/>
                <w14:textFill>
                  <w14:solidFill>
                    <w14:schemeClr w14:val="tx1"/>
                  </w14:solidFill>
                </w14:textFill>
              </w:rPr>
              <w:t>水解酸化+接触氧化+氧化塘+加药+人工湿地</w:t>
            </w:r>
          </w:p>
        </w:tc>
        <w:tc>
          <w:tcPr>
            <w:tcW w:w="532" w:type="pct"/>
            <w:tcBorders>
              <w:top w:val="nil"/>
              <w:left w:val="nil"/>
              <w:bottom w:val="single" w:color="auto" w:sz="8" w:space="0"/>
              <w:right w:val="single" w:color="auto" w:sz="8" w:space="0"/>
            </w:tcBorders>
            <w:shd w:val="clear" w:color="auto" w:fill="auto"/>
            <w:vAlign w:val="center"/>
          </w:tcPr>
          <w:p w14:paraId="1AF41773">
            <w:pPr>
              <w:pStyle w:val="476"/>
              <w:rPr>
                <w:color w:val="000000" w:themeColor="text1"/>
                <w14:textFill>
                  <w14:solidFill>
                    <w14:schemeClr w14:val="tx1"/>
                  </w14:solidFill>
                </w14:textFill>
              </w:rPr>
            </w:pPr>
            <w:r>
              <w:rPr>
                <w:color w:val="000000" w:themeColor="text1"/>
                <w14:textFill>
                  <w14:solidFill>
                    <w14:schemeClr w14:val="tx1"/>
                  </w14:solidFill>
                </w14:textFill>
              </w:rPr>
              <w:t>《GB18918-2002》一级A</w:t>
            </w:r>
          </w:p>
        </w:tc>
        <w:tc>
          <w:tcPr>
            <w:tcW w:w="382" w:type="pct"/>
            <w:tcBorders>
              <w:top w:val="nil"/>
              <w:left w:val="nil"/>
              <w:bottom w:val="single" w:color="auto" w:sz="8" w:space="0"/>
              <w:right w:val="single" w:color="auto" w:sz="8" w:space="0"/>
            </w:tcBorders>
            <w:shd w:val="clear" w:color="auto" w:fill="auto"/>
            <w:vAlign w:val="center"/>
          </w:tcPr>
          <w:p w14:paraId="15E351FC">
            <w:pPr>
              <w:pStyle w:val="476"/>
              <w:rPr>
                <w:color w:val="000000" w:themeColor="text1"/>
                <w14:textFill>
                  <w14:solidFill>
                    <w14:schemeClr w14:val="tx1"/>
                  </w14:solidFill>
                </w14:textFill>
              </w:rPr>
            </w:pPr>
            <w:r>
              <w:rPr>
                <w:color w:val="000000" w:themeColor="text1"/>
                <w14:textFill>
                  <w14:solidFill>
                    <w14:schemeClr w14:val="tx1"/>
                  </w14:solidFill>
                </w14:textFill>
              </w:rPr>
              <w:t>基本完好</w:t>
            </w:r>
          </w:p>
        </w:tc>
        <w:tc>
          <w:tcPr>
            <w:tcW w:w="271" w:type="pct"/>
            <w:tcBorders>
              <w:top w:val="nil"/>
              <w:left w:val="nil"/>
              <w:bottom w:val="single" w:color="auto" w:sz="8" w:space="0"/>
              <w:right w:val="single" w:color="auto" w:sz="8" w:space="0"/>
            </w:tcBorders>
            <w:shd w:val="clear" w:color="auto" w:fill="auto"/>
            <w:vAlign w:val="center"/>
          </w:tcPr>
          <w:p w14:paraId="77F60FEF">
            <w:pPr>
              <w:pStyle w:val="476"/>
              <w:rPr>
                <w:color w:val="000000" w:themeColor="text1"/>
                <w14:textFill>
                  <w14:solidFill>
                    <w14:schemeClr w14:val="tx1"/>
                  </w14:solidFill>
                </w14:textFill>
              </w:rPr>
            </w:pPr>
            <w:r>
              <w:rPr>
                <w:color w:val="000000" w:themeColor="text1"/>
                <w14:textFill>
                  <w14:solidFill>
                    <w14:schemeClr w14:val="tx1"/>
                  </w14:solidFill>
                </w14:textFill>
              </w:rPr>
              <w:t>河</w:t>
            </w:r>
          </w:p>
        </w:tc>
        <w:tc>
          <w:tcPr>
            <w:tcW w:w="271" w:type="pct"/>
            <w:tcBorders>
              <w:top w:val="nil"/>
              <w:left w:val="nil"/>
              <w:bottom w:val="single" w:color="auto" w:sz="8" w:space="0"/>
              <w:right w:val="single" w:color="auto" w:sz="8" w:space="0"/>
            </w:tcBorders>
            <w:shd w:val="clear" w:color="auto" w:fill="auto"/>
            <w:vAlign w:val="center"/>
          </w:tcPr>
          <w:p w14:paraId="3F548BF6">
            <w:pPr>
              <w:pStyle w:val="476"/>
              <w:rPr>
                <w:color w:val="000000" w:themeColor="text1"/>
                <w14:textFill>
                  <w14:solidFill>
                    <w14:schemeClr w14:val="tx1"/>
                  </w14:solidFill>
                </w14:textFill>
              </w:rPr>
            </w:pPr>
            <w:r>
              <w:rPr>
                <w:color w:val="000000" w:themeColor="text1"/>
                <w14:textFill>
                  <w14:solidFill>
                    <w14:schemeClr w14:val="tx1"/>
                  </w14:solidFill>
                </w14:textFill>
              </w:rPr>
              <w:t>海环</w:t>
            </w:r>
          </w:p>
        </w:tc>
        <w:tc>
          <w:tcPr>
            <w:tcW w:w="692" w:type="pct"/>
            <w:tcBorders>
              <w:top w:val="nil"/>
              <w:left w:val="nil"/>
              <w:bottom w:val="single" w:color="auto" w:sz="8" w:space="0"/>
              <w:right w:val="single" w:color="auto" w:sz="8" w:space="0"/>
            </w:tcBorders>
            <w:shd w:val="clear" w:color="auto" w:fill="auto"/>
            <w:vAlign w:val="center"/>
          </w:tcPr>
          <w:p w14:paraId="5717EA69">
            <w:pPr>
              <w:pStyle w:val="476"/>
              <w:rPr>
                <w:color w:val="000000" w:themeColor="text1"/>
                <w14:textFill>
                  <w14:solidFill>
                    <w14:schemeClr w14:val="tx1"/>
                  </w14:solidFill>
                </w14:textFill>
              </w:rPr>
            </w:pPr>
            <w:r>
              <w:rPr>
                <w:color w:val="000000" w:themeColor="text1"/>
                <w14:textFill>
                  <w14:solidFill>
                    <w14:schemeClr w14:val="tx1"/>
                  </w14:solidFill>
                </w14:textFill>
              </w:rPr>
              <w:t>-</w:t>
            </w:r>
          </w:p>
        </w:tc>
        <w:tc>
          <w:tcPr>
            <w:tcW w:w="634" w:type="pct"/>
            <w:tcBorders>
              <w:top w:val="nil"/>
              <w:left w:val="nil"/>
              <w:bottom w:val="single" w:color="auto" w:sz="8" w:space="0"/>
              <w:right w:val="single" w:color="auto" w:sz="8" w:space="0"/>
            </w:tcBorders>
            <w:shd w:val="clear" w:color="auto" w:fill="auto"/>
            <w:vAlign w:val="center"/>
          </w:tcPr>
          <w:p w14:paraId="25FAE4DC">
            <w:pPr>
              <w:pStyle w:val="476"/>
              <w:rPr>
                <w:color w:val="000000" w:themeColor="text1"/>
                <w14:textFill>
                  <w14:solidFill>
                    <w14:schemeClr w14:val="tx1"/>
                  </w14:solidFill>
                </w14:textFill>
              </w:rPr>
            </w:pPr>
            <w:r>
              <w:rPr>
                <w:color w:val="000000" w:themeColor="text1"/>
                <w14:textFill>
                  <w14:solidFill>
                    <w14:schemeClr w14:val="tx1"/>
                  </w14:solidFill>
                </w14:textFill>
              </w:rPr>
              <w:t>现有设施工艺老旧，无法满足未来旅游人口增加带来的污染，同时氧化塘存在渗漏的风险，建议采取新工艺对设施进行提标改造。</w:t>
            </w:r>
          </w:p>
        </w:tc>
        <w:tc>
          <w:tcPr>
            <w:tcW w:w="253" w:type="pct"/>
            <w:tcBorders>
              <w:top w:val="nil"/>
              <w:left w:val="nil"/>
              <w:bottom w:val="single" w:color="auto" w:sz="8" w:space="0"/>
              <w:right w:val="single" w:color="auto" w:sz="8" w:space="0"/>
            </w:tcBorders>
            <w:shd w:val="clear" w:color="auto" w:fill="auto"/>
            <w:vAlign w:val="center"/>
          </w:tcPr>
          <w:p w14:paraId="4C404E63">
            <w:pPr>
              <w:pStyle w:val="476"/>
              <w:rPr>
                <w:color w:val="000000" w:themeColor="text1"/>
                <w14:textFill>
                  <w14:solidFill>
                    <w14:schemeClr w14:val="tx1"/>
                  </w14:solidFill>
                </w14:textFill>
              </w:rPr>
            </w:pPr>
            <w:r>
              <w:rPr>
                <w:color w:val="000000" w:themeColor="text1"/>
                <w14:textFill>
                  <w14:solidFill>
                    <w14:schemeClr w14:val="tx1"/>
                  </w14:solidFill>
                </w14:textFill>
              </w:rPr>
              <w:t>提标改造</w:t>
            </w:r>
          </w:p>
        </w:tc>
      </w:tr>
    </w:tbl>
    <w:p w14:paraId="2E19E648">
      <w:pPr>
        <w:rPr>
          <w:color w:val="000000" w:themeColor="text1"/>
          <w:lang w:val="zh-CN"/>
          <w14:textFill>
            <w14:solidFill>
              <w14:schemeClr w14:val="tx1"/>
            </w14:solidFill>
          </w14:textFill>
        </w:rPr>
      </w:pPr>
    </w:p>
    <w:p w14:paraId="3B05D051">
      <w:pPr>
        <w:rPr>
          <w:color w:val="000000" w:themeColor="text1"/>
          <w:lang w:val="zh-CN"/>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32F83CAF">
      <w:pPr>
        <w:pStyle w:val="4"/>
        <w:rPr>
          <w:rFonts w:ascii="Times New Roman" w:hAnsi="Times New Roman" w:eastAsiaTheme="minorEastAsia"/>
          <w:color w:val="000000" w:themeColor="text1"/>
          <w14:textFill>
            <w14:solidFill>
              <w14:schemeClr w14:val="tx1"/>
            </w14:solidFill>
          </w14:textFill>
        </w:rPr>
      </w:pPr>
      <w:bookmarkStart w:id="167" w:name="_Hlk122705318"/>
      <w:bookmarkStart w:id="168" w:name="_Toc112693895"/>
      <w:bookmarkStart w:id="169" w:name="_Toc112694030"/>
      <w:bookmarkStart w:id="170" w:name="_Toc112861039"/>
      <w:r>
        <w:rPr>
          <w:rFonts w:hint="eastAsia" w:ascii="宋体" w:hAnsi="宋体" w:eastAsia="宋体" w:cs="宋体"/>
          <w:color w:val="000000" w:themeColor="text1"/>
          <w14:textFill>
            <w14:solidFill>
              <w14:schemeClr w14:val="tx1"/>
            </w14:solidFill>
          </w14:textFill>
        </w:rPr>
        <w:t>宦溪</w:t>
      </w:r>
      <w:bookmarkEnd w:id="167"/>
      <w:r>
        <w:rPr>
          <w:rFonts w:hint="eastAsia" w:ascii="宋体" w:hAnsi="宋体" w:eastAsia="宋体" w:cs="宋体"/>
          <w:color w:val="000000" w:themeColor="text1"/>
          <w14:textFill>
            <w14:solidFill>
              <w14:schemeClr w14:val="tx1"/>
            </w14:solidFill>
          </w14:textFill>
        </w:rPr>
        <w:t>镇集镇污水管网提升治理方案</w:t>
      </w:r>
      <w:bookmarkEnd w:id="168"/>
      <w:bookmarkEnd w:id="169"/>
      <w:bookmarkEnd w:id="170"/>
    </w:p>
    <w:p w14:paraId="3BED25DF">
      <w:pPr>
        <w:pStyle w:val="6"/>
        <w:rPr>
          <w:color w:val="000000" w:themeColor="text1"/>
          <w14:textFill>
            <w14:solidFill>
              <w14:schemeClr w14:val="tx1"/>
            </w14:solidFill>
          </w14:textFill>
        </w:rPr>
      </w:pPr>
      <w:bookmarkStart w:id="171" w:name="_Toc112692598"/>
      <w:bookmarkStart w:id="172" w:name="_Toc112693896"/>
      <w:bookmarkStart w:id="173" w:name="_Toc112694031"/>
      <w:r>
        <w:rPr>
          <w:color w:val="000000" w:themeColor="text1"/>
          <w14:textFill>
            <w14:solidFill>
              <w14:schemeClr w14:val="tx1"/>
            </w14:solidFill>
          </w14:textFill>
        </w:rPr>
        <w:t>污水收集管网系统规划设计</w:t>
      </w:r>
      <w:bookmarkEnd w:id="171"/>
      <w:bookmarkEnd w:id="172"/>
      <w:bookmarkEnd w:id="173"/>
    </w:p>
    <w:p w14:paraId="4981B758">
      <w:pPr>
        <w:pStyle w:val="52"/>
        <w:rPr>
          <w:color w:val="000000" w:themeColor="text1"/>
          <w14:textFill>
            <w14:solidFill>
              <w14:schemeClr w14:val="tx1"/>
            </w14:solidFill>
          </w14:textFill>
        </w:rPr>
      </w:pPr>
      <w:r>
        <w:rPr>
          <w:color w:val="000000" w:themeColor="text1"/>
          <w14:textFill>
            <w14:solidFill>
              <w14:schemeClr w14:val="tx1"/>
            </w14:solidFill>
          </w14:textFill>
        </w:rPr>
        <w:t>根据现场勘察及结合业主提供资料，宦溪镇镇区通过沿村内道路下方埋设污水收集管道，对餐饮废水需相关部门督促各个餐饮店先自行进行隔油处理完再排入污水主管，并建设入户支管，采用重力自流方式，将污水统一收集至镇区生活污水处理站前端的提升泵站，经加压提升，接入宦溪镇区污水处理厂。</w:t>
      </w:r>
    </w:p>
    <w:p w14:paraId="04A9F0F2">
      <w:pPr>
        <w:pStyle w:val="6"/>
        <w:rPr>
          <w:color w:val="000000" w:themeColor="text1"/>
          <w14:textFill>
            <w14:solidFill>
              <w14:schemeClr w14:val="tx1"/>
            </w14:solidFill>
          </w14:textFill>
        </w:rPr>
      </w:pPr>
      <w:bookmarkStart w:id="174" w:name="_Toc112692599"/>
      <w:bookmarkStart w:id="175" w:name="_Toc112693897"/>
      <w:bookmarkStart w:id="176" w:name="_Toc112694032"/>
      <w:r>
        <w:rPr>
          <w:color w:val="000000" w:themeColor="text1"/>
          <w14:textFill>
            <w14:solidFill>
              <w14:schemeClr w14:val="tx1"/>
            </w14:solidFill>
          </w14:textFill>
        </w:rPr>
        <w:t xml:space="preserve">  污水管网管材选择</w:t>
      </w:r>
      <w:bookmarkEnd w:id="174"/>
      <w:bookmarkEnd w:id="175"/>
      <w:bookmarkEnd w:id="176"/>
    </w:p>
    <w:p w14:paraId="0AA4D6FB">
      <w:pPr>
        <w:pStyle w:val="52"/>
        <w:rPr>
          <w:color w:val="000000" w:themeColor="text1"/>
          <w:lang w:bidi="ar"/>
          <w14:textFill>
            <w14:solidFill>
              <w14:schemeClr w14:val="tx1"/>
            </w14:solidFill>
          </w14:textFill>
        </w:rPr>
      </w:pPr>
      <w:r>
        <w:rPr>
          <w:color w:val="000000" w:themeColor="text1"/>
          <w14:textFill>
            <w14:solidFill>
              <w14:schemeClr w14:val="tx1"/>
            </w14:solidFill>
          </w14:textFill>
        </w:rPr>
        <w:t>根据现有资料分析，目前在市政污水管网工程中主要采用的管材有：钢筋混凝土管、UPVC双壁波纹管、HDPE双壁波纹管、玻璃钢管等。其中</w:t>
      </w:r>
      <w:r>
        <w:rPr>
          <w:color w:val="000000" w:themeColor="text1"/>
          <w:lang w:bidi="ar"/>
          <w14:textFill>
            <w14:solidFill>
              <w14:schemeClr w14:val="tx1"/>
            </w14:solidFill>
          </w14:textFill>
        </w:rPr>
        <w:t>高密度聚乙烯塑料管（HDPE双壁波纹管）具有表面光滑，不易结垢，水头损失小，耐腐蚀，重量轻，加工连接方便，采用橡胶圈承插柔性接口，对管道基础要求低。塑料管使用广泛，近几年我国许多城市已有大量应用。聚乙烯管材包括双壁波纹管、缠绕双壁矩形中空肋壁管以及缠绕圆形中空肋壁管，为设计单位推荐使用管材。</w:t>
      </w:r>
    </w:p>
    <w:p w14:paraId="6258E31C">
      <w:pPr>
        <w:pStyle w:val="6"/>
        <w:rPr>
          <w:color w:val="000000" w:themeColor="text1"/>
          <w14:textFill>
            <w14:solidFill>
              <w14:schemeClr w14:val="tx1"/>
            </w14:solidFill>
          </w14:textFill>
        </w:rPr>
      </w:pPr>
      <w:bookmarkStart w:id="177" w:name="_Toc112693898"/>
      <w:bookmarkStart w:id="178" w:name="_Toc112692600"/>
      <w:bookmarkStart w:id="179" w:name="_Toc112694033"/>
      <w:r>
        <w:rPr>
          <w:color w:val="000000" w:themeColor="text1"/>
          <w14:textFill>
            <w14:solidFill>
              <w14:schemeClr w14:val="tx1"/>
            </w14:solidFill>
          </w14:textFill>
        </w:rPr>
        <w:t>污水检查井选择</w:t>
      </w:r>
      <w:bookmarkEnd w:id="177"/>
      <w:bookmarkEnd w:id="178"/>
      <w:bookmarkEnd w:id="179"/>
    </w:p>
    <w:p w14:paraId="58D8D94D">
      <w:pPr>
        <w:pStyle w:val="52"/>
        <w:rPr>
          <w:color w:val="000000" w:themeColor="text1"/>
          <w:lang w:bidi="ar"/>
          <w14:textFill>
            <w14:solidFill>
              <w14:schemeClr w14:val="tx1"/>
            </w14:solidFill>
          </w14:textFill>
        </w:rPr>
      </w:pPr>
      <w:r>
        <w:rPr>
          <w:color w:val="000000" w:themeColor="text1"/>
          <w14:textFill>
            <w14:solidFill>
              <w14:schemeClr w14:val="tx1"/>
            </w14:solidFill>
          </w14:textFill>
        </w:rPr>
        <w:t>根据现有资料分析，</w:t>
      </w:r>
      <w:r>
        <w:rPr>
          <w:color w:val="000000" w:themeColor="text1"/>
          <w:lang w:bidi="ar"/>
          <w14:textFill>
            <w14:solidFill>
              <w14:schemeClr w14:val="tx1"/>
            </w14:solidFill>
          </w14:textFill>
        </w:rPr>
        <w:t>目前，市政道路工程中的排水检查井主要采用砖砌检查井和钢筋混凝土检查井，这两种检查井的优点是技术成熟、造价低等，但是其不足之处是施工进度慢、造价高。而塑料检查井就弥补了这些不足，并且塑料检查井有施工工艺简单、组装方式灵活、施工周期较短等优点，已经逐渐被广泛用于小区雨污水管网中。砖砌检查井受限于材料质量、施工工法等因素，容易出现渗漏、井筒断裂等质量问题，已逐渐不适用于市政工程项目使用。因此本方案主要对钢筋混凝土预制检查井和塑料检查井进行比选分析，本项目主要为农村污水收集管道，污水管道主要沿村庄道路、农田布设，施工空间较为有限，且部分施工路线需采用人工施工方案，综合考虑施工成本、管道系统密闭性、后期运维便利性等因素，本方案设计沿路、沿农田检查井选用塑料预制检查井。</w:t>
      </w:r>
    </w:p>
    <w:p w14:paraId="59B97816">
      <w:pPr>
        <w:pStyle w:val="6"/>
        <w:rPr>
          <w:color w:val="000000" w:themeColor="text1"/>
          <w14:textFill>
            <w14:solidFill>
              <w14:schemeClr w14:val="tx1"/>
            </w14:solidFill>
          </w14:textFill>
        </w:rPr>
      </w:pPr>
      <w:bookmarkStart w:id="180" w:name="_Toc112692601"/>
      <w:bookmarkStart w:id="181" w:name="_Toc112693899"/>
      <w:bookmarkStart w:id="182" w:name="_Toc112694034"/>
      <w:r>
        <w:rPr>
          <w:color w:val="000000" w:themeColor="text1"/>
          <w14:textFill>
            <w14:solidFill>
              <w14:schemeClr w14:val="tx1"/>
            </w14:solidFill>
          </w14:textFill>
        </w:rPr>
        <w:t>提升泵站选择</w:t>
      </w:r>
      <w:bookmarkEnd w:id="180"/>
      <w:bookmarkEnd w:id="181"/>
      <w:bookmarkEnd w:id="182"/>
    </w:p>
    <w:p w14:paraId="321DF4F3">
      <w:pPr>
        <w:pStyle w:val="52"/>
        <w:rPr>
          <w:color w:val="000000" w:themeColor="text1"/>
          <w:lang w:bidi="ar"/>
          <w14:textFill>
            <w14:solidFill>
              <w14:schemeClr w14:val="tx1"/>
            </w14:solidFill>
          </w14:textFill>
        </w:rPr>
      </w:pPr>
      <w:r>
        <w:rPr>
          <w:color w:val="000000" w:themeColor="text1"/>
          <w:lang w:bidi="ar"/>
          <w14:textFill>
            <w14:solidFill>
              <w14:schemeClr w14:val="tx1"/>
            </w14:solidFill>
          </w14:textFill>
        </w:rPr>
        <w:t>项目原污水主管道宦溪中心小学西侧的至镇区污水处理场段，现在为波纹管挂壁加架管布设，存在被洪水冲毁的风险。考虑常年的修复成本，该段管道拟沿河堤内侧布设，采用混凝土满包处理。由于下游镇区生活污水处理站的进水标高较高，因此新建主管道进入污水处理站前增设污水提升泵站一座，设计规模为500吨/天。目前常用的泵站形式有混凝土泵站与一体化预制泵站2种。由于一体化预制泵站在占地面积、环保性、施工周期与难度、运行与维护及投资成本上有优势，本项目新建泵站设计选用一体化预制泵站。</w:t>
      </w:r>
    </w:p>
    <w:p w14:paraId="1862A541">
      <w:pPr>
        <w:pStyle w:val="6"/>
        <w:rPr>
          <w:color w:val="000000" w:themeColor="text1"/>
          <w14:textFill>
            <w14:solidFill>
              <w14:schemeClr w14:val="tx1"/>
            </w14:solidFill>
          </w14:textFill>
        </w:rPr>
      </w:pPr>
      <w:bookmarkStart w:id="183" w:name="_Toc112693900"/>
      <w:bookmarkStart w:id="184" w:name="_Toc112692602"/>
      <w:bookmarkStart w:id="185" w:name="_Toc112694035"/>
      <w:r>
        <w:rPr>
          <w:color w:val="000000" w:themeColor="text1"/>
          <w14:textFill>
            <w14:solidFill>
              <w14:schemeClr w14:val="tx1"/>
            </w14:solidFill>
          </w14:textFill>
        </w:rPr>
        <w:t>建设内容及进度安排</w:t>
      </w:r>
      <w:bookmarkEnd w:id="183"/>
      <w:bookmarkEnd w:id="184"/>
      <w:bookmarkEnd w:id="185"/>
    </w:p>
    <w:p w14:paraId="3C559900">
      <w:pPr>
        <w:pStyle w:val="52"/>
        <w:rPr>
          <w:color w:val="auto"/>
          <w:lang w:bidi="ar"/>
        </w:rPr>
      </w:pPr>
      <w:r>
        <w:rPr>
          <w:color w:val="auto"/>
          <w:lang w:bidi="ar"/>
        </w:rPr>
        <w:t>十四五期间，宦溪镇规划新（改）建污水管网10.5公里，检查井251座，新建污水提升泵站1座，其中2021-2022年完成5公里管网建设，2022年-2023年完成5公里管网建设</w:t>
      </w:r>
      <w:r>
        <w:rPr>
          <w:rFonts w:hint="eastAsia"/>
          <w:color w:val="auto"/>
          <w:lang w:bidi="ar"/>
        </w:rPr>
        <w:t>，</w:t>
      </w:r>
      <w:r>
        <w:rPr>
          <w:color w:val="auto"/>
          <w:lang w:bidi="ar"/>
        </w:rPr>
        <w:t>2023年-2024年完成</w:t>
      </w:r>
      <w:r>
        <w:rPr>
          <w:rFonts w:hint="eastAsia"/>
          <w:color w:val="auto"/>
          <w:lang w:bidi="ar"/>
        </w:rPr>
        <w:t>0</w:t>
      </w:r>
      <w:r>
        <w:rPr>
          <w:color w:val="auto"/>
          <w:lang w:bidi="ar"/>
        </w:rPr>
        <w:t>.5公里管网建设。</w:t>
      </w:r>
    </w:p>
    <w:p w14:paraId="2743BADF">
      <w:pPr>
        <w:pStyle w:val="6"/>
        <w:rPr>
          <w:color w:val="auto"/>
        </w:rPr>
      </w:pPr>
      <w:bookmarkStart w:id="186" w:name="_Toc112694036"/>
      <w:bookmarkStart w:id="187" w:name="_Toc112693901"/>
      <w:bookmarkStart w:id="188" w:name="_Toc112692603"/>
      <w:r>
        <w:rPr>
          <w:color w:val="auto"/>
        </w:rPr>
        <w:t>宦溪镇生活污水收集管网工程主要工程量清单</w:t>
      </w:r>
      <w:bookmarkEnd w:id="186"/>
      <w:bookmarkEnd w:id="187"/>
      <w:bookmarkEnd w:id="188"/>
    </w:p>
    <w:p w14:paraId="25428C6E">
      <w:pPr>
        <w:pStyle w:val="442"/>
        <w:rPr>
          <w:color w:val="auto"/>
        </w:rPr>
      </w:pPr>
      <w:r>
        <w:rPr>
          <w:color w:val="auto"/>
        </w:rPr>
        <w:t>表5.2-4宦溪集镇污水处理厂厂外管网新（改）建项目</w:t>
      </w:r>
      <w:r>
        <w:rPr>
          <w:rFonts w:hint="eastAsia"/>
          <w:color w:val="auto"/>
        </w:rPr>
        <w:t>工程量清单</w:t>
      </w:r>
    </w:p>
    <w:tbl>
      <w:tblPr>
        <w:tblStyle w:val="55"/>
        <w:tblW w:w="5000" w:type="pct"/>
        <w:jc w:val="center"/>
        <w:shd w:val="clear" w:color="auto" w:fill="FFFFFF"/>
        <w:tblLayout w:type="autofit"/>
        <w:tblCellMar>
          <w:top w:w="0" w:type="dxa"/>
          <w:left w:w="0" w:type="dxa"/>
          <w:bottom w:w="0" w:type="dxa"/>
          <w:right w:w="0" w:type="dxa"/>
        </w:tblCellMar>
      </w:tblPr>
      <w:tblGrid>
        <w:gridCol w:w="590"/>
        <w:gridCol w:w="4812"/>
        <w:gridCol w:w="1421"/>
        <w:gridCol w:w="1699"/>
      </w:tblGrid>
      <w:tr w14:paraId="68DDA04E">
        <w:tblPrEx>
          <w:shd w:val="clear" w:color="auto" w:fill="FFFFFF"/>
          <w:tblCellMar>
            <w:top w:w="0" w:type="dxa"/>
            <w:left w:w="0" w:type="dxa"/>
            <w:bottom w:w="0" w:type="dxa"/>
            <w:right w:w="0" w:type="dxa"/>
          </w:tblCellMar>
        </w:tblPrEx>
        <w:trPr>
          <w:trHeight w:val="340" w:hRule="atLeast"/>
          <w:tblHeader/>
          <w:jc w:val="center"/>
        </w:trPr>
        <w:tc>
          <w:tcPr>
            <w:tcW w:w="346" w:type="pct"/>
            <w:vMerge w:val="restar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7FE7BFB2">
            <w:pPr>
              <w:pStyle w:val="476"/>
              <w:rPr>
                <w:b/>
                <w:color w:val="auto"/>
              </w:rPr>
            </w:pPr>
            <w:r>
              <w:rPr>
                <w:b/>
                <w:color w:val="auto"/>
                <w:lang w:bidi="ar"/>
              </w:rPr>
              <w:t>编号</w:t>
            </w:r>
          </w:p>
        </w:tc>
        <w:tc>
          <w:tcPr>
            <w:tcW w:w="2823" w:type="pct"/>
            <w:vMerge w:val="restar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7A96101B">
            <w:pPr>
              <w:pStyle w:val="476"/>
              <w:rPr>
                <w:b/>
                <w:color w:val="auto"/>
              </w:rPr>
            </w:pPr>
            <w:r>
              <w:rPr>
                <w:b/>
                <w:color w:val="auto"/>
                <w:lang w:bidi="ar"/>
              </w:rPr>
              <w:t>名称</w:t>
            </w:r>
          </w:p>
        </w:tc>
        <w:tc>
          <w:tcPr>
            <w:tcW w:w="1831" w:type="pct"/>
            <w:gridSpan w:val="2"/>
            <w:tcBorders>
              <w:top w:val="single" w:color="000000" w:sz="4" w:space="0"/>
              <w:left w:val="single" w:color="000000" w:sz="4" w:space="0"/>
              <w:bottom w:val="single" w:color="000000" w:sz="4" w:space="0"/>
              <w:right w:val="single" w:color="auto" w:sz="4" w:space="0"/>
            </w:tcBorders>
            <w:shd w:val="clear" w:color="auto" w:fill="FFFFFF"/>
            <w:tcMar>
              <w:top w:w="9" w:type="dxa"/>
              <w:left w:w="9" w:type="dxa"/>
              <w:right w:w="9" w:type="dxa"/>
            </w:tcMar>
            <w:vAlign w:val="center"/>
          </w:tcPr>
          <w:p w14:paraId="411DA004">
            <w:pPr>
              <w:pStyle w:val="476"/>
              <w:rPr>
                <w:b/>
                <w:color w:val="auto"/>
              </w:rPr>
            </w:pPr>
            <w:r>
              <w:rPr>
                <w:b/>
                <w:color w:val="auto"/>
                <w:lang w:bidi="ar"/>
              </w:rPr>
              <w:t>技术经济指标</w:t>
            </w:r>
          </w:p>
        </w:tc>
      </w:tr>
      <w:tr w14:paraId="6D5B81F1">
        <w:tblPrEx>
          <w:tblCellMar>
            <w:top w:w="0" w:type="dxa"/>
            <w:left w:w="0" w:type="dxa"/>
            <w:bottom w:w="0" w:type="dxa"/>
            <w:right w:w="0" w:type="dxa"/>
          </w:tblCellMar>
        </w:tblPrEx>
        <w:trPr>
          <w:trHeight w:val="340" w:hRule="atLeast"/>
          <w:tblHeader/>
          <w:jc w:val="center"/>
        </w:trPr>
        <w:tc>
          <w:tcPr>
            <w:tcW w:w="34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7107ABC1">
            <w:pPr>
              <w:pStyle w:val="476"/>
              <w:rPr>
                <w:b/>
                <w:color w:val="auto"/>
              </w:rPr>
            </w:pPr>
          </w:p>
        </w:tc>
        <w:tc>
          <w:tcPr>
            <w:tcW w:w="2823" w:type="pct"/>
            <w:vMerge w:val="continue"/>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01CDD2D9">
            <w:pPr>
              <w:pStyle w:val="476"/>
              <w:rPr>
                <w:b/>
                <w:color w:val="auto"/>
              </w:rPr>
            </w:pPr>
          </w:p>
        </w:tc>
        <w:tc>
          <w:tcPr>
            <w:tcW w:w="834"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190BADDD">
            <w:pPr>
              <w:pStyle w:val="476"/>
              <w:rPr>
                <w:b/>
                <w:color w:val="auto"/>
              </w:rPr>
            </w:pPr>
            <w:r>
              <w:rPr>
                <w:b/>
                <w:color w:val="auto"/>
                <w:lang w:bidi="ar"/>
              </w:rPr>
              <w:t>数量</w:t>
            </w:r>
          </w:p>
        </w:tc>
        <w:tc>
          <w:tcPr>
            <w:tcW w:w="997" w:type="pct"/>
            <w:tcBorders>
              <w:top w:val="single" w:color="000000" w:sz="4" w:space="0"/>
              <w:left w:val="single" w:color="000000" w:sz="4" w:space="0"/>
              <w:bottom w:val="single" w:color="000000" w:sz="4" w:space="0"/>
              <w:right w:val="single" w:color="auto" w:sz="4" w:space="0"/>
            </w:tcBorders>
            <w:shd w:val="clear" w:color="auto" w:fill="FFFFFF"/>
            <w:tcMar>
              <w:top w:w="9" w:type="dxa"/>
              <w:left w:w="9" w:type="dxa"/>
              <w:right w:w="9" w:type="dxa"/>
            </w:tcMar>
            <w:vAlign w:val="center"/>
          </w:tcPr>
          <w:p w14:paraId="368B3A21">
            <w:pPr>
              <w:pStyle w:val="476"/>
              <w:rPr>
                <w:b/>
                <w:color w:val="auto"/>
              </w:rPr>
            </w:pPr>
            <w:r>
              <w:rPr>
                <w:b/>
                <w:color w:val="auto"/>
                <w:lang w:bidi="ar"/>
              </w:rPr>
              <w:t>单位</w:t>
            </w:r>
          </w:p>
        </w:tc>
      </w:tr>
      <w:tr w14:paraId="161E6A8C">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509D3FBA">
            <w:pPr>
              <w:pStyle w:val="476"/>
              <w:rPr>
                <w:color w:val="auto"/>
                <w:lang w:bidi="ar"/>
              </w:rPr>
            </w:pPr>
            <w:r>
              <w:rPr>
                <w:rFonts w:hint="eastAsia"/>
                <w:color w:val="auto"/>
                <w:lang w:bidi="ar"/>
              </w:rPr>
              <w:t>1</w:t>
            </w:r>
          </w:p>
        </w:tc>
        <w:tc>
          <w:tcPr>
            <w:tcW w:w="2823"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4B205BD3">
            <w:pPr>
              <w:pStyle w:val="476"/>
              <w:rPr>
                <w:bCs/>
                <w:color w:val="auto"/>
                <w:lang w:bidi="ar"/>
              </w:rPr>
            </w:pPr>
            <w:r>
              <w:rPr>
                <w:bCs/>
                <w:color w:val="auto"/>
                <w:lang w:bidi="ar"/>
              </w:rPr>
              <w:t>HDPE双壁波纹管DN200</w:t>
            </w:r>
          </w:p>
        </w:tc>
        <w:tc>
          <w:tcPr>
            <w:tcW w:w="834" w:type="pct"/>
            <w:tcBorders>
              <w:top w:val="single" w:color="000000" w:sz="6" w:space="0"/>
              <w:left w:val="single" w:color="000000" w:sz="6" w:space="0"/>
              <w:bottom w:val="single" w:color="000000" w:sz="6" w:space="0"/>
              <w:right w:val="single" w:color="000000" w:sz="6" w:space="0"/>
            </w:tcBorders>
            <w:shd w:val="clear" w:color="auto" w:fill="FFFFFF"/>
            <w:noWrap/>
            <w:tcMar>
              <w:top w:w="9" w:type="dxa"/>
              <w:left w:w="9" w:type="dxa"/>
              <w:right w:w="9" w:type="dxa"/>
            </w:tcMar>
          </w:tcPr>
          <w:p w14:paraId="0F8D31BE">
            <w:pPr>
              <w:pStyle w:val="476"/>
              <w:rPr>
                <w:bCs/>
                <w:color w:val="auto"/>
                <w:lang w:bidi="ar"/>
              </w:rPr>
            </w:pPr>
            <w:r>
              <w:rPr>
                <w:bCs/>
                <w:color w:val="auto"/>
                <w:lang w:bidi="ar"/>
              </w:rPr>
              <w:t>1965</w:t>
            </w:r>
          </w:p>
        </w:tc>
        <w:tc>
          <w:tcPr>
            <w:tcW w:w="997"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tcPr>
          <w:p w14:paraId="71733C16">
            <w:pPr>
              <w:pStyle w:val="476"/>
              <w:rPr>
                <w:bCs/>
                <w:color w:val="auto"/>
                <w:lang w:bidi="ar"/>
              </w:rPr>
            </w:pPr>
            <w:r>
              <w:rPr>
                <w:bCs/>
                <w:color w:val="auto"/>
                <w:lang w:bidi="ar"/>
              </w:rPr>
              <w:t>米</w:t>
            </w:r>
          </w:p>
        </w:tc>
      </w:tr>
      <w:tr w14:paraId="0DFE73FE">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14657034">
            <w:pPr>
              <w:pStyle w:val="476"/>
              <w:rPr>
                <w:color w:val="auto"/>
                <w:lang w:bidi="ar"/>
              </w:rPr>
            </w:pPr>
            <w:r>
              <w:rPr>
                <w:rFonts w:hint="eastAsia"/>
                <w:color w:val="auto"/>
                <w:lang w:bidi="ar"/>
              </w:rPr>
              <w:t>2</w:t>
            </w:r>
          </w:p>
        </w:tc>
        <w:tc>
          <w:tcPr>
            <w:tcW w:w="2823"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26F4064D">
            <w:pPr>
              <w:pStyle w:val="476"/>
              <w:rPr>
                <w:bCs/>
                <w:color w:val="auto"/>
                <w:lang w:bidi="ar"/>
              </w:rPr>
            </w:pPr>
            <w:r>
              <w:rPr>
                <w:bCs/>
                <w:color w:val="auto"/>
                <w:lang w:bidi="ar"/>
              </w:rPr>
              <w:t>HDPE双壁波纹管DN300</w:t>
            </w:r>
          </w:p>
        </w:tc>
        <w:tc>
          <w:tcPr>
            <w:tcW w:w="83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3D64EAC3">
            <w:pPr>
              <w:pStyle w:val="476"/>
              <w:rPr>
                <w:bCs/>
                <w:color w:val="auto"/>
                <w:lang w:bidi="ar"/>
              </w:rPr>
            </w:pPr>
            <w:r>
              <w:rPr>
                <w:bCs/>
                <w:color w:val="auto"/>
                <w:lang w:bidi="ar"/>
              </w:rPr>
              <w:t>1011</w:t>
            </w:r>
          </w:p>
        </w:tc>
        <w:tc>
          <w:tcPr>
            <w:tcW w:w="997"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3CAC35AA">
            <w:pPr>
              <w:pStyle w:val="476"/>
              <w:rPr>
                <w:bCs/>
                <w:color w:val="auto"/>
                <w:lang w:bidi="ar"/>
              </w:rPr>
            </w:pPr>
            <w:r>
              <w:rPr>
                <w:bCs/>
                <w:color w:val="auto"/>
                <w:lang w:bidi="ar"/>
              </w:rPr>
              <w:t>米</w:t>
            </w:r>
          </w:p>
        </w:tc>
      </w:tr>
      <w:tr w14:paraId="72875C33">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46AAEA07">
            <w:pPr>
              <w:pStyle w:val="476"/>
              <w:rPr>
                <w:bCs/>
                <w:color w:val="auto"/>
                <w:lang w:bidi="ar"/>
              </w:rPr>
            </w:pPr>
            <w:r>
              <w:rPr>
                <w:rFonts w:hint="eastAsia"/>
                <w:bCs/>
                <w:color w:val="auto"/>
                <w:lang w:bidi="ar"/>
              </w:rPr>
              <w:t>3</w:t>
            </w:r>
          </w:p>
        </w:tc>
        <w:tc>
          <w:tcPr>
            <w:tcW w:w="2823"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55545038">
            <w:pPr>
              <w:pStyle w:val="476"/>
              <w:rPr>
                <w:bCs/>
                <w:color w:val="auto"/>
                <w:lang w:bidi="ar"/>
              </w:rPr>
            </w:pPr>
            <w:r>
              <w:rPr>
                <w:bCs/>
                <w:color w:val="auto"/>
                <w:lang w:bidi="ar"/>
              </w:rPr>
              <w:t>新建接户管(UPVC管)Φ 110,0.8MPa</w:t>
            </w:r>
          </w:p>
        </w:tc>
        <w:tc>
          <w:tcPr>
            <w:tcW w:w="83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1821FFA3">
            <w:pPr>
              <w:pStyle w:val="476"/>
              <w:rPr>
                <w:bCs/>
                <w:color w:val="auto"/>
                <w:lang w:bidi="ar"/>
              </w:rPr>
            </w:pPr>
            <w:r>
              <w:rPr>
                <w:bCs/>
                <w:color w:val="auto"/>
                <w:lang w:bidi="ar"/>
              </w:rPr>
              <w:t>2100</w:t>
            </w:r>
          </w:p>
        </w:tc>
        <w:tc>
          <w:tcPr>
            <w:tcW w:w="997"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0C09BB18">
            <w:pPr>
              <w:pStyle w:val="476"/>
              <w:rPr>
                <w:bCs/>
                <w:color w:val="auto"/>
                <w:lang w:bidi="ar"/>
              </w:rPr>
            </w:pPr>
            <w:r>
              <w:rPr>
                <w:bCs/>
                <w:color w:val="auto"/>
                <w:lang w:bidi="ar"/>
              </w:rPr>
              <w:t>米</w:t>
            </w:r>
          </w:p>
        </w:tc>
      </w:tr>
      <w:tr w14:paraId="761CD785">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69749FF6">
            <w:pPr>
              <w:pStyle w:val="476"/>
              <w:rPr>
                <w:bCs/>
                <w:color w:val="auto"/>
                <w:lang w:bidi="ar"/>
              </w:rPr>
            </w:pPr>
            <w:r>
              <w:rPr>
                <w:rFonts w:hint="eastAsia"/>
                <w:bCs/>
                <w:color w:val="auto"/>
                <w:lang w:bidi="ar"/>
              </w:rPr>
              <w:t>4</w:t>
            </w:r>
          </w:p>
        </w:tc>
        <w:tc>
          <w:tcPr>
            <w:tcW w:w="2823"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5C54979D">
            <w:pPr>
              <w:pStyle w:val="476"/>
              <w:rPr>
                <w:bCs/>
                <w:color w:val="auto"/>
                <w:lang w:bidi="ar"/>
              </w:rPr>
            </w:pPr>
            <w:r>
              <w:rPr>
                <w:bCs/>
                <w:color w:val="auto"/>
                <w:lang w:bidi="ar"/>
              </w:rPr>
              <w:t>新建HDPE一体化检查井Φ700</w:t>
            </w:r>
          </w:p>
        </w:tc>
        <w:tc>
          <w:tcPr>
            <w:tcW w:w="83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579F7D47">
            <w:pPr>
              <w:pStyle w:val="476"/>
              <w:rPr>
                <w:bCs/>
                <w:color w:val="auto"/>
                <w:lang w:bidi="ar"/>
              </w:rPr>
            </w:pPr>
            <w:r>
              <w:rPr>
                <w:bCs/>
                <w:color w:val="auto"/>
                <w:lang w:bidi="ar"/>
              </w:rPr>
              <w:t>63</w:t>
            </w:r>
          </w:p>
        </w:tc>
        <w:tc>
          <w:tcPr>
            <w:tcW w:w="997"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74D34F0E">
            <w:pPr>
              <w:pStyle w:val="476"/>
              <w:rPr>
                <w:bCs/>
                <w:color w:val="auto"/>
                <w:lang w:bidi="ar"/>
              </w:rPr>
            </w:pPr>
            <w:r>
              <w:rPr>
                <w:bCs/>
                <w:color w:val="auto"/>
                <w:lang w:bidi="ar"/>
              </w:rPr>
              <w:t>座</w:t>
            </w:r>
          </w:p>
        </w:tc>
      </w:tr>
      <w:tr w14:paraId="178C3B6F">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1AE038FE">
            <w:pPr>
              <w:pStyle w:val="476"/>
              <w:rPr>
                <w:bCs/>
                <w:color w:val="auto"/>
                <w:lang w:bidi="ar"/>
              </w:rPr>
            </w:pPr>
            <w:r>
              <w:rPr>
                <w:rFonts w:hint="eastAsia"/>
                <w:bCs/>
                <w:color w:val="auto"/>
                <w:lang w:bidi="ar"/>
              </w:rPr>
              <w:t>5</w:t>
            </w:r>
          </w:p>
        </w:tc>
        <w:tc>
          <w:tcPr>
            <w:tcW w:w="2823"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679F7E5C">
            <w:pPr>
              <w:pStyle w:val="476"/>
              <w:rPr>
                <w:bCs/>
                <w:color w:val="auto"/>
                <w:lang w:bidi="ar"/>
              </w:rPr>
            </w:pPr>
            <w:r>
              <w:rPr>
                <w:bCs/>
                <w:color w:val="auto"/>
                <w:lang w:bidi="ar"/>
              </w:rPr>
              <w:t>沉泥井D700</w:t>
            </w:r>
          </w:p>
        </w:tc>
        <w:tc>
          <w:tcPr>
            <w:tcW w:w="83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16586FB1">
            <w:pPr>
              <w:pStyle w:val="476"/>
              <w:rPr>
                <w:bCs/>
                <w:color w:val="auto"/>
                <w:lang w:bidi="ar"/>
              </w:rPr>
            </w:pPr>
            <w:r>
              <w:rPr>
                <w:bCs/>
                <w:color w:val="auto"/>
                <w:lang w:bidi="ar"/>
              </w:rPr>
              <w:t>17</w:t>
            </w:r>
          </w:p>
        </w:tc>
        <w:tc>
          <w:tcPr>
            <w:tcW w:w="997"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22048584">
            <w:pPr>
              <w:pStyle w:val="476"/>
              <w:rPr>
                <w:bCs/>
                <w:color w:val="auto"/>
                <w:lang w:bidi="ar"/>
              </w:rPr>
            </w:pPr>
            <w:r>
              <w:rPr>
                <w:bCs/>
                <w:color w:val="auto"/>
                <w:lang w:bidi="ar"/>
              </w:rPr>
              <w:t>座</w:t>
            </w:r>
          </w:p>
        </w:tc>
      </w:tr>
      <w:tr w14:paraId="374BBD54">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525253C0">
            <w:pPr>
              <w:pStyle w:val="476"/>
              <w:rPr>
                <w:bCs/>
                <w:color w:val="auto"/>
                <w:lang w:bidi="ar"/>
              </w:rPr>
            </w:pPr>
            <w:r>
              <w:rPr>
                <w:rFonts w:hint="eastAsia"/>
                <w:bCs/>
                <w:color w:val="auto"/>
                <w:lang w:bidi="ar"/>
              </w:rPr>
              <w:t>6</w:t>
            </w:r>
          </w:p>
        </w:tc>
        <w:tc>
          <w:tcPr>
            <w:tcW w:w="2823"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7D1EDF26">
            <w:pPr>
              <w:pStyle w:val="476"/>
              <w:rPr>
                <w:bCs/>
                <w:color w:val="auto"/>
                <w:lang w:bidi="ar"/>
              </w:rPr>
            </w:pPr>
            <w:r>
              <w:rPr>
                <w:bCs/>
                <w:color w:val="auto"/>
                <w:lang w:bidi="ar"/>
              </w:rPr>
              <w:t>新建HDPE一体化接户检查 井Φ200</w:t>
            </w:r>
          </w:p>
        </w:tc>
        <w:tc>
          <w:tcPr>
            <w:tcW w:w="83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431BF9BF">
            <w:pPr>
              <w:pStyle w:val="476"/>
              <w:rPr>
                <w:bCs/>
                <w:color w:val="auto"/>
                <w:lang w:bidi="ar"/>
              </w:rPr>
            </w:pPr>
            <w:r>
              <w:rPr>
                <w:bCs/>
                <w:color w:val="auto"/>
                <w:lang w:bidi="ar"/>
              </w:rPr>
              <w:t>50</w:t>
            </w:r>
          </w:p>
        </w:tc>
        <w:tc>
          <w:tcPr>
            <w:tcW w:w="997"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30AC2126">
            <w:pPr>
              <w:pStyle w:val="476"/>
              <w:rPr>
                <w:bCs/>
                <w:color w:val="auto"/>
                <w:lang w:bidi="ar"/>
              </w:rPr>
            </w:pPr>
            <w:r>
              <w:rPr>
                <w:bCs/>
                <w:color w:val="auto"/>
                <w:lang w:bidi="ar"/>
              </w:rPr>
              <w:t>座</w:t>
            </w:r>
          </w:p>
        </w:tc>
      </w:tr>
      <w:tr w14:paraId="0254B865">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55E0696E">
            <w:pPr>
              <w:pStyle w:val="476"/>
              <w:rPr>
                <w:bCs/>
                <w:color w:val="auto"/>
                <w:lang w:bidi="ar"/>
              </w:rPr>
            </w:pPr>
            <w:r>
              <w:rPr>
                <w:rFonts w:hint="eastAsia"/>
                <w:bCs/>
                <w:color w:val="auto"/>
                <w:lang w:bidi="ar"/>
              </w:rPr>
              <w:t>7</w:t>
            </w:r>
          </w:p>
        </w:tc>
        <w:tc>
          <w:tcPr>
            <w:tcW w:w="2823"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1A9060CA">
            <w:pPr>
              <w:pStyle w:val="476"/>
              <w:rPr>
                <w:bCs/>
                <w:color w:val="auto"/>
                <w:lang w:bidi="ar"/>
              </w:rPr>
            </w:pPr>
            <w:r>
              <w:rPr>
                <w:bCs/>
                <w:color w:val="auto"/>
                <w:lang w:bidi="ar"/>
              </w:rPr>
              <w:t>路面破除及修复面积</w:t>
            </w:r>
          </w:p>
        </w:tc>
        <w:tc>
          <w:tcPr>
            <w:tcW w:w="83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00B9B168">
            <w:pPr>
              <w:pStyle w:val="476"/>
              <w:rPr>
                <w:bCs/>
                <w:color w:val="auto"/>
                <w:lang w:bidi="ar"/>
              </w:rPr>
            </w:pPr>
            <w:r>
              <w:rPr>
                <w:bCs/>
                <w:color w:val="auto"/>
                <w:lang w:bidi="ar"/>
              </w:rPr>
              <w:t>6000</w:t>
            </w:r>
          </w:p>
        </w:tc>
        <w:tc>
          <w:tcPr>
            <w:tcW w:w="997"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21851825">
            <w:pPr>
              <w:pStyle w:val="476"/>
              <w:rPr>
                <w:bCs/>
                <w:color w:val="auto"/>
                <w:lang w:bidi="ar"/>
              </w:rPr>
            </w:pPr>
            <w:r>
              <w:rPr>
                <w:bCs/>
                <w:color w:val="auto"/>
                <w:lang w:bidi="ar"/>
              </w:rPr>
              <w:t>㎡</w:t>
            </w:r>
          </w:p>
        </w:tc>
      </w:tr>
      <w:tr w14:paraId="78C9E11A">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7FFE0860">
            <w:pPr>
              <w:pStyle w:val="476"/>
              <w:rPr>
                <w:bCs/>
                <w:color w:val="auto"/>
                <w:lang w:bidi="ar"/>
              </w:rPr>
            </w:pPr>
            <w:r>
              <w:rPr>
                <w:rFonts w:hint="eastAsia"/>
                <w:bCs/>
                <w:color w:val="auto"/>
                <w:lang w:bidi="ar"/>
              </w:rPr>
              <w:t>8</w:t>
            </w:r>
          </w:p>
        </w:tc>
        <w:tc>
          <w:tcPr>
            <w:tcW w:w="2823"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62CF062A">
            <w:pPr>
              <w:pStyle w:val="476"/>
              <w:rPr>
                <w:bCs/>
                <w:color w:val="auto"/>
                <w:lang w:bidi="ar"/>
              </w:rPr>
            </w:pPr>
            <w:r>
              <w:rPr>
                <w:bCs/>
                <w:color w:val="auto"/>
                <w:lang w:bidi="ar"/>
              </w:rPr>
              <w:t>新建集中式一体化隔油池</w:t>
            </w:r>
          </w:p>
        </w:tc>
        <w:tc>
          <w:tcPr>
            <w:tcW w:w="83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4A61B33D">
            <w:pPr>
              <w:pStyle w:val="476"/>
              <w:rPr>
                <w:bCs/>
                <w:color w:val="auto"/>
                <w:lang w:bidi="ar"/>
              </w:rPr>
            </w:pPr>
            <w:r>
              <w:rPr>
                <w:bCs/>
                <w:color w:val="auto"/>
                <w:lang w:bidi="ar"/>
              </w:rPr>
              <w:t>1</w:t>
            </w:r>
          </w:p>
        </w:tc>
        <w:tc>
          <w:tcPr>
            <w:tcW w:w="997"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2B9D5952">
            <w:pPr>
              <w:pStyle w:val="476"/>
              <w:rPr>
                <w:bCs/>
                <w:color w:val="auto"/>
                <w:lang w:bidi="ar"/>
              </w:rPr>
            </w:pPr>
            <w:r>
              <w:rPr>
                <w:bCs/>
                <w:color w:val="auto"/>
                <w:lang w:bidi="ar"/>
              </w:rPr>
              <w:t>座</w:t>
            </w:r>
          </w:p>
        </w:tc>
      </w:tr>
    </w:tbl>
    <w:p w14:paraId="0D8C3E43">
      <w:pPr>
        <w:pStyle w:val="4"/>
        <w:keepNext w:val="0"/>
        <w:keepLines w:val="0"/>
        <w:rPr>
          <w:rFonts w:hint="eastAsia" w:eastAsiaTheme="minorEastAsia"/>
        </w:rPr>
      </w:pPr>
      <w:bookmarkStart w:id="189" w:name="_Toc112693902"/>
      <w:bookmarkStart w:id="190" w:name="_Toc112694037"/>
      <w:bookmarkStart w:id="191" w:name="_Toc112861040"/>
      <w:r>
        <w:rPr>
          <w:rFonts w:hint="eastAsia" w:ascii="宋体" w:hAnsi="宋体" w:eastAsia="宋体" w:cs="宋体"/>
          <w:color w:val="000000" w:themeColor="text1"/>
          <w14:textFill>
            <w14:solidFill>
              <w14:schemeClr w14:val="tx1"/>
            </w14:solidFill>
          </w14:textFill>
        </w:rPr>
        <w:t>寿山乡集镇污水管网提升治理方案</w:t>
      </w:r>
      <w:bookmarkEnd w:id="189"/>
      <w:bookmarkEnd w:id="190"/>
      <w:bookmarkEnd w:id="191"/>
    </w:p>
    <w:p w14:paraId="67A1ECDA">
      <w:pPr>
        <w:pStyle w:val="6"/>
        <w:keepNext w:val="0"/>
        <w:keepLines w:val="0"/>
        <w:rPr>
          <w:color w:val="000000" w:themeColor="text1"/>
          <w14:textFill>
            <w14:solidFill>
              <w14:schemeClr w14:val="tx1"/>
            </w14:solidFill>
          </w14:textFill>
        </w:rPr>
      </w:pPr>
      <w:bookmarkStart w:id="192" w:name="_Toc112692605"/>
      <w:bookmarkStart w:id="193" w:name="_Toc112693903"/>
      <w:bookmarkStart w:id="194" w:name="_Toc112694038"/>
      <w:r>
        <w:rPr>
          <w:color w:val="000000" w:themeColor="text1"/>
          <w14:textFill>
            <w14:solidFill>
              <w14:schemeClr w14:val="tx1"/>
            </w14:solidFill>
          </w14:textFill>
        </w:rPr>
        <w:t>污水收集管网系统规划设计</w:t>
      </w:r>
      <w:bookmarkEnd w:id="192"/>
      <w:bookmarkEnd w:id="193"/>
      <w:bookmarkEnd w:id="194"/>
    </w:p>
    <w:p w14:paraId="26AE4FD6">
      <w:pPr>
        <w:pStyle w:val="52"/>
        <w:rPr>
          <w:color w:val="000000" w:themeColor="text1"/>
          <w14:textFill>
            <w14:solidFill>
              <w14:schemeClr w14:val="tx1"/>
            </w14:solidFill>
          </w14:textFill>
        </w:rPr>
      </w:pPr>
      <w:r>
        <w:rPr>
          <w:color w:val="000000" w:themeColor="text1"/>
          <w14:textFill>
            <w14:solidFill>
              <w14:schemeClr w14:val="tx1"/>
            </w14:solidFill>
          </w14:textFill>
        </w:rPr>
        <w:t>1、在厂内合适位置增加一套监控系统，以覆盖进水口、出水口、曝气池。初步考虑设置三个高清摄像头及配套控制系统。</w:t>
      </w:r>
    </w:p>
    <w:p w14:paraId="017C6350">
      <w:pPr>
        <w:pStyle w:val="52"/>
        <w:rPr>
          <w:color w:val="000000" w:themeColor="text1"/>
          <w14:textFill>
            <w14:solidFill>
              <w14:schemeClr w14:val="tx1"/>
            </w14:solidFill>
          </w14:textFill>
        </w:rPr>
      </w:pPr>
      <w:r>
        <w:rPr>
          <w:color w:val="000000" w:themeColor="text1"/>
          <w14:textFill>
            <w14:solidFill>
              <w14:schemeClr w14:val="tx1"/>
            </w14:solidFill>
          </w14:textFill>
        </w:rPr>
        <w:t>2、在排水口增加一个污水排放口标识牌。</w:t>
      </w:r>
    </w:p>
    <w:p w14:paraId="7269383B">
      <w:pPr>
        <w:pStyle w:val="52"/>
        <w:rPr>
          <w:color w:val="000000" w:themeColor="text1"/>
          <w14:textFill>
            <w14:solidFill>
              <w14:schemeClr w14:val="tx1"/>
            </w14:solidFill>
          </w14:textFill>
        </w:rPr>
      </w:pPr>
      <w:r>
        <w:rPr>
          <w:color w:val="000000" w:themeColor="text1"/>
          <w14:textFill>
            <w14:solidFill>
              <w14:schemeClr w14:val="tx1"/>
            </w14:solidFill>
          </w14:textFill>
        </w:rPr>
        <w:t>3、完成北峰中学北侧部分的管网建设，完善辖区内接户管网建设。</w:t>
      </w:r>
    </w:p>
    <w:p w14:paraId="1F1ECEA4">
      <w:pPr>
        <w:pStyle w:val="6"/>
        <w:rPr>
          <w:color w:val="000000" w:themeColor="text1"/>
          <w14:textFill>
            <w14:solidFill>
              <w14:schemeClr w14:val="tx1"/>
            </w14:solidFill>
          </w14:textFill>
        </w:rPr>
      </w:pPr>
      <w:bookmarkStart w:id="195" w:name="_Toc112692606"/>
      <w:bookmarkStart w:id="196" w:name="_Toc112693904"/>
      <w:bookmarkStart w:id="197" w:name="_Toc112694039"/>
      <w:r>
        <w:rPr>
          <w:color w:val="000000" w:themeColor="text1"/>
          <w14:textFill>
            <w14:solidFill>
              <w14:schemeClr w14:val="tx1"/>
            </w14:solidFill>
          </w14:textFill>
        </w:rPr>
        <w:t>污水管网管材选择</w:t>
      </w:r>
      <w:bookmarkEnd w:id="195"/>
      <w:bookmarkEnd w:id="196"/>
      <w:bookmarkEnd w:id="197"/>
    </w:p>
    <w:p w14:paraId="181B5C14">
      <w:pPr>
        <w:pStyle w:val="52"/>
        <w:rPr>
          <w:color w:val="000000" w:themeColor="text1"/>
          <w:kern w:val="0"/>
          <w:szCs w:val="28"/>
          <w:lang w:bidi="ar"/>
          <w14:textFill>
            <w14:solidFill>
              <w14:schemeClr w14:val="tx1"/>
            </w14:solidFill>
          </w14:textFill>
        </w:rPr>
      </w:pPr>
      <w:r>
        <w:rPr>
          <w:color w:val="000000" w:themeColor="text1"/>
          <w14:textFill>
            <w14:solidFill>
              <w14:schemeClr w14:val="tx1"/>
            </w14:solidFill>
          </w14:textFill>
        </w:rPr>
        <w:t>根据现有资料分析，结合项目实施方案编制单位推荐，寿山乡集镇污水处理厂厂外管网推荐使用</w:t>
      </w:r>
      <w:r>
        <w:rPr>
          <w:color w:val="000000" w:themeColor="text1"/>
          <w:kern w:val="0"/>
          <w:szCs w:val="28"/>
          <w:lang w:bidi="ar"/>
          <w14:textFill>
            <w14:solidFill>
              <w14:schemeClr w14:val="tx1"/>
            </w14:solidFill>
          </w14:textFill>
        </w:rPr>
        <w:t>高密度聚乙烯塑料管（HDPE双壁波纹管）。</w:t>
      </w:r>
    </w:p>
    <w:p w14:paraId="4A5609E0">
      <w:pPr>
        <w:pStyle w:val="6"/>
        <w:rPr>
          <w:color w:val="000000" w:themeColor="text1"/>
          <w14:textFill>
            <w14:solidFill>
              <w14:schemeClr w14:val="tx1"/>
            </w14:solidFill>
          </w14:textFill>
        </w:rPr>
      </w:pPr>
      <w:bookmarkStart w:id="198" w:name="_Toc112692607"/>
      <w:bookmarkStart w:id="199" w:name="_Toc112693905"/>
      <w:bookmarkStart w:id="200" w:name="_Toc112694040"/>
      <w:r>
        <w:rPr>
          <w:color w:val="000000" w:themeColor="text1"/>
          <w14:textFill>
            <w14:solidFill>
              <w14:schemeClr w14:val="tx1"/>
            </w14:solidFill>
          </w14:textFill>
        </w:rPr>
        <w:t>污水检查井选择</w:t>
      </w:r>
      <w:bookmarkEnd w:id="198"/>
      <w:bookmarkEnd w:id="199"/>
      <w:bookmarkEnd w:id="200"/>
    </w:p>
    <w:p w14:paraId="22742E8C">
      <w:pPr>
        <w:pStyle w:val="52"/>
        <w:rPr>
          <w:color w:val="000000" w:themeColor="text1"/>
          <w:kern w:val="0"/>
          <w:szCs w:val="28"/>
          <w:lang w:bidi="ar"/>
          <w14:textFill>
            <w14:solidFill>
              <w14:schemeClr w14:val="tx1"/>
            </w14:solidFill>
          </w14:textFill>
        </w:rPr>
      </w:pPr>
      <w:r>
        <w:rPr>
          <w:color w:val="000000" w:themeColor="text1"/>
          <w14:textFill>
            <w14:solidFill>
              <w14:schemeClr w14:val="tx1"/>
            </w14:solidFill>
          </w14:textFill>
        </w:rPr>
        <w:t>根据现有资料分析，结合项目实施方案编制单位推荐，寿山乡集镇污水处理厂厂外检查井</w:t>
      </w:r>
      <w:r>
        <w:rPr>
          <w:color w:val="000000" w:themeColor="text1"/>
          <w:kern w:val="0"/>
          <w:szCs w:val="28"/>
          <w:lang w:bidi="ar"/>
          <w14:textFill>
            <w14:solidFill>
              <w14:schemeClr w14:val="tx1"/>
            </w14:solidFill>
          </w14:textFill>
        </w:rPr>
        <w:t>选用塑料预制检查井。</w:t>
      </w:r>
    </w:p>
    <w:p w14:paraId="520AF9B3">
      <w:pPr>
        <w:pStyle w:val="6"/>
        <w:rPr>
          <w:color w:val="000000" w:themeColor="text1"/>
          <w14:textFill>
            <w14:solidFill>
              <w14:schemeClr w14:val="tx1"/>
            </w14:solidFill>
          </w14:textFill>
        </w:rPr>
      </w:pPr>
      <w:bookmarkStart w:id="201" w:name="_Toc112692608"/>
      <w:bookmarkStart w:id="202" w:name="_Toc112693906"/>
      <w:bookmarkStart w:id="203" w:name="_Toc112694041"/>
      <w:r>
        <w:rPr>
          <w:color w:val="000000" w:themeColor="text1"/>
          <w14:textFill>
            <w14:solidFill>
              <w14:schemeClr w14:val="tx1"/>
            </w14:solidFill>
          </w14:textFill>
        </w:rPr>
        <w:t>建设内容及进度安排</w:t>
      </w:r>
      <w:bookmarkEnd w:id="201"/>
      <w:bookmarkEnd w:id="202"/>
      <w:bookmarkEnd w:id="203"/>
    </w:p>
    <w:p w14:paraId="51EA773E">
      <w:pPr>
        <w:pStyle w:val="52"/>
        <w:rPr>
          <w:color w:val="000000" w:themeColor="text1"/>
          <w:lang w:bidi="ar"/>
          <w14:textFill>
            <w14:solidFill>
              <w14:schemeClr w14:val="tx1"/>
            </w14:solidFill>
          </w14:textFill>
        </w:rPr>
      </w:pPr>
      <w:r>
        <w:rPr>
          <w:color w:val="000000" w:themeColor="text1"/>
          <w:lang w:val="en-US" w:bidi="ar"/>
          <w14:textFill>
            <w14:solidFill>
              <w14:schemeClr w14:val="tx1"/>
            </w14:solidFill>
          </w14:textFill>
        </w:rPr>
        <w:t>“十四五”</w:t>
      </w:r>
      <w:r>
        <w:rPr>
          <w:color w:val="000000" w:themeColor="text1"/>
          <w:lang w:bidi="ar"/>
          <w14:textFill>
            <w14:solidFill>
              <w14:schemeClr w14:val="tx1"/>
            </w14:solidFill>
          </w14:textFill>
        </w:rPr>
        <w:t>期间，寿山乡规划新建污水管网510米，检查井9座，项目于2023年完成工程建设。</w:t>
      </w:r>
    </w:p>
    <w:p w14:paraId="0B25D753">
      <w:pPr>
        <w:pStyle w:val="6"/>
        <w:rPr>
          <w:color w:val="000000" w:themeColor="text1"/>
          <w14:textFill>
            <w14:solidFill>
              <w14:schemeClr w14:val="tx1"/>
            </w14:solidFill>
          </w14:textFill>
        </w:rPr>
      </w:pPr>
      <w:bookmarkStart w:id="204" w:name="_Toc112693907"/>
      <w:bookmarkStart w:id="205" w:name="_Toc112692609"/>
      <w:bookmarkStart w:id="206" w:name="_Toc112694042"/>
      <w:r>
        <w:rPr>
          <w:color w:val="000000" w:themeColor="text1"/>
          <w14:textFill>
            <w14:solidFill>
              <w14:schemeClr w14:val="tx1"/>
            </w14:solidFill>
          </w14:textFill>
        </w:rPr>
        <w:t>寿山乡生活污水提升工程主要工程量清单</w:t>
      </w:r>
      <w:bookmarkEnd w:id="204"/>
      <w:bookmarkEnd w:id="205"/>
      <w:bookmarkEnd w:id="206"/>
    </w:p>
    <w:p w14:paraId="3041816E">
      <w:pPr>
        <w:pStyle w:val="442"/>
        <w:rPr>
          <w:color w:val="auto"/>
        </w:rPr>
      </w:pPr>
      <w:r>
        <w:rPr>
          <w:color w:val="auto"/>
        </w:rPr>
        <w:t>表5.2-5寿山集镇污水处理厂提升治理项目工程</w:t>
      </w:r>
      <w:r>
        <w:rPr>
          <w:rFonts w:hint="eastAsia"/>
          <w:color w:val="auto"/>
        </w:rPr>
        <w:t>工程量清单</w:t>
      </w:r>
    </w:p>
    <w:tbl>
      <w:tblPr>
        <w:tblStyle w:val="55"/>
        <w:tblW w:w="5000" w:type="pct"/>
        <w:jc w:val="center"/>
        <w:shd w:val="clear" w:color="auto" w:fill="FFFFFF"/>
        <w:tblLayout w:type="autofit"/>
        <w:tblCellMar>
          <w:top w:w="0" w:type="dxa"/>
          <w:left w:w="0" w:type="dxa"/>
          <w:bottom w:w="0" w:type="dxa"/>
          <w:right w:w="0" w:type="dxa"/>
        </w:tblCellMar>
      </w:tblPr>
      <w:tblGrid>
        <w:gridCol w:w="590"/>
        <w:gridCol w:w="5522"/>
        <w:gridCol w:w="1280"/>
        <w:gridCol w:w="1130"/>
      </w:tblGrid>
      <w:tr w14:paraId="7674832D">
        <w:tblPrEx>
          <w:shd w:val="clear" w:color="auto" w:fill="FFFFFF"/>
          <w:tblCellMar>
            <w:top w:w="0" w:type="dxa"/>
            <w:left w:w="0" w:type="dxa"/>
            <w:bottom w:w="0" w:type="dxa"/>
            <w:right w:w="0" w:type="dxa"/>
          </w:tblCellMar>
        </w:tblPrEx>
        <w:trPr>
          <w:trHeight w:val="340" w:hRule="atLeast"/>
          <w:tblHeader/>
          <w:jc w:val="center"/>
        </w:trPr>
        <w:tc>
          <w:tcPr>
            <w:tcW w:w="346" w:type="pct"/>
            <w:vMerge w:val="restar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3A31F574">
            <w:pPr>
              <w:pStyle w:val="476"/>
              <w:rPr>
                <w:b/>
                <w:color w:val="auto"/>
              </w:rPr>
            </w:pPr>
            <w:r>
              <w:rPr>
                <w:b/>
                <w:color w:val="auto"/>
                <w:lang w:bidi="ar"/>
              </w:rPr>
              <w:t>编号</w:t>
            </w:r>
          </w:p>
        </w:tc>
        <w:tc>
          <w:tcPr>
            <w:tcW w:w="3240" w:type="pct"/>
            <w:vMerge w:val="restar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1D170067">
            <w:pPr>
              <w:pStyle w:val="476"/>
              <w:rPr>
                <w:b/>
                <w:color w:val="auto"/>
              </w:rPr>
            </w:pPr>
            <w:r>
              <w:rPr>
                <w:b/>
                <w:color w:val="auto"/>
                <w:lang w:bidi="ar"/>
              </w:rPr>
              <w:t>名称</w:t>
            </w:r>
          </w:p>
        </w:tc>
        <w:tc>
          <w:tcPr>
            <w:tcW w:w="1415" w:type="pct"/>
            <w:gridSpan w:val="2"/>
            <w:tcBorders>
              <w:top w:val="single" w:color="000000" w:sz="4" w:space="0"/>
              <w:left w:val="single" w:color="000000" w:sz="4" w:space="0"/>
              <w:bottom w:val="single" w:color="000000" w:sz="4" w:space="0"/>
              <w:right w:val="single" w:color="auto" w:sz="4" w:space="0"/>
            </w:tcBorders>
            <w:shd w:val="clear" w:color="auto" w:fill="FFFFFF"/>
            <w:tcMar>
              <w:top w:w="9" w:type="dxa"/>
              <w:left w:w="9" w:type="dxa"/>
              <w:right w:w="9" w:type="dxa"/>
            </w:tcMar>
            <w:vAlign w:val="center"/>
          </w:tcPr>
          <w:p w14:paraId="5B8853D0">
            <w:pPr>
              <w:pStyle w:val="476"/>
              <w:rPr>
                <w:b/>
                <w:color w:val="auto"/>
              </w:rPr>
            </w:pPr>
            <w:r>
              <w:rPr>
                <w:b/>
                <w:color w:val="auto"/>
                <w:lang w:bidi="ar"/>
              </w:rPr>
              <w:t>技术经济指标</w:t>
            </w:r>
          </w:p>
        </w:tc>
      </w:tr>
      <w:tr w14:paraId="3D51945B">
        <w:tblPrEx>
          <w:tblCellMar>
            <w:top w:w="0" w:type="dxa"/>
            <w:left w:w="0" w:type="dxa"/>
            <w:bottom w:w="0" w:type="dxa"/>
            <w:right w:w="0" w:type="dxa"/>
          </w:tblCellMar>
        </w:tblPrEx>
        <w:trPr>
          <w:trHeight w:val="340" w:hRule="atLeast"/>
          <w:tblHeader/>
          <w:jc w:val="center"/>
        </w:trPr>
        <w:tc>
          <w:tcPr>
            <w:tcW w:w="34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06853B82">
            <w:pPr>
              <w:pStyle w:val="476"/>
              <w:rPr>
                <w:b/>
                <w:color w:val="auto"/>
              </w:rPr>
            </w:pPr>
          </w:p>
        </w:tc>
        <w:tc>
          <w:tcPr>
            <w:tcW w:w="3240" w:type="pct"/>
            <w:vMerge w:val="continue"/>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5815EE8A">
            <w:pPr>
              <w:pStyle w:val="476"/>
              <w:rPr>
                <w:b/>
                <w:color w:val="auto"/>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7697A046">
            <w:pPr>
              <w:pStyle w:val="476"/>
              <w:rPr>
                <w:b/>
                <w:color w:val="auto"/>
              </w:rPr>
            </w:pPr>
            <w:r>
              <w:rPr>
                <w:b/>
                <w:color w:val="auto"/>
                <w:lang w:bidi="ar"/>
              </w:rPr>
              <w:t>数量</w:t>
            </w:r>
          </w:p>
        </w:tc>
        <w:tc>
          <w:tcPr>
            <w:tcW w:w="664" w:type="pct"/>
            <w:tcBorders>
              <w:top w:val="single" w:color="000000" w:sz="4" w:space="0"/>
              <w:left w:val="single" w:color="000000" w:sz="4" w:space="0"/>
              <w:bottom w:val="single" w:color="000000" w:sz="4" w:space="0"/>
              <w:right w:val="single" w:color="auto" w:sz="4" w:space="0"/>
            </w:tcBorders>
            <w:shd w:val="clear" w:color="auto" w:fill="FFFFFF"/>
            <w:tcMar>
              <w:top w:w="9" w:type="dxa"/>
              <w:left w:w="9" w:type="dxa"/>
              <w:right w:w="9" w:type="dxa"/>
            </w:tcMar>
            <w:vAlign w:val="center"/>
          </w:tcPr>
          <w:p w14:paraId="509AF3E0">
            <w:pPr>
              <w:pStyle w:val="476"/>
              <w:rPr>
                <w:b/>
                <w:color w:val="auto"/>
              </w:rPr>
            </w:pPr>
            <w:r>
              <w:rPr>
                <w:b/>
                <w:color w:val="auto"/>
                <w:lang w:bidi="ar"/>
              </w:rPr>
              <w:t>单位</w:t>
            </w:r>
          </w:p>
        </w:tc>
      </w:tr>
      <w:tr w14:paraId="25FA57ED">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1BDE8F09">
            <w:pPr>
              <w:pStyle w:val="476"/>
              <w:rPr>
                <w:color w:val="auto"/>
                <w:lang w:bidi="ar"/>
              </w:rPr>
            </w:pPr>
            <w:r>
              <w:rPr>
                <w:color w:val="auto"/>
                <w:lang w:bidi="ar"/>
              </w:rPr>
              <w:t>一</w:t>
            </w:r>
          </w:p>
        </w:tc>
        <w:tc>
          <w:tcPr>
            <w:tcW w:w="3240"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3C365659">
            <w:pPr>
              <w:pStyle w:val="476"/>
              <w:rPr>
                <w:bCs/>
                <w:color w:val="auto"/>
                <w:lang w:bidi="ar"/>
              </w:rPr>
            </w:pPr>
            <w:r>
              <w:rPr>
                <w:bCs/>
                <w:color w:val="auto"/>
                <w:lang w:bidi="ar"/>
              </w:rPr>
              <w:t>第一部分工程建设费</w:t>
            </w:r>
          </w:p>
        </w:tc>
        <w:tc>
          <w:tcPr>
            <w:tcW w:w="751"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0DB2E715">
            <w:pPr>
              <w:pStyle w:val="476"/>
              <w:rPr>
                <w:bCs/>
                <w:color w:val="auto"/>
                <w:lang w:bidi="ar"/>
              </w:rPr>
            </w:pPr>
          </w:p>
        </w:tc>
        <w:tc>
          <w:tcPr>
            <w:tcW w:w="664"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622EF404">
            <w:pPr>
              <w:pStyle w:val="476"/>
              <w:rPr>
                <w:bCs/>
                <w:color w:val="auto"/>
                <w:lang w:bidi="ar"/>
              </w:rPr>
            </w:pPr>
          </w:p>
        </w:tc>
      </w:tr>
      <w:tr w14:paraId="3BCE58C7">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vAlign w:val="center"/>
          </w:tcPr>
          <w:p w14:paraId="61E5C08F">
            <w:pPr>
              <w:pStyle w:val="476"/>
              <w:rPr>
                <w:color w:val="auto"/>
                <w:lang w:bidi="ar"/>
              </w:rPr>
            </w:pPr>
            <w:r>
              <w:rPr>
                <w:bCs/>
                <w:color w:val="auto"/>
                <w:lang w:bidi="ar"/>
              </w:rPr>
              <w:t>1-1</w:t>
            </w:r>
          </w:p>
        </w:tc>
        <w:tc>
          <w:tcPr>
            <w:tcW w:w="3240"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2B1521D9">
            <w:pPr>
              <w:pStyle w:val="476"/>
              <w:rPr>
                <w:bCs/>
                <w:color w:val="auto"/>
                <w:lang w:bidi="ar"/>
              </w:rPr>
            </w:pPr>
            <w:r>
              <w:rPr>
                <w:bCs/>
                <w:color w:val="auto"/>
                <w:lang w:bidi="ar"/>
              </w:rPr>
              <w:t>HDPE双壁波纹管DN200</w:t>
            </w:r>
          </w:p>
        </w:tc>
        <w:tc>
          <w:tcPr>
            <w:tcW w:w="751" w:type="pct"/>
            <w:tcBorders>
              <w:top w:val="single" w:color="000000" w:sz="6" w:space="0"/>
              <w:left w:val="single" w:color="000000" w:sz="6" w:space="0"/>
              <w:bottom w:val="single" w:color="000000" w:sz="6" w:space="0"/>
              <w:right w:val="single" w:color="000000" w:sz="6" w:space="0"/>
            </w:tcBorders>
            <w:shd w:val="clear" w:color="auto" w:fill="FFFFFF"/>
            <w:noWrap/>
            <w:tcMar>
              <w:top w:w="9" w:type="dxa"/>
              <w:left w:w="9" w:type="dxa"/>
              <w:right w:w="9" w:type="dxa"/>
            </w:tcMar>
          </w:tcPr>
          <w:p w14:paraId="7B7FCB69">
            <w:pPr>
              <w:pStyle w:val="476"/>
              <w:rPr>
                <w:bCs/>
                <w:color w:val="auto"/>
                <w:lang w:bidi="ar"/>
              </w:rPr>
            </w:pPr>
            <w:r>
              <w:rPr>
                <w:bCs/>
                <w:color w:val="auto"/>
                <w:lang w:bidi="ar"/>
              </w:rPr>
              <w:t>330</w:t>
            </w:r>
          </w:p>
        </w:tc>
        <w:tc>
          <w:tcPr>
            <w:tcW w:w="664" w:type="pct"/>
            <w:tcBorders>
              <w:top w:val="single" w:color="000000" w:sz="6" w:space="0"/>
              <w:left w:val="single" w:color="000000" w:sz="6" w:space="0"/>
              <w:bottom w:val="single" w:color="000000" w:sz="6" w:space="0"/>
              <w:right w:val="single" w:color="000000" w:sz="6" w:space="0"/>
            </w:tcBorders>
            <w:shd w:val="clear" w:color="auto" w:fill="FFFFFF"/>
            <w:noWrap/>
            <w:tcMar>
              <w:top w:w="9" w:type="dxa"/>
              <w:left w:w="9" w:type="dxa"/>
              <w:right w:w="9" w:type="dxa"/>
            </w:tcMar>
          </w:tcPr>
          <w:p w14:paraId="2FF38805">
            <w:pPr>
              <w:pStyle w:val="476"/>
              <w:rPr>
                <w:bCs/>
                <w:color w:val="auto"/>
                <w:lang w:bidi="ar"/>
              </w:rPr>
            </w:pPr>
            <w:r>
              <w:rPr>
                <w:bCs/>
                <w:color w:val="auto"/>
                <w:lang w:bidi="ar"/>
              </w:rPr>
              <w:t>米</w:t>
            </w:r>
          </w:p>
        </w:tc>
      </w:tr>
      <w:tr w14:paraId="16B02502">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34BE3E12">
            <w:pPr>
              <w:pStyle w:val="476"/>
              <w:rPr>
                <w:color w:val="auto"/>
                <w:lang w:bidi="ar"/>
              </w:rPr>
            </w:pPr>
            <w:r>
              <w:rPr>
                <w:bCs/>
                <w:color w:val="auto"/>
                <w:lang w:bidi="ar"/>
              </w:rPr>
              <w:t>1-2</w:t>
            </w:r>
          </w:p>
        </w:tc>
        <w:tc>
          <w:tcPr>
            <w:tcW w:w="3240"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05528562">
            <w:pPr>
              <w:pStyle w:val="476"/>
              <w:rPr>
                <w:bCs/>
                <w:color w:val="auto"/>
                <w:lang w:bidi="ar"/>
              </w:rPr>
            </w:pPr>
            <w:r>
              <w:rPr>
                <w:bCs/>
                <w:color w:val="auto"/>
                <w:lang w:bidi="ar"/>
              </w:rPr>
              <w:t>新建接户管(UPVC管)Φ 110,0.8MPa</w:t>
            </w:r>
          </w:p>
        </w:tc>
        <w:tc>
          <w:tcPr>
            <w:tcW w:w="751"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5895CCC3">
            <w:pPr>
              <w:pStyle w:val="476"/>
              <w:rPr>
                <w:bCs/>
                <w:color w:val="auto"/>
                <w:lang w:bidi="ar"/>
              </w:rPr>
            </w:pPr>
            <w:r>
              <w:rPr>
                <w:bCs/>
                <w:color w:val="auto"/>
                <w:lang w:bidi="ar"/>
              </w:rPr>
              <w:t>180</w:t>
            </w:r>
          </w:p>
        </w:tc>
        <w:tc>
          <w:tcPr>
            <w:tcW w:w="66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0D21D77E">
            <w:pPr>
              <w:pStyle w:val="476"/>
              <w:rPr>
                <w:bCs/>
                <w:color w:val="auto"/>
                <w:lang w:bidi="ar"/>
              </w:rPr>
            </w:pPr>
            <w:r>
              <w:rPr>
                <w:bCs/>
                <w:color w:val="auto"/>
                <w:lang w:bidi="ar"/>
              </w:rPr>
              <w:t>米</w:t>
            </w:r>
          </w:p>
        </w:tc>
      </w:tr>
      <w:tr w14:paraId="10DBC80B">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666CCDB5">
            <w:pPr>
              <w:pStyle w:val="476"/>
              <w:rPr>
                <w:bCs/>
                <w:color w:val="auto"/>
                <w:lang w:bidi="ar"/>
              </w:rPr>
            </w:pPr>
            <w:r>
              <w:rPr>
                <w:bCs/>
                <w:color w:val="auto"/>
                <w:lang w:bidi="ar"/>
              </w:rPr>
              <w:t>1-3</w:t>
            </w:r>
          </w:p>
        </w:tc>
        <w:tc>
          <w:tcPr>
            <w:tcW w:w="3240"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7C2AC482">
            <w:pPr>
              <w:pStyle w:val="476"/>
              <w:rPr>
                <w:bCs/>
                <w:color w:val="auto"/>
                <w:lang w:bidi="ar"/>
              </w:rPr>
            </w:pPr>
            <w:r>
              <w:rPr>
                <w:bCs/>
                <w:color w:val="auto"/>
                <w:lang w:bidi="ar"/>
              </w:rPr>
              <w:t>新建HDPE一体化检查井Φ700</w:t>
            </w:r>
          </w:p>
        </w:tc>
        <w:tc>
          <w:tcPr>
            <w:tcW w:w="751"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12F45D7E">
            <w:pPr>
              <w:pStyle w:val="476"/>
              <w:rPr>
                <w:bCs/>
                <w:color w:val="auto"/>
                <w:lang w:bidi="ar"/>
              </w:rPr>
            </w:pPr>
            <w:r>
              <w:rPr>
                <w:bCs/>
                <w:color w:val="auto"/>
                <w:lang w:bidi="ar"/>
              </w:rPr>
              <w:t>9</w:t>
            </w:r>
          </w:p>
        </w:tc>
        <w:tc>
          <w:tcPr>
            <w:tcW w:w="66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25E635B2">
            <w:pPr>
              <w:pStyle w:val="476"/>
              <w:rPr>
                <w:bCs/>
                <w:color w:val="auto"/>
                <w:lang w:bidi="ar"/>
              </w:rPr>
            </w:pPr>
            <w:r>
              <w:rPr>
                <w:bCs/>
                <w:color w:val="auto"/>
                <w:lang w:bidi="ar"/>
              </w:rPr>
              <w:t>座</w:t>
            </w:r>
          </w:p>
        </w:tc>
      </w:tr>
      <w:tr w14:paraId="4A0D0BCE">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499D14E1">
            <w:pPr>
              <w:pStyle w:val="476"/>
              <w:rPr>
                <w:bCs/>
                <w:color w:val="auto"/>
                <w:lang w:bidi="ar"/>
              </w:rPr>
            </w:pPr>
            <w:r>
              <w:rPr>
                <w:bCs/>
                <w:color w:val="auto"/>
                <w:lang w:bidi="ar"/>
              </w:rPr>
              <w:t>1-4</w:t>
            </w:r>
          </w:p>
        </w:tc>
        <w:tc>
          <w:tcPr>
            <w:tcW w:w="3240"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0929922D">
            <w:pPr>
              <w:pStyle w:val="476"/>
              <w:rPr>
                <w:bCs/>
                <w:color w:val="auto"/>
                <w:lang w:bidi="ar"/>
              </w:rPr>
            </w:pPr>
            <w:r>
              <w:rPr>
                <w:bCs/>
                <w:color w:val="auto"/>
                <w:lang w:bidi="ar"/>
              </w:rPr>
              <w:t>巴氏计量槽主要包括：超 声波流量计、本体等 量程范围1~20L/s。</w:t>
            </w:r>
          </w:p>
        </w:tc>
        <w:tc>
          <w:tcPr>
            <w:tcW w:w="751"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6935DBCE">
            <w:pPr>
              <w:pStyle w:val="617"/>
              <w:spacing w:before="9"/>
              <w:rPr>
                <w:rFonts w:ascii="Times New Roman" w:hAnsi="Times New Roman"/>
                <w:bCs/>
                <w:iCs/>
                <w:color w:val="auto"/>
                <w:kern w:val="2"/>
                <w:sz w:val="21"/>
                <w:szCs w:val="21"/>
                <w:lang w:val="zh-CN" w:eastAsia="zh-CN" w:bidi="ar"/>
              </w:rPr>
            </w:pPr>
          </w:p>
          <w:p w14:paraId="12368F90">
            <w:pPr>
              <w:pStyle w:val="476"/>
              <w:rPr>
                <w:bCs/>
                <w:color w:val="auto"/>
                <w:lang w:bidi="ar"/>
              </w:rPr>
            </w:pPr>
            <w:r>
              <w:rPr>
                <w:bCs/>
                <w:color w:val="auto"/>
                <w:lang w:bidi="ar"/>
              </w:rPr>
              <w:t>1</w:t>
            </w:r>
          </w:p>
        </w:tc>
        <w:tc>
          <w:tcPr>
            <w:tcW w:w="66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166CB5B9">
            <w:pPr>
              <w:pStyle w:val="617"/>
              <w:spacing w:before="4"/>
              <w:rPr>
                <w:rFonts w:ascii="Times New Roman" w:hAnsi="Times New Roman"/>
                <w:bCs/>
                <w:iCs/>
                <w:color w:val="auto"/>
                <w:kern w:val="2"/>
                <w:sz w:val="21"/>
                <w:szCs w:val="21"/>
                <w:lang w:val="zh-CN" w:eastAsia="zh-CN" w:bidi="ar"/>
              </w:rPr>
            </w:pPr>
          </w:p>
          <w:p w14:paraId="2CB26FC4">
            <w:pPr>
              <w:pStyle w:val="476"/>
              <w:rPr>
                <w:bCs/>
                <w:color w:val="auto"/>
                <w:lang w:bidi="ar"/>
              </w:rPr>
            </w:pPr>
            <w:r>
              <w:rPr>
                <w:bCs/>
                <w:color w:val="auto"/>
                <w:lang w:bidi="ar"/>
              </w:rPr>
              <w:t>套</w:t>
            </w:r>
          </w:p>
        </w:tc>
      </w:tr>
      <w:tr w14:paraId="3CBC0E72">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30D24C37">
            <w:pPr>
              <w:pStyle w:val="476"/>
              <w:rPr>
                <w:bCs/>
                <w:color w:val="auto"/>
                <w:lang w:bidi="ar"/>
              </w:rPr>
            </w:pPr>
            <w:r>
              <w:rPr>
                <w:bCs/>
                <w:color w:val="auto"/>
                <w:lang w:bidi="ar"/>
              </w:rPr>
              <w:t>1-5</w:t>
            </w:r>
          </w:p>
        </w:tc>
        <w:tc>
          <w:tcPr>
            <w:tcW w:w="3240"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4CB9AF21">
            <w:pPr>
              <w:pStyle w:val="476"/>
              <w:rPr>
                <w:bCs/>
                <w:color w:val="auto"/>
                <w:lang w:bidi="ar"/>
              </w:rPr>
            </w:pPr>
            <w:r>
              <w:rPr>
                <w:bCs/>
                <w:color w:val="auto"/>
                <w:lang w:bidi="ar"/>
              </w:rPr>
              <w:t>电能计量管理系统采集关 键节点电流、当天累积电 量、总电量</w:t>
            </w:r>
          </w:p>
        </w:tc>
        <w:tc>
          <w:tcPr>
            <w:tcW w:w="751"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62EC780A">
            <w:pPr>
              <w:pStyle w:val="617"/>
              <w:spacing w:before="5"/>
              <w:rPr>
                <w:rFonts w:ascii="Times New Roman" w:hAnsi="Times New Roman"/>
                <w:bCs/>
                <w:iCs/>
                <w:color w:val="auto"/>
                <w:kern w:val="2"/>
                <w:sz w:val="21"/>
                <w:szCs w:val="21"/>
                <w:lang w:val="zh-CN" w:eastAsia="zh-CN" w:bidi="ar"/>
              </w:rPr>
            </w:pPr>
          </w:p>
          <w:p w14:paraId="01B4E1A7">
            <w:pPr>
              <w:pStyle w:val="476"/>
              <w:rPr>
                <w:bCs/>
                <w:color w:val="auto"/>
                <w:lang w:bidi="ar"/>
              </w:rPr>
            </w:pPr>
            <w:r>
              <w:rPr>
                <w:bCs/>
                <w:color w:val="auto"/>
                <w:lang w:bidi="ar"/>
              </w:rPr>
              <w:t>1</w:t>
            </w:r>
          </w:p>
        </w:tc>
        <w:tc>
          <w:tcPr>
            <w:tcW w:w="66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7853E4F9">
            <w:pPr>
              <w:pStyle w:val="617"/>
              <w:spacing w:before="10"/>
              <w:rPr>
                <w:rFonts w:ascii="Times New Roman" w:hAnsi="Times New Roman"/>
                <w:bCs/>
                <w:iCs/>
                <w:color w:val="auto"/>
                <w:kern w:val="2"/>
                <w:sz w:val="21"/>
                <w:szCs w:val="21"/>
                <w:lang w:val="zh-CN" w:eastAsia="zh-CN" w:bidi="ar"/>
              </w:rPr>
            </w:pPr>
          </w:p>
          <w:p w14:paraId="42A847BD">
            <w:pPr>
              <w:pStyle w:val="476"/>
              <w:rPr>
                <w:bCs/>
                <w:color w:val="auto"/>
                <w:lang w:bidi="ar"/>
              </w:rPr>
            </w:pPr>
            <w:r>
              <w:rPr>
                <w:bCs/>
                <w:color w:val="auto"/>
                <w:lang w:bidi="ar"/>
              </w:rPr>
              <w:t>套</w:t>
            </w:r>
          </w:p>
        </w:tc>
      </w:tr>
      <w:tr w14:paraId="24BBA003">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553BBA6C">
            <w:pPr>
              <w:pStyle w:val="476"/>
              <w:rPr>
                <w:bCs/>
                <w:color w:val="auto"/>
                <w:lang w:bidi="ar"/>
              </w:rPr>
            </w:pPr>
            <w:r>
              <w:rPr>
                <w:bCs/>
                <w:color w:val="auto"/>
                <w:lang w:bidi="ar"/>
              </w:rPr>
              <w:t>1-6</w:t>
            </w:r>
          </w:p>
        </w:tc>
        <w:tc>
          <w:tcPr>
            <w:tcW w:w="3240"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2E6941C0">
            <w:pPr>
              <w:pStyle w:val="476"/>
              <w:rPr>
                <w:bCs/>
                <w:color w:val="auto"/>
                <w:lang w:bidi="ar"/>
              </w:rPr>
            </w:pPr>
            <w:r>
              <w:rPr>
                <w:bCs/>
                <w:color w:val="auto"/>
                <w:lang w:bidi="ar"/>
              </w:rPr>
              <w:t>标识牌不锈钢材质</w:t>
            </w:r>
          </w:p>
        </w:tc>
        <w:tc>
          <w:tcPr>
            <w:tcW w:w="751"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4932FB06">
            <w:pPr>
              <w:pStyle w:val="476"/>
              <w:rPr>
                <w:bCs/>
                <w:color w:val="auto"/>
                <w:lang w:bidi="ar"/>
              </w:rPr>
            </w:pPr>
            <w:r>
              <w:rPr>
                <w:bCs/>
                <w:color w:val="auto"/>
                <w:lang w:bidi="ar"/>
              </w:rPr>
              <w:t>1</w:t>
            </w:r>
          </w:p>
        </w:tc>
        <w:tc>
          <w:tcPr>
            <w:tcW w:w="66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0371A4F7">
            <w:pPr>
              <w:pStyle w:val="476"/>
              <w:rPr>
                <w:bCs/>
                <w:color w:val="auto"/>
                <w:lang w:bidi="ar"/>
              </w:rPr>
            </w:pPr>
            <w:r>
              <w:rPr>
                <w:bCs/>
                <w:color w:val="auto"/>
                <w:lang w:bidi="ar"/>
              </w:rPr>
              <w:t>套</w:t>
            </w:r>
          </w:p>
        </w:tc>
      </w:tr>
      <w:tr w14:paraId="6B14E1FE">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0A4872AD">
            <w:pPr>
              <w:pStyle w:val="476"/>
              <w:rPr>
                <w:bCs/>
                <w:color w:val="auto"/>
                <w:lang w:bidi="ar"/>
              </w:rPr>
            </w:pPr>
            <w:r>
              <w:rPr>
                <w:rFonts w:hint="eastAsia"/>
                <w:bCs/>
                <w:color w:val="auto"/>
                <w:lang w:bidi="ar"/>
              </w:rPr>
              <w:t>1-</w:t>
            </w:r>
            <w:r>
              <w:rPr>
                <w:bCs/>
                <w:color w:val="auto"/>
                <w:lang w:bidi="ar"/>
              </w:rPr>
              <w:t>7</w:t>
            </w:r>
          </w:p>
        </w:tc>
        <w:tc>
          <w:tcPr>
            <w:tcW w:w="3240"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4E4A73DC">
            <w:pPr>
              <w:pStyle w:val="476"/>
              <w:rPr>
                <w:bCs/>
                <w:color w:val="auto"/>
                <w:lang w:bidi="ar"/>
              </w:rPr>
            </w:pPr>
            <w:r>
              <w:rPr>
                <w:bCs/>
                <w:color w:val="auto"/>
                <w:lang w:bidi="ar"/>
              </w:rPr>
              <w:t>路面破除及修复面积</w:t>
            </w:r>
          </w:p>
        </w:tc>
        <w:tc>
          <w:tcPr>
            <w:tcW w:w="751"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6645CA0A">
            <w:pPr>
              <w:pStyle w:val="476"/>
              <w:rPr>
                <w:bCs/>
                <w:color w:val="auto"/>
                <w:lang w:bidi="ar"/>
              </w:rPr>
            </w:pPr>
            <w:r>
              <w:rPr>
                <w:bCs/>
                <w:color w:val="auto"/>
                <w:lang w:bidi="ar"/>
              </w:rPr>
              <w:t>96</w:t>
            </w:r>
          </w:p>
        </w:tc>
        <w:tc>
          <w:tcPr>
            <w:tcW w:w="664"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6A405126">
            <w:pPr>
              <w:pStyle w:val="476"/>
              <w:rPr>
                <w:bCs/>
                <w:color w:val="auto"/>
                <w:lang w:bidi="ar"/>
              </w:rPr>
            </w:pPr>
            <w:r>
              <w:rPr>
                <w:bCs/>
                <w:color w:val="auto"/>
                <w:lang w:bidi="ar"/>
              </w:rPr>
              <w:t>㎡</w:t>
            </w:r>
          </w:p>
        </w:tc>
      </w:tr>
      <w:tr w14:paraId="5FEA4198">
        <w:tblPrEx>
          <w:tblCellMar>
            <w:top w:w="0" w:type="dxa"/>
            <w:left w:w="0" w:type="dxa"/>
            <w:bottom w:w="0" w:type="dxa"/>
            <w:right w:w="0" w:type="dxa"/>
          </w:tblCellMar>
        </w:tblPrEx>
        <w:trPr>
          <w:trHeight w:val="340"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auto" w:fill="FFFFFF"/>
            <w:noWrap/>
            <w:tcMar>
              <w:top w:w="9" w:type="dxa"/>
              <w:left w:w="9" w:type="dxa"/>
              <w:right w:w="9" w:type="dxa"/>
            </w:tcMar>
            <w:vAlign w:val="center"/>
          </w:tcPr>
          <w:p w14:paraId="6580486E">
            <w:pPr>
              <w:pStyle w:val="476"/>
              <w:rPr>
                <w:bCs/>
                <w:color w:val="auto"/>
                <w:lang w:bidi="ar"/>
              </w:rPr>
            </w:pPr>
          </w:p>
        </w:tc>
        <w:tc>
          <w:tcPr>
            <w:tcW w:w="3240"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418AD507">
            <w:pPr>
              <w:pStyle w:val="476"/>
              <w:rPr>
                <w:bCs/>
                <w:color w:val="auto"/>
                <w:lang w:bidi="ar"/>
              </w:rPr>
            </w:pPr>
            <w:r>
              <w:rPr>
                <w:bCs/>
                <w:color w:val="auto"/>
                <w:lang w:bidi="ar"/>
              </w:rPr>
              <w:t>新建集中式一体化隔油池</w:t>
            </w:r>
          </w:p>
        </w:tc>
        <w:tc>
          <w:tcPr>
            <w:tcW w:w="751" w:type="pct"/>
            <w:tcBorders>
              <w:top w:val="single" w:color="000000" w:sz="6" w:space="0"/>
              <w:left w:val="single" w:color="000000" w:sz="6" w:space="0"/>
              <w:bottom w:val="single" w:color="000000" w:sz="6" w:space="0"/>
              <w:right w:val="single" w:color="000000" w:sz="6" w:space="0"/>
            </w:tcBorders>
            <w:shd w:val="clear" w:color="auto" w:fill="FFFFFF"/>
            <w:tcMar>
              <w:top w:w="9" w:type="dxa"/>
              <w:left w:w="9" w:type="dxa"/>
              <w:right w:w="9" w:type="dxa"/>
            </w:tcMar>
          </w:tcPr>
          <w:p w14:paraId="30492D0E">
            <w:pPr>
              <w:pStyle w:val="476"/>
              <w:rPr>
                <w:bCs/>
                <w:color w:val="auto"/>
                <w:lang w:bidi="ar"/>
              </w:rPr>
            </w:pPr>
            <w:r>
              <w:rPr>
                <w:bCs/>
                <w:color w:val="auto"/>
                <w:lang w:bidi="ar"/>
              </w:rPr>
              <w:t>1</w:t>
            </w:r>
          </w:p>
        </w:tc>
        <w:tc>
          <w:tcPr>
            <w:tcW w:w="664" w:type="pct"/>
            <w:tcBorders>
              <w:top w:val="single" w:color="000000" w:sz="4" w:space="0"/>
              <w:left w:val="single" w:color="000000" w:sz="4" w:space="0"/>
              <w:bottom w:val="single" w:color="000000" w:sz="4" w:space="0"/>
              <w:right w:val="single" w:color="000000" w:sz="4" w:space="0"/>
            </w:tcBorders>
            <w:shd w:val="clear" w:color="auto" w:fill="FFFFFF"/>
            <w:tcMar>
              <w:top w:w="9" w:type="dxa"/>
              <w:left w:w="9" w:type="dxa"/>
              <w:right w:w="9" w:type="dxa"/>
            </w:tcMar>
          </w:tcPr>
          <w:p w14:paraId="45A2680E">
            <w:pPr>
              <w:pStyle w:val="476"/>
              <w:rPr>
                <w:bCs/>
                <w:color w:val="auto"/>
                <w:lang w:bidi="ar"/>
              </w:rPr>
            </w:pPr>
            <w:r>
              <w:rPr>
                <w:bCs/>
                <w:color w:val="auto"/>
                <w:lang w:bidi="ar"/>
              </w:rPr>
              <w:t>座</w:t>
            </w:r>
          </w:p>
        </w:tc>
      </w:tr>
    </w:tbl>
    <w:p w14:paraId="32BB2274">
      <w:pPr>
        <w:pStyle w:val="4"/>
        <w:rPr>
          <w:rFonts w:ascii="Times New Roman" w:hAnsi="Times New Roman" w:eastAsiaTheme="minorEastAsia"/>
          <w:color w:val="000000" w:themeColor="text1"/>
          <w14:textFill>
            <w14:solidFill>
              <w14:schemeClr w14:val="tx1"/>
            </w14:solidFill>
          </w14:textFill>
        </w:rPr>
      </w:pPr>
      <w:bookmarkStart w:id="207" w:name="_Toc112693908"/>
      <w:bookmarkStart w:id="208" w:name="_Toc112694043"/>
      <w:bookmarkStart w:id="209" w:name="_Toc112861041"/>
      <w:r>
        <w:rPr>
          <w:rFonts w:hint="eastAsia" w:ascii="宋体" w:hAnsi="宋体" w:eastAsia="宋体" w:cs="宋体"/>
          <w:color w:val="000000" w:themeColor="text1"/>
          <w14:textFill>
            <w14:solidFill>
              <w14:schemeClr w14:val="tx1"/>
            </w14:solidFill>
          </w14:textFill>
        </w:rPr>
        <w:t>日溪乡集镇污水管网提升治理方案</w:t>
      </w:r>
      <w:bookmarkEnd w:id="207"/>
      <w:bookmarkEnd w:id="208"/>
      <w:bookmarkEnd w:id="209"/>
    </w:p>
    <w:p w14:paraId="7EC0B762">
      <w:pPr>
        <w:pStyle w:val="6"/>
        <w:rPr>
          <w:color w:val="000000" w:themeColor="text1"/>
          <w14:textFill>
            <w14:solidFill>
              <w14:schemeClr w14:val="tx1"/>
            </w14:solidFill>
          </w14:textFill>
        </w:rPr>
      </w:pPr>
      <w:bookmarkStart w:id="210" w:name="_Toc112692611"/>
      <w:bookmarkStart w:id="211" w:name="_Toc112693909"/>
      <w:bookmarkStart w:id="212" w:name="_Toc112694044"/>
      <w:r>
        <w:rPr>
          <w:color w:val="000000" w:themeColor="text1"/>
          <w14:textFill>
            <w14:solidFill>
              <w14:schemeClr w14:val="tx1"/>
            </w14:solidFill>
          </w14:textFill>
        </w:rPr>
        <w:t>污水收集管网系统规划设计</w:t>
      </w:r>
      <w:bookmarkEnd w:id="210"/>
      <w:bookmarkEnd w:id="211"/>
      <w:bookmarkEnd w:id="212"/>
    </w:p>
    <w:p w14:paraId="627B824F">
      <w:pPr>
        <w:pStyle w:val="52"/>
        <w:rPr>
          <w:color w:val="000000" w:themeColor="text1"/>
          <w14:textFill>
            <w14:solidFill>
              <w14:schemeClr w14:val="tx1"/>
            </w14:solidFill>
          </w14:textFill>
        </w:rPr>
      </w:pPr>
      <w:r>
        <w:rPr>
          <w:color w:val="000000" w:themeColor="text1"/>
          <w14:textFill>
            <w14:solidFill>
              <w14:schemeClr w14:val="tx1"/>
            </w14:solidFill>
          </w14:textFill>
        </w:rPr>
        <w:t>根据日溪乡集镇区实际情况，按照雨污分流的原则和集镇区生活污水宜纳管全部纳管，不宜纳管分散处置的方式，实现镇区生活污水100%无害化处置，完成片区污水管网雨污分流改造和修复完善。</w:t>
      </w:r>
    </w:p>
    <w:p w14:paraId="3C40D94F">
      <w:pPr>
        <w:pStyle w:val="6"/>
        <w:rPr>
          <w:color w:val="000000" w:themeColor="text1"/>
          <w14:textFill>
            <w14:solidFill>
              <w14:schemeClr w14:val="tx1"/>
            </w14:solidFill>
          </w14:textFill>
        </w:rPr>
      </w:pPr>
      <w:bookmarkStart w:id="213" w:name="_Toc112692612"/>
      <w:bookmarkStart w:id="214" w:name="_Toc112693910"/>
      <w:bookmarkStart w:id="215" w:name="_Toc112694045"/>
      <w:r>
        <w:rPr>
          <w:color w:val="000000" w:themeColor="text1"/>
          <w14:textFill>
            <w14:solidFill>
              <w14:schemeClr w14:val="tx1"/>
            </w14:solidFill>
          </w14:textFill>
        </w:rPr>
        <w:t>污水管网管材选择</w:t>
      </w:r>
      <w:bookmarkEnd w:id="213"/>
      <w:bookmarkEnd w:id="214"/>
      <w:bookmarkEnd w:id="215"/>
    </w:p>
    <w:p w14:paraId="482EBC53">
      <w:pPr>
        <w:pStyle w:val="52"/>
        <w:rPr>
          <w:color w:val="000000" w:themeColor="text1"/>
          <w14:textFill>
            <w14:solidFill>
              <w14:schemeClr w14:val="tx1"/>
            </w14:solidFill>
          </w14:textFill>
        </w:rPr>
      </w:pPr>
      <w:r>
        <w:rPr>
          <w:color w:val="000000" w:themeColor="text1"/>
          <w14:textFill>
            <w14:solidFill>
              <w14:schemeClr w14:val="tx1"/>
            </w14:solidFill>
          </w14:textFill>
        </w:rPr>
        <w:t>根据实际情况，从技术、经济、市场供应及国家、省市有关行业政策等因素考虑，根据不同地段的条件、性质，推荐本项目的污水重力管（埋地）选用HDPE双壁波纹管、污水重力管（架空）选用内衬塑镀锌钢管、接户管（埋深小1m，管径DN160）采用UPVC管。</w:t>
      </w:r>
    </w:p>
    <w:p w14:paraId="1D87ABF4">
      <w:pPr>
        <w:pStyle w:val="6"/>
        <w:rPr>
          <w:color w:val="000000" w:themeColor="text1"/>
          <w14:textFill>
            <w14:solidFill>
              <w14:schemeClr w14:val="tx1"/>
            </w14:solidFill>
          </w14:textFill>
        </w:rPr>
      </w:pPr>
      <w:bookmarkStart w:id="216" w:name="_Toc112694046"/>
      <w:bookmarkStart w:id="217" w:name="_Toc112693911"/>
      <w:bookmarkStart w:id="218" w:name="_Toc112692613"/>
      <w:r>
        <w:rPr>
          <w:color w:val="000000" w:themeColor="text1"/>
          <w14:textFill>
            <w14:solidFill>
              <w14:schemeClr w14:val="tx1"/>
            </w14:solidFill>
          </w14:textFill>
        </w:rPr>
        <w:t>污水检查井选择</w:t>
      </w:r>
      <w:bookmarkEnd w:id="216"/>
      <w:bookmarkEnd w:id="217"/>
      <w:bookmarkEnd w:id="218"/>
    </w:p>
    <w:p w14:paraId="1B19BC88">
      <w:pPr>
        <w:pStyle w:val="52"/>
        <w:rPr>
          <w:color w:val="000000" w:themeColor="text1"/>
          <w14:textFill>
            <w14:solidFill>
              <w14:schemeClr w14:val="tx1"/>
            </w14:solidFill>
          </w14:textFill>
        </w:rPr>
      </w:pPr>
      <w:r>
        <w:rPr>
          <w:color w:val="000000" w:themeColor="text1"/>
          <w14:textFill>
            <w14:solidFill>
              <w14:schemeClr w14:val="tx1"/>
            </w14:solidFill>
          </w14:textFill>
        </w:rPr>
        <w:t>管道转弯、交汇、变坡、变径以及一定长度的直线距离处，均须设置检查井。根据《室外排水设计标准》(GB50014-2021)规定，检查井采用钢筋混凝土检查井。</w:t>
      </w:r>
    </w:p>
    <w:p w14:paraId="2A83531D">
      <w:pPr>
        <w:pStyle w:val="6"/>
        <w:rPr>
          <w:color w:val="000000" w:themeColor="text1"/>
          <w14:textFill>
            <w14:solidFill>
              <w14:schemeClr w14:val="tx1"/>
            </w14:solidFill>
          </w14:textFill>
        </w:rPr>
      </w:pPr>
      <w:bookmarkStart w:id="219" w:name="_Toc112692614"/>
      <w:bookmarkStart w:id="220" w:name="_Toc112693912"/>
      <w:bookmarkStart w:id="221" w:name="_Toc112694047"/>
      <w:r>
        <w:rPr>
          <w:color w:val="000000" w:themeColor="text1"/>
          <w14:textFill>
            <w14:solidFill>
              <w14:schemeClr w14:val="tx1"/>
            </w14:solidFill>
          </w14:textFill>
        </w:rPr>
        <w:t>建设内容及进度安排</w:t>
      </w:r>
      <w:bookmarkEnd w:id="219"/>
      <w:bookmarkEnd w:id="220"/>
      <w:bookmarkEnd w:id="221"/>
    </w:p>
    <w:p w14:paraId="4670ED67">
      <w:pPr>
        <w:pStyle w:val="52"/>
        <w:rPr>
          <w:color w:val="000000" w:themeColor="text1"/>
          <w14:textFill>
            <w14:solidFill>
              <w14:schemeClr w14:val="tx1"/>
            </w14:solidFill>
          </w14:textFill>
        </w:rPr>
      </w:pPr>
      <w:r>
        <w:rPr>
          <w:color w:val="000000" w:themeColor="text1"/>
          <w14:textFill>
            <w14:solidFill>
              <w14:schemeClr w14:val="tx1"/>
            </w14:solidFill>
          </w14:textFill>
        </w:rPr>
        <w:t>日溪乡规划新（改）建污水管网1440米，检查井55座，项目规划2021年启动工程建设，2022年完成验收。</w:t>
      </w:r>
    </w:p>
    <w:p w14:paraId="7A5A6243">
      <w:pPr>
        <w:pStyle w:val="6"/>
        <w:rPr>
          <w:color w:val="000000" w:themeColor="text1"/>
          <w14:textFill>
            <w14:solidFill>
              <w14:schemeClr w14:val="tx1"/>
            </w14:solidFill>
          </w14:textFill>
        </w:rPr>
      </w:pPr>
      <w:bookmarkStart w:id="222" w:name="_Toc112694048"/>
      <w:bookmarkStart w:id="223" w:name="_Toc112693913"/>
      <w:bookmarkStart w:id="224" w:name="_Toc112692615"/>
      <w:r>
        <w:rPr>
          <w:color w:val="000000" w:themeColor="text1"/>
          <w14:textFill>
            <w14:solidFill>
              <w14:schemeClr w14:val="tx1"/>
            </w14:solidFill>
          </w14:textFill>
        </w:rPr>
        <w:t>日溪乡生活污水提升工程主要工程量清单</w:t>
      </w:r>
      <w:bookmarkEnd w:id="222"/>
      <w:bookmarkEnd w:id="223"/>
      <w:bookmarkEnd w:id="224"/>
    </w:p>
    <w:p w14:paraId="00E5A313">
      <w:pPr>
        <w:spacing w:line="360" w:lineRule="auto"/>
        <w:jc w:val="center"/>
        <w:rPr>
          <w:b/>
          <w:bCs/>
          <w:color w:val="auto"/>
          <w:sz w:val="24"/>
          <w:szCs w:val="28"/>
          <w:lang w:val="zh-CN"/>
        </w:rPr>
      </w:pPr>
      <w:r>
        <w:rPr>
          <w:rFonts w:hint="eastAsia"/>
          <w:b/>
          <w:bCs/>
          <w:color w:val="auto"/>
          <w:sz w:val="24"/>
          <w:szCs w:val="28"/>
          <w:lang w:val="zh-CN"/>
        </w:rPr>
        <w:t>表5.2-6日溪乡9个行政村污水处理设施新(改)建项目工程量清单</w:t>
      </w:r>
    </w:p>
    <w:tbl>
      <w:tblPr>
        <w:tblStyle w:val="55"/>
        <w:tblW w:w="5000" w:type="pct"/>
        <w:tblInd w:w="0" w:type="dxa"/>
        <w:tblLayout w:type="autofit"/>
        <w:tblCellMar>
          <w:top w:w="0" w:type="dxa"/>
          <w:left w:w="108" w:type="dxa"/>
          <w:bottom w:w="0" w:type="dxa"/>
          <w:right w:w="108" w:type="dxa"/>
        </w:tblCellMar>
      </w:tblPr>
      <w:tblGrid>
        <w:gridCol w:w="1392"/>
        <w:gridCol w:w="4177"/>
        <w:gridCol w:w="1367"/>
        <w:gridCol w:w="1784"/>
      </w:tblGrid>
      <w:tr w14:paraId="004EA9F2">
        <w:tblPrEx>
          <w:tblCellMar>
            <w:top w:w="0" w:type="dxa"/>
            <w:left w:w="108" w:type="dxa"/>
            <w:bottom w:w="0" w:type="dxa"/>
            <w:right w:w="108" w:type="dxa"/>
          </w:tblCellMar>
        </w:tblPrEx>
        <w:trPr>
          <w:trHeight w:val="400" w:hRule="atLeast"/>
        </w:trPr>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892DA">
            <w:pPr>
              <w:pStyle w:val="476"/>
              <w:rPr>
                <w:color w:val="auto"/>
              </w:rPr>
            </w:pPr>
            <w:r>
              <w:rPr>
                <w:b/>
                <w:color w:val="auto"/>
                <w:lang w:bidi="ar"/>
              </w:rPr>
              <w:t>序号</w:t>
            </w:r>
          </w:p>
        </w:tc>
        <w:tc>
          <w:tcPr>
            <w:tcW w:w="2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68F4F">
            <w:pPr>
              <w:pStyle w:val="476"/>
              <w:rPr>
                <w:color w:val="auto"/>
              </w:rPr>
            </w:pPr>
            <w:r>
              <w:rPr>
                <w:b/>
                <w:color w:val="auto"/>
                <w:lang w:bidi="ar"/>
              </w:rPr>
              <w:t>名称</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1ABA3">
            <w:pPr>
              <w:pStyle w:val="476"/>
              <w:rPr>
                <w:color w:val="auto"/>
              </w:rPr>
            </w:pPr>
            <w:r>
              <w:rPr>
                <w:b/>
                <w:color w:val="auto"/>
                <w:lang w:bidi="ar"/>
              </w:rPr>
              <w:t>单位</w:t>
            </w:r>
          </w:p>
        </w:tc>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36B26">
            <w:pPr>
              <w:pStyle w:val="476"/>
              <w:rPr>
                <w:color w:val="auto"/>
              </w:rPr>
            </w:pPr>
            <w:r>
              <w:rPr>
                <w:b/>
                <w:color w:val="auto"/>
                <w:lang w:bidi="ar"/>
              </w:rPr>
              <w:t>数量</w:t>
            </w:r>
          </w:p>
        </w:tc>
      </w:tr>
      <w:tr w14:paraId="12AE0C70">
        <w:tblPrEx>
          <w:tblCellMar>
            <w:top w:w="0" w:type="dxa"/>
            <w:left w:w="108" w:type="dxa"/>
            <w:bottom w:w="0" w:type="dxa"/>
            <w:right w:w="108" w:type="dxa"/>
          </w:tblCellMar>
        </w:tblPrEx>
        <w:trPr>
          <w:trHeight w:val="400" w:hRule="atLeast"/>
        </w:trPr>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2EF98">
            <w:pPr>
              <w:pStyle w:val="476"/>
              <w:rPr>
                <w:color w:val="auto"/>
                <w:lang w:bidi="ar"/>
              </w:rPr>
            </w:pPr>
            <w:r>
              <w:rPr>
                <w:color w:val="auto"/>
                <w:lang w:bidi="ar"/>
              </w:rPr>
              <w:t>1</w:t>
            </w:r>
          </w:p>
        </w:tc>
        <w:tc>
          <w:tcPr>
            <w:tcW w:w="2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F1733">
            <w:pPr>
              <w:pStyle w:val="476"/>
              <w:rPr>
                <w:color w:val="auto"/>
                <w:lang w:bidi="ar"/>
              </w:rPr>
            </w:pPr>
            <w:r>
              <w:rPr>
                <w:color w:val="auto"/>
                <w:lang w:bidi="ar"/>
              </w:rPr>
              <w:t>集镇污水处理厂</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D6D1B">
            <w:pPr>
              <w:pStyle w:val="476"/>
              <w:rPr>
                <w:b/>
                <w:color w:val="auto"/>
                <w:lang w:bidi="ar"/>
              </w:rPr>
            </w:pPr>
          </w:p>
        </w:tc>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8964E">
            <w:pPr>
              <w:pStyle w:val="476"/>
              <w:rPr>
                <w:b/>
                <w:color w:val="auto"/>
                <w:lang w:bidi="ar"/>
              </w:rPr>
            </w:pPr>
          </w:p>
        </w:tc>
      </w:tr>
      <w:tr w14:paraId="528BA3B5">
        <w:tblPrEx>
          <w:tblCellMar>
            <w:top w:w="0" w:type="dxa"/>
            <w:left w:w="108" w:type="dxa"/>
            <w:bottom w:w="0" w:type="dxa"/>
            <w:right w:w="108" w:type="dxa"/>
          </w:tblCellMar>
        </w:tblPrEx>
        <w:trPr>
          <w:trHeight w:val="400" w:hRule="atLeast"/>
        </w:trPr>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B051B">
            <w:pPr>
              <w:pStyle w:val="476"/>
              <w:rPr>
                <w:color w:val="auto"/>
                <w:lang w:bidi="ar"/>
              </w:rPr>
            </w:pPr>
            <w:r>
              <w:rPr>
                <w:color w:val="auto"/>
                <w:lang w:bidi="ar"/>
              </w:rPr>
              <w:t>1-1</w:t>
            </w:r>
          </w:p>
        </w:tc>
        <w:tc>
          <w:tcPr>
            <w:tcW w:w="2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30466">
            <w:pPr>
              <w:pStyle w:val="476"/>
              <w:rPr>
                <w:color w:val="auto"/>
                <w:lang w:bidi="ar"/>
              </w:rPr>
            </w:pPr>
            <w:r>
              <w:rPr>
                <w:bCs/>
                <w:color w:val="auto"/>
                <w:kern w:val="0"/>
                <w:lang w:bidi="ar"/>
              </w:rPr>
              <w:t>新建次干管DN200</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9B5BB">
            <w:pPr>
              <w:pStyle w:val="476"/>
              <w:rPr>
                <w:color w:val="auto"/>
                <w:lang w:bidi="ar"/>
              </w:rPr>
            </w:pPr>
            <w:r>
              <w:rPr>
                <w:color w:val="auto"/>
                <w:lang w:bidi="ar"/>
              </w:rPr>
              <w:t>m</w:t>
            </w:r>
          </w:p>
        </w:tc>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F1B37">
            <w:pPr>
              <w:pStyle w:val="476"/>
              <w:rPr>
                <w:color w:val="auto"/>
              </w:rPr>
            </w:pPr>
            <w:r>
              <w:rPr>
                <w:color w:val="auto"/>
                <w:lang w:bidi="ar"/>
              </w:rPr>
              <w:t>960</w:t>
            </w:r>
          </w:p>
        </w:tc>
      </w:tr>
      <w:tr w14:paraId="7FAE9432">
        <w:tblPrEx>
          <w:tblCellMar>
            <w:top w:w="0" w:type="dxa"/>
            <w:left w:w="108" w:type="dxa"/>
            <w:bottom w:w="0" w:type="dxa"/>
            <w:right w:w="108" w:type="dxa"/>
          </w:tblCellMar>
        </w:tblPrEx>
        <w:trPr>
          <w:trHeight w:val="400" w:hRule="atLeast"/>
        </w:trPr>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47F5B">
            <w:pPr>
              <w:pStyle w:val="476"/>
              <w:rPr>
                <w:color w:val="auto"/>
              </w:rPr>
            </w:pPr>
            <w:r>
              <w:rPr>
                <w:color w:val="auto"/>
                <w:lang w:bidi="ar"/>
              </w:rPr>
              <w:t>1-2</w:t>
            </w:r>
          </w:p>
        </w:tc>
        <w:tc>
          <w:tcPr>
            <w:tcW w:w="2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0B9D8">
            <w:pPr>
              <w:pStyle w:val="476"/>
              <w:rPr>
                <w:color w:val="auto"/>
              </w:rPr>
            </w:pPr>
            <w:r>
              <w:rPr>
                <w:bCs/>
                <w:color w:val="auto"/>
                <w:kern w:val="0"/>
                <w:lang w:bidi="ar"/>
              </w:rPr>
              <w:t>新建接户支管Φ110</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3DB5A">
            <w:pPr>
              <w:pStyle w:val="476"/>
              <w:rPr>
                <w:color w:val="auto"/>
              </w:rPr>
            </w:pPr>
            <w:r>
              <w:rPr>
                <w:bCs/>
                <w:color w:val="auto"/>
                <w:kern w:val="0"/>
                <w:lang w:bidi="ar"/>
              </w:rPr>
              <w:t>m</w:t>
            </w:r>
          </w:p>
        </w:tc>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2AE4E">
            <w:pPr>
              <w:pStyle w:val="476"/>
              <w:rPr>
                <w:color w:val="auto"/>
              </w:rPr>
            </w:pPr>
            <w:r>
              <w:rPr>
                <w:bCs/>
                <w:color w:val="auto"/>
                <w:kern w:val="0"/>
                <w:lang w:bidi="ar"/>
              </w:rPr>
              <w:t>300</w:t>
            </w:r>
          </w:p>
        </w:tc>
      </w:tr>
      <w:tr w14:paraId="4AD59211">
        <w:tblPrEx>
          <w:tblCellMar>
            <w:top w:w="0" w:type="dxa"/>
            <w:left w:w="108" w:type="dxa"/>
            <w:bottom w:w="0" w:type="dxa"/>
            <w:right w:w="108" w:type="dxa"/>
          </w:tblCellMar>
        </w:tblPrEx>
        <w:trPr>
          <w:trHeight w:val="400" w:hRule="atLeast"/>
        </w:trPr>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BF9ED">
            <w:pPr>
              <w:pStyle w:val="476"/>
              <w:rPr>
                <w:color w:val="auto"/>
              </w:rPr>
            </w:pPr>
            <w:r>
              <w:rPr>
                <w:color w:val="auto"/>
                <w:lang w:bidi="ar"/>
              </w:rPr>
              <w:t>2</w:t>
            </w:r>
          </w:p>
        </w:tc>
        <w:tc>
          <w:tcPr>
            <w:tcW w:w="2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D3FD7">
            <w:pPr>
              <w:pStyle w:val="476"/>
              <w:rPr>
                <w:color w:val="auto"/>
              </w:rPr>
            </w:pPr>
            <w:r>
              <w:rPr>
                <w:bCs/>
                <w:color w:val="auto"/>
                <w:kern w:val="0"/>
                <w:lang w:bidi="ar"/>
              </w:rPr>
              <w:t>新建污水检查井Φ800</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A10AA">
            <w:pPr>
              <w:pStyle w:val="476"/>
              <w:rPr>
                <w:bCs/>
                <w:color w:val="auto"/>
                <w:kern w:val="0"/>
                <w:lang w:bidi="ar"/>
              </w:rPr>
            </w:pPr>
            <w:r>
              <w:rPr>
                <w:bCs/>
                <w:color w:val="auto"/>
                <w:kern w:val="0"/>
                <w:lang w:bidi="ar"/>
              </w:rPr>
              <w:t>座</w:t>
            </w:r>
          </w:p>
        </w:tc>
        <w:tc>
          <w:tcPr>
            <w:tcW w:w="10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05C3B">
            <w:pPr>
              <w:pStyle w:val="476"/>
              <w:rPr>
                <w:bCs/>
                <w:color w:val="auto"/>
                <w:kern w:val="0"/>
                <w:lang w:bidi="ar"/>
              </w:rPr>
            </w:pPr>
            <w:r>
              <w:rPr>
                <w:bCs/>
                <w:color w:val="auto"/>
                <w:kern w:val="0"/>
                <w:lang w:bidi="ar"/>
              </w:rPr>
              <w:t>50</w:t>
            </w:r>
          </w:p>
        </w:tc>
      </w:tr>
    </w:tbl>
    <w:p w14:paraId="6E57AF9B">
      <w:pPr>
        <w:jc w:val="center"/>
        <w:rPr>
          <w:b/>
          <w:bCs/>
          <w:color w:val="000000" w:themeColor="text1"/>
          <w:sz w:val="24"/>
          <w:szCs w:val="28"/>
          <w:lang w:val="zh-CN"/>
          <w14:textFill>
            <w14:solidFill>
              <w14:schemeClr w14:val="tx1"/>
            </w14:solidFill>
          </w14:textFill>
        </w:rPr>
      </w:pPr>
    </w:p>
    <w:p w14:paraId="47F95B92">
      <w:pPr>
        <w:jc w:val="center"/>
        <w:rPr>
          <w:rFonts w:hint="eastAsia"/>
          <w:b/>
          <w:bCs/>
          <w:color w:val="000000" w:themeColor="text1"/>
          <w:sz w:val="24"/>
          <w:szCs w:val="28"/>
          <w:lang w:val="zh-CN"/>
          <w14:textFill>
            <w14:solidFill>
              <w14:schemeClr w14:val="tx1"/>
            </w14:solidFill>
          </w14:textFill>
        </w:rPr>
        <w:sectPr>
          <w:pgSz w:w="11906" w:h="16838"/>
          <w:pgMar w:top="1701" w:right="1701" w:bottom="1701" w:left="1701" w:header="851" w:footer="992" w:gutter="0"/>
          <w:cols w:space="720" w:num="1"/>
          <w:docGrid w:type="linesAndChars" w:linePitch="312" w:charSpace="0"/>
        </w:sectPr>
      </w:pPr>
    </w:p>
    <w:p w14:paraId="53DA0F57">
      <w:pPr>
        <w:pStyle w:val="3"/>
        <w:rPr>
          <w:rFonts w:ascii="Times New Roman" w:hAnsi="Times New Roman"/>
          <w:color w:val="000000" w:themeColor="text1"/>
          <w14:textFill>
            <w14:solidFill>
              <w14:schemeClr w14:val="tx1"/>
            </w14:solidFill>
          </w14:textFill>
        </w:rPr>
      </w:pPr>
      <w:bookmarkStart w:id="225" w:name="_Toc112693914"/>
      <w:bookmarkStart w:id="226" w:name="_Toc112694049"/>
      <w:bookmarkStart w:id="227" w:name="_Toc112861042"/>
      <w:r>
        <w:rPr>
          <w:rFonts w:ascii="Times New Roman" w:hAnsi="Times New Roman"/>
          <w:color w:val="000000" w:themeColor="text1"/>
          <w14:textFill>
            <w14:solidFill>
              <w14:schemeClr w14:val="tx1"/>
            </w14:solidFill>
          </w14:textFill>
        </w:rPr>
        <w:t>投资估算及进度安排</w:t>
      </w:r>
      <w:bookmarkEnd w:id="225"/>
      <w:bookmarkEnd w:id="226"/>
      <w:bookmarkEnd w:id="227"/>
    </w:p>
    <w:p w14:paraId="082EEE60">
      <w:pPr>
        <w:pStyle w:val="4"/>
        <w:rPr>
          <w:rFonts w:ascii="Times New Roman" w:hAnsi="Times New Roman" w:eastAsiaTheme="minorEastAsia"/>
          <w:color w:val="000000" w:themeColor="text1"/>
          <w14:textFill>
            <w14:solidFill>
              <w14:schemeClr w14:val="tx1"/>
            </w14:solidFill>
          </w14:textFill>
        </w:rPr>
      </w:pPr>
      <w:bookmarkStart w:id="228" w:name="_Toc112693915"/>
      <w:bookmarkStart w:id="229" w:name="_Toc112694050"/>
      <w:bookmarkStart w:id="230" w:name="_Toc112861043"/>
      <w:r>
        <w:rPr>
          <w:rFonts w:hint="eastAsia" w:ascii="宋体" w:hAnsi="宋体" w:eastAsia="宋体" w:cs="宋体"/>
          <w:color w:val="000000" w:themeColor="text1"/>
          <w14:textFill>
            <w14:solidFill>
              <w14:schemeClr w14:val="tx1"/>
            </w14:solidFill>
          </w14:textFill>
        </w:rPr>
        <w:t>编制范围</w:t>
      </w:r>
      <w:bookmarkEnd w:id="228"/>
      <w:bookmarkEnd w:id="229"/>
      <w:bookmarkEnd w:id="230"/>
    </w:p>
    <w:p w14:paraId="036CAC39">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本次晋安区北峰山区乡镇污水治理项目工程包括5个村生活污水治理。工程内容包括污水管道提升改造，集镇区污水治理厂改扩建等。</w:t>
      </w:r>
    </w:p>
    <w:p w14:paraId="489B7613">
      <w:pPr>
        <w:pStyle w:val="4"/>
        <w:spacing w:before="0" w:beforeLines="0"/>
        <w:rPr>
          <w:rFonts w:ascii="Times New Roman" w:hAnsi="Times New Roman" w:eastAsiaTheme="minorEastAsia"/>
          <w:color w:val="000000" w:themeColor="text1"/>
          <w14:textFill>
            <w14:solidFill>
              <w14:schemeClr w14:val="tx1"/>
            </w14:solidFill>
          </w14:textFill>
        </w:rPr>
      </w:pPr>
      <w:bookmarkStart w:id="231" w:name="_Toc112693916"/>
      <w:bookmarkStart w:id="232" w:name="_Toc112861044"/>
      <w:bookmarkStart w:id="233" w:name="_Toc112694051"/>
      <w:r>
        <w:rPr>
          <w:rFonts w:hint="eastAsia" w:ascii="宋体" w:hAnsi="宋体" w:eastAsia="宋体" w:cs="宋体"/>
          <w:color w:val="000000" w:themeColor="text1"/>
          <w14:textFill>
            <w14:solidFill>
              <w14:schemeClr w14:val="tx1"/>
            </w14:solidFill>
          </w14:textFill>
        </w:rPr>
        <w:t>项目实施进度规划原则</w:t>
      </w:r>
      <w:bookmarkEnd w:id="231"/>
      <w:bookmarkEnd w:id="232"/>
      <w:bookmarkEnd w:id="233"/>
    </w:p>
    <w:p w14:paraId="4C9ABE73">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晋安区5个村庄治理目标和管控目标与省里要求衔接，在建设项目实施进度计划上遵循“突出重点，梯次推进”的原则进行安排，结合晋安区实际情况，在2025年完成提升改造。</w:t>
      </w:r>
    </w:p>
    <w:p w14:paraId="49B2B58B">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对治理设施，按照与城镇污水治理厂收集主管的距离远近分为纳管处理和分散处理。对部分较分散的居民，建设三格化粪池，尾水排入山体、林地、农田消纳吸收利用。规划近期，应重点关注污水管网的提升改造建设，保障污水收集率，促进北峰山区乡镇生活污水综合利用，尽可能减少北峰山区乡镇生活污水对饮用水水源地的影响。</w:t>
      </w:r>
    </w:p>
    <w:p w14:paraId="242E8794">
      <w:pPr>
        <w:pStyle w:val="4"/>
        <w:rPr>
          <w:rFonts w:ascii="Times New Roman" w:hAnsi="Times New Roman" w:eastAsiaTheme="minorEastAsia"/>
          <w:color w:val="000000" w:themeColor="text1"/>
          <w14:textFill>
            <w14:solidFill>
              <w14:schemeClr w14:val="tx1"/>
            </w14:solidFill>
          </w14:textFill>
        </w:rPr>
      </w:pPr>
      <w:bookmarkStart w:id="234" w:name="_Toc112861045"/>
      <w:bookmarkStart w:id="235" w:name="_Toc112694052"/>
      <w:bookmarkStart w:id="236" w:name="_Toc112693917"/>
      <w:r>
        <w:rPr>
          <w:rFonts w:hint="eastAsia" w:ascii="宋体" w:hAnsi="宋体" w:eastAsia="宋体" w:cs="宋体"/>
          <w:color w:val="000000" w:themeColor="text1"/>
          <w14:textFill>
            <w14:solidFill>
              <w14:schemeClr w14:val="tx1"/>
            </w14:solidFill>
          </w14:textFill>
        </w:rPr>
        <w:t>工程估算</w:t>
      </w:r>
      <w:bookmarkEnd w:id="234"/>
      <w:bookmarkEnd w:id="235"/>
      <w:bookmarkEnd w:id="236"/>
    </w:p>
    <w:p w14:paraId="1339AE17">
      <w:pPr>
        <w:pStyle w:val="6"/>
        <w:rPr>
          <w:color w:val="000000" w:themeColor="text1"/>
          <w14:textFill>
            <w14:solidFill>
              <w14:schemeClr w14:val="tx1"/>
            </w14:solidFill>
          </w14:textFill>
        </w:rPr>
      </w:pPr>
      <w:bookmarkStart w:id="237" w:name="_Toc112692620"/>
      <w:bookmarkStart w:id="238" w:name="_Toc112693918"/>
      <w:bookmarkStart w:id="239" w:name="_Toc112694053"/>
      <w:r>
        <w:rPr>
          <w:color w:val="000000" w:themeColor="text1"/>
          <w14:textFill>
            <w14:solidFill>
              <w14:schemeClr w14:val="tx1"/>
            </w14:solidFill>
          </w14:textFill>
        </w:rPr>
        <w:t>估算依据</w:t>
      </w:r>
      <w:bookmarkEnd w:id="237"/>
      <w:bookmarkEnd w:id="238"/>
      <w:bookmarkEnd w:id="239"/>
    </w:p>
    <w:p w14:paraId="7DBE9CCC">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（1）《福建省市政工程预算定额》(2017)；</w:t>
      </w:r>
    </w:p>
    <w:p w14:paraId="43952032">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（2）《福建省安装工程消耗量定额》(2017)；</w:t>
      </w:r>
    </w:p>
    <w:p w14:paraId="117B0B8A">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（3）《福建省园林绿化工程消耗量定额》(2017)；</w:t>
      </w:r>
    </w:p>
    <w:p w14:paraId="13858DA1">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（4）《福建省建筑工程消耗量定额》(2017)；</w:t>
      </w:r>
    </w:p>
    <w:p w14:paraId="439CACDA">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（5）《福建省建筑装饰装修工程消耗量定额(2017)；</w:t>
      </w:r>
    </w:p>
    <w:p w14:paraId="4E72F4A8">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（6）《福建省建筑安装工程费用定额》(2017版)及现行配套文件；</w:t>
      </w:r>
    </w:p>
    <w:p w14:paraId="0092E98B">
      <w:pPr>
        <w:pStyle w:val="5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（7）《全国市政工程投资估算编制办法》(建标[2007]164号文)。</w:t>
      </w:r>
    </w:p>
    <w:p w14:paraId="4B88D604">
      <w:pPr>
        <w:pStyle w:val="6"/>
        <w:keepNext w:val="0"/>
        <w:keepLines w:val="0"/>
        <w:rPr>
          <w:color w:val="000000" w:themeColor="text1"/>
          <w14:textFill>
            <w14:solidFill>
              <w14:schemeClr w14:val="tx1"/>
            </w14:solidFill>
          </w14:textFill>
        </w:rPr>
      </w:pPr>
      <w:bookmarkStart w:id="240" w:name="_Toc112692621"/>
      <w:bookmarkStart w:id="241" w:name="_Toc112693919"/>
      <w:bookmarkStart w:id="242" w:name="_Toc112694054"/>
      <w:r>
        <w:rPr>
          <w:color w:val="000000" w:themeColor="text1"/>
          <w14:textFill>
            <w14:solidFill>
              <w14:schemeClr w14:val="tx1"/>
            </w14:solidFill>
          </w14:textFill>
        </w:rPr>
        <w:t>工程投资估算表</w:t>
      </w:r>
      <w:bookmarkEnd w:id="240"/>
      <w:bookmarkEnd w:id="241"/>
      <w:bookmarkEnd w:id="242"/>
    </w:p>
    <w:p w14:paraId="49B1AE93">
      <w:pPr>
        <w:pStyle w:val="52"/>
        <w:widowControl w:val="0"/>
        <w:adjustRightInd w:val="0"/>
        <w:snapToGrid w:val="0"/>
        <w:rPr>
          <w:color w:val="auto"/>
        </w:rPr>
        <w:sectPr>
          <w:pgSz w:w="11906" w:h="16838"/>
          <w:pgMar w:top="1701" w:right="1701" w:bottom="1701" w:left="1701" w:header="851" w:footer="992" w:gutter="0"/>
          <w:cols w:space="720" w:num="1"/>
          <w:docGrid w:type="linesAndChars" w:linePitch="312" w:charSpace="0"/>
        </w:sectPr>
      </w:pPr>
      <w:r>
        <w:rPr>
          <w:color w:val="auto"/>
        </w:rPr>
        <w:t>晋安区污水处理整治规划建设资金约需</w:t>
      </w:r>
      <w:r>
        <w:rPr>
          <w:rFonts w:hint="eastAsia"/>
          <w:color w:val="auto"/>
        </w:rPr>
        <w:t>8</w:t>
      </w:r>
      <w:r>
        <w:rPr>
          <w:color w:val="auto"/>
        </w:rPr>
        <w:t>22万元，投资额具体见表6.3-1。</w:t>
      </w:r>
    </w:p>
    <w:p w14:paraId="04AE3C0B">
      <w:pPr>
        <w:pStyle w:val="442"/>
        <w:rPr>
          <w:color w:val="000000" w:themeColor="text1"/>
          <w14:textFill>
            <w14:solidFill>
              <w14:schemeClr w14:val="tx1"/>
            </w14:solidFill>
          </w14:textFill>
        </w:rPr>
      </w:pPr>
      <w:r>
        <w:rPr>
          <w:color w:val="000000" w:themeColor="text1"/>
          <w14:textFill>
            <w14:solidFill>
              <w14:schemeClr w14:val="tx1"/>
            </w14:solidFill>
          </w14:textFill>
        </w:rPr>
        <w:t>表6.3-1工程投资估算表</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543"/>
        <w:gridCol w:w="833"/>
        <w:gridCol w:w="1483"/>
        <w:gridCol w:w="980"/>
        <w:gridCol w:w="773"/>
        <w:gridCol w:w="836"/>
        <w:gridCol w:w="849"/>
        <w:gridCol w:w="773"/>
        <w:gridCol w:w="923"/>
        <w:gridCol w:w="833"/>
        <w:gridCol w:w="833"/>
        <w:gridCol w:w="830"/>
        <w:gridCol w:w="836"/>
        <w:gridCol w:w="983"/>
        <w:gridCol w:w="880"/>
      </w:tblGrid>
      <w:tr w14:paraId="6B92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71" w:type="pct"/>
            <w:vMerge w:val="restart"/>
            <w:shd w:val="clear" w:color="auto" w:fill="auto"/>
            <w:vAlign w:val="center"/>
          </w:tcPr>
          <w:p w14:paraId="2F06CB79">
            <w:pPr>
              <w:pStyle w:val="476"/>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99" w:type="pct"/>
            <w:vMerge w:val="restart"/>
            <w:shd w:val="clear" w:color="auto" w:fill="auto"/>
            <w:vAlign w:val="center"/>
          </w:tcPr>
          <w:p w14:paraId="1B77412D">
            <w:pPr>
              <w:pStyle w:val="476"/>
              <w:rPr>
                <w:b/>
                <w:color w:val="000000" w:themeColor="text1"/>
                <w14:textFill>
                  <w14:solidFill>
                    <w14:schemeClr w14:val="tx1"/>
                  </w14:solidFill>
                </w14:textFill>
              </w:rPr>
            </w:pPr>
            <w:r>
              <w:rPr>
                <w:b/>
                <w:color w:val="000000" w:themeColor="text1"/>
                <w14:textFill>
                  <w14:solidFill>
                    <w14:schemeClr w14:val="tx1"/>
                  </w14:solidFill>
                </w14:textFill>
              </w:rPr>
              <w:t>乡镇</w:t>
            </w:r>
          </w:p>
        </w:tc>
        <w:tc>
          <w:tcPr>
            <w:tcW w:w="2107" w:type="pct"/>
            <w:gridSpan w:val="6"/>
            <w:shd w:val="clear" w:color="auto" w:fill="auto"/>
            <w:vAlign w:val="center"/>
          </w:tcPr>
          <w:p w14:paraId="0AD2249C">
            <w:pPr>
              <w:pStyle w:val="476"/>
              <w:rPr>
                <w:b/>
                <w:color w:val="000000" w:themeColor="text1"/>
                <w14:textFill>
                  <w14:solidFill>
                    <w14:schemeClr w14:val="tx1"/>
                  </w14:solidFill>
                </w14:textFill>
              </w:rPr>
            </w:pPr>
            <w:r>
              <w:rPr>
                <w:b/>
                <w:color w:val="000000" w:themeColor="text1"/>
                <w14:textFill>
                  <w14:solidFill>
                    <w14:schemeClr w14:val="tx1"/>
                  </w14:solidFill>
                </w14:textFill>
              </w:rPr>
              <w:t>村庄概况</w:t>
            </w:r>
          </w:p>
        </w:tc>
        <w:tc>
          <w:tcPr>
            <w:tcW w:w="1841" w:type="pct"/>
            <w:gridSpan w:val="6"/>
            <w:shd w:val="clear" w:color="auto" w:fill="auto"/>
            <w:vAlign w:val="center"/>
          </w:tcPr>
          <w:p w14:paraId="4599942A">
            <w:pPr>
              <w:pStyle w:val="476"/>
              <w:rPr>
                <w:b/>
                <w:color w:val="000000" w:themeColor="text1"/>
                <w14:textFill>
                  <w14:solidFill>
                    <w14:schemeClr w14:val="tx1"/>
                  </w14:solidFill>
                </w14:textFill>
              </w:rPr>
            </w:pPr>
            <w:r>
              <w:rPr>
                <w:b/>
                <w:color w:val="000000" w:themeColor="text1"/>
                <w14:textFill>
                  <w14:solidFill>
                    <w14:schemeClr w14:val="tx1"/>
                  </w14:solidFill>
                </w14:textFill>
              </w:rPr>
              <w:t>建设项目内容</w:t>
            </w:r>
          </w:p>
        </w:tc>
        <w:tc>
          <w:tcPr>
            <w:tcW w:w="360" w:type="pct"/>
            <w:shd w:val="clear" w:color="auto" w:fill="auto"/>
            <w:vAlign w:val="center"/>
          </w:tcPr>
          <w:p w14:paraId="1568DB29">
            <w:pPr>
              <w:pStyle w:val="476"/>
              <w:rPr>
                <w:b/>
                <w:color w:val="000000" w:themeColor="text1"/>
                <w14:textFill>
                  <w14:solidFill>
                    <w14:schemeClr w14:val="tx1"/>
                  </w14:solidFill>
                </w14:textFill>
              </w:rPr>
            </w:pPr>
            <w:r>
              <w:rPr>
                <w:b/>
                <w:color w:val="000000" w:themeColor="text1"/>
                <w14:textFill>
                  <w14:solidFill>
                    <w14:schemeClr w14:val="tx1"/>
                  </w14:solidFill>
                </w14:textFill>
              </w:rPr>
              <w:t>资金投入情况</w:t>
            </w:r>
          </w:p>
        </w:tc>
        <w:tc>
          <w:tcPr>
            <w:tcW w:w="322" w:type="pct"/>
            <w:vMerge w:val="restart"/>
            <w:shd w:val="clear" w:color="auto" w:fill="auto"/>
            <w:vAlign w:val="center"/>
          </w:tcPr>
          <w:p w14:paraId="7CE9A41E">
            <w:pPr>
              <w:pStyle w:val="476"/>
              <w:rPr>
                <w:b/>
                <w:color w:val="000000" w:themeColor="text1"/>
                <w14:textFill>
                  <w14:solidFill>
                    <w14:schemeClr w14:val="tx1"/>
                  </w14:solidFill>
                </w14:textFill>
              </w:rPr>
            </w:pPr>
            <w:r>
              <w:rPr>
                <w:b/>
                <w:color w:val="000000" w:themeColor="text1"/>
                <w14:textFill>
                  <w14:solidFill>
                    <w14:schemeClr w14:val="tx1"/>
                  </w14:solidFill>
                </w14:textFill>
              </w:rPr>
              <w:t>实施时间</w:t>
            </w:r>
          </w:p>
        </w:tc>
      </w:tr>
      <w:tr w14:paraId="5B22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71" w:type="pct"/>
            <w:vMerge w:val="continue"/>
            <w:shd w:val="clear" w:color="auto" w:fill="auto"/>
            <w:vAlign w:val="center"/>
          </w:tcPr>
          <w:p w14:paraId="437F5EE7">
            <w:pPr>
              <w:pStyle w:val="476"/>
              <w:rPr>
                <w:b/>
                <w:color w:val="000000" w:themeColor="text1"/>
                <w14:textFill>
                  <w14:solidFill>
                    <w14:schemeClr w14:val="tx1"/>
                  </w14:solidFill>
                </w14:textFill>
              </w:rPr>
            </w:pPr>
          </w:p>
        </w:tc>
        <w:tc>
          <w:tcPr>
            <w:tcW w:w="199" w:type="pct"/>
            <w:vMerge w:val="continue"/>
            <w:shd w:val="clear" w:color="auto" w:fill="auto"/>
            <w:vAlign w:val="center"/>
          </w:tcPr>
          <w:p w14:paraId="6FF4B35A">
            <w:pPr>
              <w:pStyle w:val="476"/>
              <w:rPr>
                <w:b/>
                <w:color w:val="000000" w:themeColor="text1"/>
                <w14:textFill>
                  <w14:solidFill>
                    <w14:schemeClr w14:val="tx1"/>
                  </w14:solidFill>
                </w14:textFill>
              </w:rPr>
            </w:pPr>
          </w:p>
        </w:tc>
        <w:tc>
          <w:tcPr>
            <w:tcW w:w="305" w:type="pct"/>
            <w:shd w:val="clear" w:color="auto" w:fill="auto"/>
            <w:vAlign w:val="center"/>
          </w:tcPr>
          <w:p w14:paraId="5306F520">
            <w:pPr>
              <w:pStyle w:val="476"/>
              <w:rPr>
                <w:b/>
                <w:color w:val="000000" w:themeColor="text1"/>
                <w14:textFill>
                  <w14:solidFill>
                    <w14:schemeClr w14:val="tx1"/>
                  </w14:solidFill>
                </w14:textFill>
              </w:rPr>
            </w:pPr>
            <w:r>
              <w:rPr>
                <w:b/>
                <w:color w:val="000000" w:themeColor="text1"/>
                <w14:textFill>
                  <w14:solidFill>
                    <w14:schemeClr w14:val="tx1"/>
                  </w14:solidFill>
                </w14:textFill>
              </w:rPr>
              <w:t>行政村</w:t>
            </w:r>
          </w:p>
        </w:tc>
        <w:tc>
          <w:tcPr>
            <w:tcW w:w="543" w:type="pct"/>
            <w:shd w:val="clear" w:color="auto" w:fill="auto"/>
            <w:vAlign w:val="center"/>
          </w:tcPr>
          <w:p w14:paraId="3FF4DAC4">
            <w:pPr>
              <w:pStyle w:val="476"/>
              <w:rPr>
                <w:b/>
                <w:color w:val="000000" w:themeColor="text1"/>
                <w14:textFill>
                  <w14:solidFill>
                    <w14:schemeClr w14:val="tx1"/>
                  </w14:solidFill>
                </w14:textFill>
              </w:rPr>
            </w:pPr>
            <w:r>
              <w:rPr>
                <w:b/>
                <w:color w:val="000000" w:themeColor="text1"/>
                <w14:textFill>
                  <w14:solidFill>
                    <w14:schemeClr w14:val="tx1"/>
                  </w14:solidFill>
                </w14:textFill>
              </w:rPr>
              <w:t>行政村区域编码</w:t>
            </w:r>
          </w:p>
        </w:tc>
        <w:tc>
          <w:tcPr>
            <w:tcW w:w="359" w:type="pct"/>
            <w:shd w:val="clear" w:color="auto" w:fill="auto"/>
            <w:vAlign w:val="center"/>
          </w:tcPr>
          <w:p w14:paraId="1D3056B5">
            <w:pPr>
              <w:pStyle w:val="476"/>
              <w:rPr>
                <w:b/>
                <w:color w:val="000000" w:themeColor="text1"/>
                <w14:textFill>
                  <w14:solidFill>
                    <w14:schemeClr w14:val="tx1"/>
                  </w14:solidFill>
                </w14:textFill>
              </w:rPr>
            </w:pPr>
            <w:r>
              <w:rPr>
                <w:b/>
                <w:color w:val="000000" w:themeColor="text1"/>
                <w14:textFill>
                  <w14:solidFill>
                    <w14:schemeClr w14:val="tx1"/>
                  </w14:solidFill>
                </w14:textFill>
              </w:rPr>
              <w:t>是否沿溪（湖、库）</w:t>
            </w:r>
          </w:p>
        </w:tc>
        <w:tc>
          <w:tcPr>
            <w:tcW w:w="283" w:type="pct"/>
            <w:shd w:val="clear" w:color="auto" w:fill="auto"/>
            <w:vAlign w:val="center"/>
          </w:tcPr>
          <w:p w14:paraId="65DA884E">
            <w:pPr>
              <w:pStyle w:val="476"/>
              <w:rPr>
                <w:b/>
                <w:color w:val="000000" w:themeColor="text1"/>
                <w14:textFill>
                  <w14:solidFill>
                    <w14:schemeClr w14:val="tx1"/>
                  </w14:solidFill>
                </w14:textFill>
              </w:rPr>
            </w:pPr>
            <w:r>
              <w:rPr>
                <w:b/>
                <w:color w:val="000000" w:themeColor="text1"/>
                <w14:textFill>
                  <w14:solidFill>
                    <w14:schemeClr w14:val="tx1"/>
                  </w14:solidFill>
                </w14:textFill>
              </w:rPr>
              <w:t>是否属环境敏感区</w:t>
            </w:r>
          </w:p>
        </w:tc>
        <w:tc>
          <w:tcPr>
            <w:tcW w:w="306" w:type="pct"/>
            <w:shd w:val="clear" w:color="auto" w:fill="auto"/>
            <w:vAlign w:val="center"/>
          </w:tcPr>
          <w:p w14:paraId="08556C38">
            <w:pPr>
              <w:pStyle w:val="476"/>
              <w:rPr>
                <w:b/>
                <w:color w:val="000000" w:themeColor="text1"/>
                <w14:textFill>
                  <w14:solidFill>
                    <w14:schemeClr w14:val="tx1"/>
                  </w14:solidFill>
                </w14:textFill>
              </w:rPr>
            </w:pPr>
            <w:r>
              <w:rPr>
                <w:b/>
                <w:color w:val="000000" w:themeColor="text1"/>
                <w14:textFill>
                  <w14:solidFill>
                    <w14:schemeClr w14:val="tx1"/>
                  </w14:solidFill>
                </w14:textFill>
              </w:rPr>
              <w:t>环境敏感区类型</w:t>
            </w:r>
          </w:p>
        </w:tc>
        <w:tc>
          <w:tcPr>
            <w:tcW w:w="311" w:type="pct"/>
            <w:shd w:val="clear" w:color="auto" w:fill="auto"/>
            <w:vAlign w:val="center"/>
          </w:tcPr>
          <w:p w14:paraId="3718F2C4">
            <w:pPr>
              <w:pStyle w:val="476"/>
              <w:rPr>
                <w:b/>
                <w:color w:val="000000" w:themeColor="text1"/>
                <w14:textFill>
                  <w14:solidFill>
                    <w14:schemeClr w14:val="tx1"/>
                  </w14:solidFill>
                </w14:textFill>
              </w:rPr>
            </w:pPr>
            <w:r>
              <w:rPr>
                <w:b/>
                <w:color w:val="000000" w:themeColor="text1"/>
                <w14:textFill>
                  <w14:solidFill>
                    <w14:schemeClr w14:val="tx1"/>
                  </w14:solidFill>
                </w14:textFill>
              </w:rPr>
              <w:t>村庄特性</w:t>
            </w:r>
          </w:p>
        </w:tc>
        <w:tc>
          <w:tcPr>
            <w:tcW w:w="283" w:type="pct"/>
            <w:shd w:val="clear" w:color="auto" w:fill="auto"/>
            <w:vAlign w:val="center"/>
          </w:tcPr>
          <w:p w14:paraId="1D9EAF3C">
            <w:pPr>
              <w:pStyle w:val="476"/>
              <w:rPr>
                <w:b/>
                <w:color w:val="000000" w:themeColor="text1"/>
                <w14:textFill>
                  <w14:solidFill>
                    <w14:schemeClr w14:val="tx1"/>
                  </w14:solidFill>
                </w14:textFill>
              </w:rPr>
            </w:pPr>
            <w:r>
              <w:rPr>
                <w:b/>
                <w:color w:val="000000" w:themeColor="text1"/>
                <w14:textFill>
                  <w14:solidFill>
                    <w14:schemeClr w14:val="tx1"/>
                  </w14:solidFill>
                </w14:textFill>
              </w:rPr>
              <w:t>新建三格化粪池(座)</w:t>
            </w:r>
          </w:p>
        </w:tc>
        <w:tc>
          <w:tcPr>
            <w:tcW w:w="338" w:type="pct"/>
            <w:shd w:val="clear" w:color="auto" w:fill="auto"/>
            <w:vAlign w:val="center"/>
          </w:tcPr>
          <w:p w14:paraId="61B87AC6">
            <w:pPr>
              <w:pStyle w:val="476"/>
              <w:rPr>
                <w:b/>
                <w:color w:val="000000" w:themeColor="text1"/>
                <w14:textFill>
                  <w14:solidFill>
                    <w14:schemeClr w14:val="tx1"/>
                  </w14:solidFill>
                </w14:textFill>
              </w:rPr>
            </w:pPr>
            <w:r>
              <w:rPr>
                <w:b/>
                <w:color w:val="000000" w:themeColor="text1"/>
                <w14:textFill>
                  <w14:solidFill>
                    <w14:schemeClr w14:val="tx1"/>
                  </w14:solidFill>
                </w14:textFill>
              </w:rPr>
              <w:t>新（改）建管网（m）</w:t>
            </w:r>
          </w:p>
        </w:tc>
        <w:tc>
          <w:tcPr>
            <w:tcW w:w="305" w:type="pct"/>
            <w:shd w:val="clear" w:color="auto" w:fill="auto"/>
            <w:vAlign w:val="center"/>
          </w:tcPr>
          <w:p w14:paraId="756F5C02">
            <w:pPr>
              <w:pStyle w:val="476"/>
              <w:rPr>
                <w:b/>
                <w:color w:val="000000" w:themeColor="text1"/>
                <w14:textFill>
                  <w14:solidFill>
                    <w14:schemeClr w14:val="tx1"/>
                  </w14:solidFill>
                </w14:textFill>
              </w:rPr>
            </w:pPr>
            <w:r>
              <w:rPr>
                <w:b/>
                <w:color w:val="000000" w:themeColor="text1"/>
                <w14:textFill>
                  <w14:solidFill>
                    <w14:schemeClr w14:val="tx1"/>
                  </w14:solidFill>
                </w14:textFill>
              </w:rPr>
              <w:t>检查井（座）</w:t>
            </w:r>
          </w:p>
        </w:tc>
        <w:tc>
          <w:tcPr>
            <w:tcW w:w="305" w:type="pct"/>
            <w:shd w:val="clear" w:color="auto" w:fill="auto"/>
            <w:vAlign w:val="center"/>
          </w:tcPr>
          <w:p w14:paraId="486E1AB8">
            <w:pPr>
              <w:pStyle w:val="476"/>
              <w:rPr>
                <w:b/>
                <w:color w:val="000000" w:themeColor="text1"/>
                <w14:textFill>
                  <w14:solidFill>
                    <w14:schemeClr w14:val="tx1"/>
                  </w14:solidFill>
                </w14:textFill>
              </w:rPr>
            </w:pPr>
            <w:r>
              <w:rPr>
                <w:b/>
                <w:color w:val="000000" w:themeColor="text1"/>
                <w14:textFill>
                  <w14:solidFill>
                    <w14:schemeClr w14:val="tx1"/>
                  </w14:solidFill>
                </w14:textFill>
              </w:rPr>
              <w:t>维护管网（m）</w:t>
            </w:r>
          </w:p>
        </w:tc>
        <w:tc>
          <w:tcPr>
            <w:tcW w:w="304" w:type="pct"/>
            <w:shd w:val="clear" w:color="auto" w:fill="auto"/>
            <w:vAlign w:val="center"/>
          </w:tcPr>
          <w:p w14:paraId="50DCC906">
            <w:pPr>
              <w:pStyle w:val="476"/>
              <w:rPr>
                <w:b/>
                <w:color w:val="000000" w:themeColor="text1"/>
                <w14:textFill>
                  <w14:solidFill>
                    <w14:schemeClr w14:val="tx1"/>
                  </w14:solidFill>
                </w14:textFill>
              </w:rPr>
            </w:pPr>
            <w:r>
              <w:rPr>
                <w:b/>
                <w:color w:val="000000" w:themeColor="text1"/>
                <w14:textFill>
                  <w14:solidFill>
                    <w14:schemeClr w14:val="tx1"/>
                  </w14:solidFill>
                </w14:textFill>
              </w:rPr>
              <w:t>改造设施(座)</w:t>
            </w:r>
          </w:p>
        </w:tc>
        <w:tc>
          <w:tcPr>
            <w:tcW w:w="306" w:type="pct"/>
            <w:shd w:val="clear" w:color="auto" w:fill="auto"/>
            <w:vAlign w:val="center"/>
          </w:tcPr>
          <w:p w14:paraId="0747839D">
            <w:pPr>
              <w:pStyle w:val="476"/>
              <w:rPr>
                <w:b/>
                <w:color w:val="000000" w:themeColor="text1"/>
                <w14:textFill>
                  <w14:solidFill>
                    <w14:schemeClr w14:val="tx1"/>
                  </w14:solidFill>
                </w14:textFill>
              </w:rPr>
            </w:pPr>
            <w:r>
              <w:rPr>
                <w:b/>
                <w:color w:val="000000" w:themeColor="text1"/>
                <w14:textFill>
                  <w14:solidFill>
                    <w14:schemeClr w14:val="tx1"/>
                  </w14:solidFill>
                </w14:textFill>
              </w:rPr>
              <w:t>新建设施(座)</w:t>
            </w:r>
          </w:p>
        </w:tc>
        <w:tc>
          <w:tcPr>
            <w:tcW w:w="360" w:type="pct"/>
            <w:shd w:val="clear" w:color="auto" w:fill="auto"/>
            <w:vAlign w:val="center"/>
          </w:tcPr>
          <w:p w14:paraId="62ECD8CC">
            <w:pPr>
              <w:pStyle w:val="476"/>
              <w:rPr>
                <w:b/>
                <w:color w:val="000000" w:themeColor="text1"/>
                <w14:textFill>
                  <w14:solidFill>
                    <w14:schemeClr w14:val="tx1"/>
                  </w14:solidFill>
                </w14:textFill>
              </w:rPr>
            </w:pPr>
            <w:r>
              <w:rPr>
                <w:b/>
                <w:color w:val="000000" w:themeColor="text1"/>
                <w14:textFill>
                  <w14:solidFill>
                    <w14:schemeClr w14:val="tx1"/>
                  </w14:solidFill>
                </w14:textFill>
              </w:rPr>
              <w:t>计划总投资（万元）</w:t>
            </w:r>
          </w:p>
        </w:tc>
        <w:tc>
          <w:tcPr>
            <w:tcW w:w="322" w:type="pct"/>
            <w:vMerge w:val="continue"/>
            <w:shd w:val="clear" w:color="auto" w:fill="auto"/>
            <w:vAlign w:val="center"/>
          </w:tcPr>
          <w:p w14:paraId="46B1B531">
            <w:pPr>
              <w:pStyle w:val="476"/>
              <w:rPr>
                <w:color w:val="000000" w:themeColor="text1"/>
                <w14:textFill>
                  <w14:solidFill>
                    <w14:schemeClr w14:val="tx1"/>
                  </w14:solidFill>
                </w14:textFill>
              </w:rPr>
            </w:pPr>
          </w:p>
        </w:tc>
      </w:tr>
      <w:tr w14:paraId="4CF2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 w:type="pct"/>
            <w:vMerge w:val="restart"/>
            <w:shd w:val="clear" w:color="auto" w:fill="auto"/>
            <w:vAlign w:val="center"/>
          </w:tcPr>
          <w:p w14:paraId="6D68D375">
            <w:pPr>
              <w:pStyle w:val="476"/>
              <w:rPr>
                <w:color w:val="000000" w:themeColor="text1"/>
                <w14:textFill>
                  <w14:solidFill>
                    <w14:schemeClr w14:val="tx1"/>
                  </w14:solidFill>
                </w14:textFill>
              </w:rPr>
            </w:pPr>
            <w:r>
              <w:rPr>
                <w:color w:val="000000" w:themeColor="text1"/>
                <w14:textFill>
                  <w14:solidFill>
                    <w14:schemeClr w14:val="tx1"/>
                  </w14:solidFill>
                </w14:textFill>
              </w:rPr>
              <w:t>1</w:t>
            </w:r>
          </w:p>
        </w:tc>
        <w:tc>
          <w:tcPr>
            <w:tcW w:w="199" w:type="pct"/>
            <w:vMerge w:val="restart"/>
            <w:shd w:val="clear" w:color="auto" w:fill="auto"/>
            <w:vAlign w:val="center"/>
          </w:tcPr>
          <w:p w14:paraId="4CE6FAE9">
            <w:pPr>
              <w:pStyle w:val="476"/>
              <w:rPr>
                <w:color w:val="000000" w:themeColor="text1"/>
                <w14:textFill>
                  <w14:solidFill>
                    <w14:schemeClr w14:val="tx1"/>
                  </w14:solidFill>
                </w14:textFill>
              </w:rPr>
            </w:pPr>
            <w:r>
              <w:rPr>
                <w:color w:val="000000" w:themeColor="text1"/>
                <w14:textFill>
                  <w14:solidFill>
                    <w14:schemeClr w14:val="tx1"/>
                  </w14:solidFill>
                </w14:textFill>
              </w:rPr>
              <w:t>宦</w:t>
            </w:r>
          </w:p>
          <w:p w14:paraId="645112F8">
            <w:pPr>
              <w:pStyle w:val="476"/>
              <w:rPr>
                <w:color w:val="000000" w:themeColor="text1"/>
                <w14:textFill>
                  <w14:solidFill>
                    <w14:schemeClr w14:val="tx1"/>
                  </w14:solidFill>
                </w14:textFill>
              </w:rPr>
            </w:pPr>
            <w:r>
              <w:rPr>
                <w:color w:val="000000" w:themeColor="text1"/>
                <w14:textFill>
                  <w14:solidFill>
                    <w14:schemeClr w14:val="tx1"/>
                  </w14:solidFill>
                </w14:textFill>
              </w:rPr>
              <w:t>溪</w:t>
            </w:r>
          </w:p>
          <w:p w14:paraId="47C65E18">
            <w:pPr>
              <w:pStyle w:val="476"/>
              <w:rPr>
                <w:color w:val="000000" w:themeColor="text1"/>
                <w14:textFill>
                  <w14:solidFill>
                    <w14:schemeClr w14:val="tx1"/>
                  </w14:solidFill>
                </w14:textFill>
              </w:rPr>
            </w:pPr>
            <w:r>
              <w:rPr>
                <w:color w:val="000000" w:themeColor="text1"/>
                <w14:textFill>
                  <w14:solidFill>
                    <w14:schemeClr w14:val="tx1"/>
                  </w14:solidFill>
                </w14:textFill>
              </w:rPr>
              <w:t>镇</w:t>
            </w:r>
          </w:p>
        </w:tc>
        <w:tc>
          <w:tcPr>
            <w:tcW w:w="305" w:type="pct"/>
            <w:shd w:val="clear" w:color="auto" w:fill="auto"/>
            <w:vAlign w:val="center"/>
          </w:tcPr>
          <w:p w14:paraId="74123355">
            <w:pPr>
              <w:pStyle w:val="476"/>
              <w:rPr>
                <w:color w:val="000000" w:themeColor="text1"/>
                <w14:textFill>
                  <w14:solidFill>
                    <w14:schemeClr w14:val="tx1"/>
                  </w14:solidFill>
                </w14:textFill>
              </w:rPr>
            </w:pPr>
            <w:r>
              <w:rPr>
                <w:color w:val="000000" w:themeColor="text1"/>
                <w14:textFill>
                  <w14:solidFill>
                    <w14:schemeClr w14:val="tx1"/>
                  </w14:solidFill>
                </w14:textFill>
              </w:rPr>
              <w:t>宦溪村</w:t>
            </w:r>
          </w:p>
        </w:tc>
        <w:tc>
          <w:tcPr>
            <w:tcW w:w="543" w:type="pct"/>
            <w:shd w:val="clear" w:color="auto" w:fill="auto"/>
            <w:vAlign w:val="center"/>
          </w:tcPr>
          <w:p w14:paraId="55A3B3E9">
            <w:pPr>
              <w:pStyle w:val="476"/>
              <w:rPr>
                <w:color w:val="000000" w:themeColor="text1"/>
                <w14:textFill>
                  <w14:solidFill>
                    <w14:schemeClr w14:val="tx1"/>
                  </w14:solidFill>
                </w14:textFill>
              </w:rPr>
            </w:pPr>
            <w:r>
              <w:rPr>
                <w:color w:val="000000" w:themeColor="text1"/>
                <w14:textFill>
                  <w14:solidFill>
                    <w14:schemeClr w14:val="tx1"/>
                  </w14:solidFill>
                </w14:textFill>
              </w:rPr>
              <w:t>350111103201</w:t>
            </w:r>
          </w:p>
        </w:tc>
        <w:tc>
          <w:tcPr>
            <w:tcW w:w="359" w:type="pct"/>
            <w:shd w:val="clear" w:color="auto" w:fill="auto"/>
            <w:vAlign w:val="center"/>
          </w:tcPr>
          <w:p w14:paraId="0E839E85">
            <w:pPr>
              <w:pStyle w:val="476"/>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283" w:type="pct"/>
            <w:shd w:val="clear" w:color="auto" w:fill="auto"/>
            <w:vAlign w:val="center"/>
          </w:tcPr>
          <w:p w14:paraId="27523A80">
            <w:pPr>
              <w:pStyle w:val="476"/>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306" w:type="pct"/>
            <w:shd w:val="clear" w:color="auto" w:fill="auto"/>
            <w:vAlign w:val="center"/>
          </w:tcPr>
          <w:p w14:paraId="1F4DF569">
            <w:pPr>
              <w:pStyle w:val="476"/>
              <w:rPr>
                <w:color w:val="000000" w:themeColor="text1"/>
                <w14:textFill>
                  <w14:solidFill>
                    <w14:schemeClr w14:val="tx1"/>
                  </w14:solidFill>
                </w14:textFill>
              </w:rPr>
            </w:pPr>
            <w:r>
              <w:rPr>
                <w:color w:val="000000" w:themeColor="text1"/>
                <w14:textFill>
                  <w14:solidFill>
                    <w14:schemeClr w14:val="tx1"/>
                  </w14:solidFill>
                </w14:textFill>
              </w:rPr>
              <w:t>-</w:t>
            </w:r>
          </w:p>
        </w:tc>
        <w:tc>
          <w:tcPr>
            <w:tcW w:w="311" w:type="pct"/>
            <w:shd w:val="clear" w:color="auto" w:fill="auto"/>
            <w:vAlign w:val="center"/>
          </w:tcPr>
          <w:p w14:paraId="4E7B60EE">
            <w:pPr>
              <w:pStyle w:val="476"/>
              <w:rPr>
                <w:color w:val="000000" w:themeColor="text1"/>
                <w14:textFill>
                  <w14:solidFill>
                    <w14:schemeClr w14:val="tx1"/>
                  </w14:solidFill>
                </w14:textFill>
              </w:rPr>
            </w:pPr>
            <w:r>
              <w:rPr>
                <w:color w:val="000000" w:themeColor="text1"/>
                <w14:textFill>
                  <w14:solidFill>
                    <w14:schemeClr w14:val="tx1"/>
                  </w14:solidFill>
                </w14:textFill>
              </w:rPr>
              <w:t>-</w:t>
            </w:r>
          </w:p>
        </w:tc>
        <w:tc>
          <w:tcPr>
            <w:tcW w:w="283" w:type="pct"/>
            <w:vMerge w:val="restart"/>
            <w:vAlign w:val="center"/>
          </w:tcPr>
          <w:p w14:paraId="4005D357">
            <w:pPr>
              <w:pStyle w:val="476"/>
              <w:rPr>
                <w:color w:val="000000" w:themeColor="text1"/>
                <w14:textFill>
                  <w14:solidFill>
                    <w14:schemeClr w14:val="tx1"/>
                  </w14:solidFill>
                </w14:textFill>
              </w:rPr>
            </w:pPr>
            <w:r>
              <w:rPr>
                <w:color w:val="000000" w:themeColor="text1"/>
                <w14:textFill>
                  <w14:solidFill>
                    <w14:schemeClr w14:val="tx1"/>
                  </w14:solidFill>
                </w14:textFill>
              </w:rPr>
              <w:t>40</w:t>
            </w:r>
          </w:p>
        </w:tc>
        <w:tc>
          <w:tcPr>
            <w:tcW w:w="338" w:type="pct"/>
            <w:vMerge w:val="restart"/>
            <w:shd w:val="clear" w:color="auto" w:fill="auto"/>
            <w:vAlign w:val="center"/>
          </w:tcPr>
          <w:p w14:paraId="781F6A76">
            <w:pPr>
              <w:pStyle w:val="476"/>
              <w:rPr>
                <w:color w:val="000000" w:themeColor="text1"/>
                <w14:textFill>
                  <w14:solidFill>
                    <w14:schemeClr w14:val="tx1"/>
                  </w14:solidFill>
                </w14:textFill>
              </w:rPr>
            </w:pPr>
            <w:r>
              <w:rPr>
                <w:color w:val="000000" w:themeColor="text1"/>
                <w14:textFill>
                  <w14:solidFill>
                    <w14:schemeClr w14:val="tx1"/>
                  </w14:solidFill>
                </w14:textFill>
              </w:rPr>
              <w:t>11000</w:t>
            </w:r>
          </w:p>
        </w:tc>
        <w:tc>
          <w:tcPr>
            <w:tcW w:w="305" w:type="pct"/>
            <w:vMerge w:val="restart"/>
            <w:shd w:val="clear" w:color="auto" w:fill="auto"/>
            <w:vAlign w:val="center"/>
          </w:tcPr>
          <w:p w14:paraId="4378B3CD">
            <w:pPr>
              <w:pStyle w:val="476"/>
              <w:rPr>
                <w:color w:val="000000" w:themeColor="text1"/>
                <w14:textFill>
                  <w14:solidFill>
                    <w14:schemeClr w14:val="tx1"/>
                  </w14:solidFill>
                </w14:textFill>
              </w:rPr>
            </w:pPr>
            <w:r>
              <w:rPr>
                <w:color w:val="000000" w:themeColor="text1"/>
                <w14:textFill>
                  <w14:solidFill>
                    <w14:schemeClr w14:val="tx1"/>
                  </w14:solidFill>
                </w14:textFill>
              </w:rPr>
              <w:t>251</w:t>
            </w:r>
          </w:p>
        </w:tc>
        <w:tc>
          <w:tcPr>
            <w:tcW w:w="305" w:type="pct"/>
            <w:vMerge w:val="restart"/>
            <w:shd w:val="clear" w:color="auto" w:fill="auto"/>
            <w:vAlign w:val="center"/>
          </w:tcPr>
          <w:p w14:paraId="4FA71C85">
            <w:pPr>
              <w:pStyle w:val="476"/>
              <w:rPr>
                <w:color w:val="000000" w:themeColor="text1"/>
                <w14:textFill>
                  <w14:solidFill>
                    <w14:schemeClr w14:val="tx1"/>
                  </w14:solidFill>
                </w14:textFill>
              </w:rPr>
            </w:pPr>
            <w:r>
              <w:rPr>
                <w:color w:val="000000" w:themeColor="text1"/>
                <w14:textFill>
                  <w14:solidFill>
                    <w14:schemeClr w14:val="tx1"/>
                  </w14:solidFill>
                </w14:textFill>
              </w:rPr>
              <w:t>1180</w:t>
            </w:r>
          </w:p>
        </w:tc>
        <w:tc>
          <w:tcPr>
            <w:tcW w:w="304" w:type="pct"/>
            <w:vMerge w:val="restart"/>
            <w:vAlign w:val="center"/>
          </w:tcPr>
          <w:p w14:paraId="61171B57">
            <w:pPr>
              <w:pStyle w:val="476"/>
              <w:rPr>
                <w:color w:val="000000" w:themeColor="text1"/>
                <w14:textFill>
                  <w14:solidFill>
                    <w14:schemeClr w14:val="tx1"/>
                  </w14:solidFill>
                </w14:textFill>
              </w:rPr>
            </w:pPr>
            <w:r>
              <w:rPr>
                <w:color w:val="000000" w:themeColor="text1"/>
                <w14:textFill>
                  <w14:solidFill>
                    <w14:schemeClr w14:val="tx1"/>
                  </w14:solidFill>
                </w14:textFill>
              </w:rPr>
              <w:t>0</w:t>
            </w:r>
          </w:p>
        </w:tc>
        <w:tc>
          <w:tcPr>
            <w:tcW w:w="306" w:type="pct"/>
            <w:vMerge w:val="restart"/>
            <w:shd w:val="clear" w:color="auto" w:fill="auto"/>
            <w:vAlign w:val="center"/>
          </w:tcPr>
          <w:p w14:paraId="25D28C80">
            <w:pPr>
              <w:pStyle w:val="476"/>
              <w:rPr>
                <w:color w:val="000000" w:themeColor="text1"/>
                <w14:textFill>
                  <w14:solidFill>
                    <w14:schemeClr w14:val="tx1"/>
                  </w14:solidFill>
                </w14:textFill>
              </w:rPr>
            </w:pPr>
            <w:r>
              <w:rPr>
                <w:color w:val="000000" w:themeColor="text1"/>
                <w14:textFill>
                  <w14:solidFill>
                    <w14:schemeClr w14:val="tx1"/>
                  </w14:solidFill>
                </w14:textFill>
              </w:rPr>
              <w:t>0</w:t>
            </w:r>
          </w:p>
        </w:tc>
        <w:tc>
          <w:tcPr>
            <w:tcW w:w="360" w:type="pct"/>
            <w:vMerge w:val="restart"/>
            <w:shd w:val="clear" w:color="auto" w:fill="auto"/>
            <w:vAlign w:val="center"/>
          </w:tcPr>
          <w:p w14:paraId="6EAE6C3A">
            <w:pPr>
              <w:pStyle w:val="476"/>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700</w:t>
            </w:r>
          </w:p>
        </w:tc>
        <w:tc>
          <w:tcPr>
            <w:tcW w:w="322" w:type="pct"/>
            <w:vMerge w:val="restart"/>
            <w:vAlign w:val="center"/>
          </w:tcPr>
          <w:p w14:paraId="49485E81">
            <w:pPr>
              <w:pStyle w:val="476"/>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2021-2023</w:t>
            </w:r>
          </w:p>
        </w:tc>
      </w:tr>
      <w:tr w14:paraId="3742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 w:type="pct"/>
            <w:vMerge w:val="continue"/>
            <w:shd w:val="clear" w:color="auto" w:fill="auto"/>
            <w:vAlign w:val="center"/>
          </w:tcPr>
          <w:p w14:paraId="2D672017">
            <w:pPr>
              <w:pStyle w:val="476"/>
              <w:rPr>
                <w:color w:val="000000" w:themeColor="text1"/>
                <w14:textFill>
                  <w14:solidFill>
                    <w14:schemeClr w14:val="tx1"/>
                  </w14:solidFill>
                </w14:textFill>
              </w:rPr>
            </w:pPr>
          </w:p>
        </w:tc>
        <w:tc>
          <w:tcPr>
            <w:tcW w:w="199" w:type="pct"/>
            <w:vMerge w:val="continue"/>
            <w:vAlign w:val="center"/>
          </w:tcPr>
          <w:p w14:paraId="49B6E19B">
            <w:pPr>
              <w:pStyle w:val="476"/>
              <w:rPr>
                <w:color w:val="000000" w:themeColor="text1"/>
                <w14:textFill>
                  <w14:solidFill>
                    <w14:schemeClr w14:val="tx1"/>
                  </w14:solidFill>
                </w14:textFill>
              </w:rPr>
            </w:pPr>
          </w:p>
        </w:tc>
        <w:tc>
          <w:tcPr>
            <w:tcW w:w="305" w:type="pct"/>
            <w:shd w:val="clear" w:color="auto" w:fill="auto"/>
            <w:vAlign w:val="center"/>
          </w:tcPr>
          <w:p w14:paraId="5D3AB65C">
            <w:pPr>
              <w:pStyle w:val="476"/>
              <w:rPr>
                <w:color w:val="000000" w:themeColor="text1"/>
                <w14:textFill>
                  <w14:solidFill>
                    <w14:schemeClr w14:val="tx1"/>
                  </w14:solidFill>
                </w14:textFill>
              </w:rPr>
            </w:pPr>
            <w:r>
              <w:rPr>
                <w:color w:val="000000" w:themeColor="text1"/>
                <w14:textFill>
                  <w14:solidFill>
                    <w14:schemeClr w14:val="tx1"/>
                  </w14:solidFill>
                </w14:textFill>
              </w:rPr>
              <w:t>牛项村</w:t>
            </w:r>
          </w:p>
        </w:tc>
        <w:tc>
          <w:tcPr>
            <w:tcW w:w="543" w:type="pct"/>
            <w:shd w:val="clear" w:color="auto" w:fill="auto"/>
            <w:vAlign w:val="center"/>
          </w:tcPr>
          <w:p w14:paraId="71F42708">
            <w:pPr>
              <w:pStyle w:val="476"/>
              <w:rPr>
                <w:color w:val="000000" w:themeColor="text1"/>
                <w14:textFill>
                  <w14:solidFill>
                    <w14:schemeClr w14:val="tx1"/>
                  </w14:solidFill>
                </w14:textFill>
              </w:rPr>
            </w:pPr>
            <w:r>
              <w:rPr>
                <w:color w:val="000000" w:themeColor="text1"/>
                <w14:textFill>
                  <w14:solidFill>
                    <w14:schemeClr w14:val="tx1"/>
                  </w14:solidFill>
                </w14:textFill>
              </w:rPr>
              <w:t>350111103205</w:t>
            </w:r>
          </w:p>
        </w:tc>
        <w:tc>
          <w:tcPr>
            <w:tcW w:w="359" w:type="pct"/>
            <w:shd w:val="clear" w:color="auto" w:fill="auto"/>
            <w:vAlign w:val="center"/>
          </w:tcPr>
          <w:p w14:paraId="01A5C069">
            <w:pPr>
              <w:pStyle w:val="476"/>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283" w:type="pct"/>
            <w:shd w:val="clear" w:color="auto" w:fill="auto"/>
            <w:vAlign w:val="center"/>
          </w:tcPr>
          <w:p w14:paraId="1E47E4A1">
            <w:pPr>
              <w:pStyle w:val="476"/>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306" w:type="pct"/>
            <w:shd w:val="clear" w:color="auto" w:fill="auto"/>
            <w:vAlign w:val="center"/>
          </w:tcPr>
          <w:p w14:paraId="3C9E5A8D">
            <w:pPr>
              <w:pStyle w:val="476"/>
              <w:rPr>
                <w:color w:val="000000" w:themeColor="text1"/>
                <w14:textFill>
                  <w14:solidFill>
                    <w14:schemeClr w14:val="tx1"/>
                  </w14:solidFill>
                </w14:textFill>
              </w:rPr>
            </w:pPr>
            <w:r>
              <w:rPr>
                <w:color w:val="000000" w:themeColor="text1"/>
                <w14:textFill>
                  <w14:solidFill>
                    <w14:schemeClr w14:val="tx1"/>
                  </w14:solidFill>
                </w14:textFill>
              </w:rPr>
              <w:t>-</w:t>
            </w:r>
          </w:p>
        </w:tc>
        <w:tc>
          <w:tcPr>
            <w:tcW w:w="311" w:type="pct"/>
            <w:shd w:val="clear" w:color="auto" w:fill="auto"/>
            <w:vAlign w:val="center"/>
          </w:tcPr>
          <w:p w14:paraId="2B13F202">
            <w:pPr>
              <w:pStyle w:val="476"/>
              <w:rPr>
                <w:color w:val="000000" w:themeColor="text1"/>
                <w14:textFill>
                  <w14:solidFill>
                    <w14:schemeClr w14:val="tx1"/>
                  </w14:solidFill>
                </w14:textFill>
              </w:rPr>
            </w:pPr>
            <w:r>
              <w:rPr>
                <w:color w:val="000000" w:themeColor="text1"/>
                <w14:textFill>
                  <w14:solidFill>
                    <w14:schemeClr w14:val="tx1"/>
                  </w14:solidFill>
                </w14:textFill>
              </w:rPr>
              <w:t>-</w:t>
            </w:r>
          </w:p>
        </w:tc>
        <w:tc>
          <w:tcPr>
            <w:tcW w:w="283" w:type="pct"/>
            <w:vMerge w:val="continue"/>
            <w:vAlign w:val="center"/>
          </w:tcPr>
          <w:p w14:paraId="2B9FBA94">
            <w:pPr>
              <w:pStyle w:val="476"/>
              <w:rPr>
                <w:color w:val="000000" w:themeColor="text1"/>
                <w14:textFill>
                  <w14:solidFill>
                    <w14:schemeClr w14:val="tx1"/>
                  </w14:solidFill>
                </w14:textFill>
              </w:rPr>
            </w:pPr>
          </w:p>
        </w:tc>
        <w:tc>
          <w:tcPr>
            <w:tcW w:w="338" w:type="pct"/>
            <w:vMerge w:val="continue"/>
            <w:shd w:val="clear" w:color="auto" w:fill="auto"/>
            <w:vAlign w:val="center"/>
          </w:tcPr>
          <w:p w14:paraId="6DD52205">
            <w:pPr>
              <w:pStyle w:val="476"/>
              <w:rPr>
                <w:color w:val="000000" w:themeColor="text1"/>
                <w14:textFill>
                  <w14:solidFill>
                    <w14:schemeClr w14:val="tx1"/>
                  </w14:solidFill>
                </w14:textFill>
              </w:rPr>
            </w:pPr>
          </w:p>
        </w:tc>
        <w:tc>
          <w:tcPr>
            <w:tcW w:w="305" w:type="pct"/>
            <w:vMerge w:val="continue"/>
            <w:shd w:val="clear" w:color="auto" w:fill="auto"/>
            <w:vAlign w:val="center"/>
          </w:tcPr>
          <w:p w14:paraId="607005D9">
            <w:pPr>
              <w:pStyle w:val="476"/>
              <w:rPr>
                <w:color w:val="000000" w:themeColor="text1"/>
                <w14:textFill>
                  <w14:solidFill>
                    <w14:schemeClr w14:val="tx1"/>
                  </w14:solidFill>
                </w14:textFill>
              </w:rPr>
            </w:pPr>
          </w:p>
        </w:tc>
        <w:tc>
          <w:tcPr>
            <w:tcW w:w="305" w:type="pct"/>
            <w:vMerge w:val="continue"/>
            <w:shd w:val="clear" w:color="auto" w:fill="auto"/>
            <w:vAlign w:val="center"/>
          </w:tcPr>
          <w:p w14:paraId="1D8A5FDA">
            <w:pPr>
              <w:pStyle w:val="476"/>
              <w:rPr>
                <w:color w:val="000000" w:themeColor="text1"/>
                <w14:textFill>
                  <w14:solidFill>
                    <w14:schemeClr w14:val="tx1"/>
                  </w14:solidFill>
                </w14:textFill>
              </w:rPr>
            </w:pPr>
          </w:p>
        </w:tc>
        <w:tc>
          <w:tcPr>
            <w:tcW w:w="304" w:type="pct"/>
            <w:vMerge w:val="continue"/>
            <w:vAlign w:val="center"/>
          </w:tcPr>
          <w:p w14:paraId="48EA895B">
            <w:pPr>
              <w:pStyle w:val="476"/>
              <w:rPr>
                <w:color w:val="000000" w:themeColor="text1"/>
                <w14:textFill>
                  <w14:solidFill>
                    <w14:schemeClr w14:val="tx1"/>
                  </w14:solidFill>
                </w14:textFill>
              </w:rPr>
            </w:pPr>
          </w:p>
        </w:tc>
        <w:tc>
          <w:tcPr>
            <w:tcW w:w="306" w:type="pct"/>
            <w:vMerge w:val="continue"/>
            <w:shd w:val="clear" w:color="auto" w:fill="auto"/>
            <w:vAlign w:val="center"/>
          </w:tcPr>
          <w:p w14:paraId="13449A9C">
            <w:pPr>
              <w:pStyle w:val="476"/>
              <w:rPr>
                <w:color w:val="000000" w:themeColor="text1"/>
                <w14:textFill>
                  <w14:solidFill>
                    <w14:schemeClr w14:val="tx1"/>
                  </w14:solidFill>
                </w14:textFill>
              </w:rPr>
            </w:pPr>
          </w:p>
        </w:tc>
        <w:tc>
          <w:tcPr>
            <w:tcW w:w="360" w:type="pct"/>
            <w:vMerge w:val="continue"/>
            <w:shd w:val="clear" w:color="auto" w:fill="auto"/>
            <w:vAlign w:val="center"/>
          </w:tcPr>
          <w:p w14:paraId="67A3B505">
            <w:pPr>
              <w:pStyle w:val="476"/>
              <w:rPr>
                <w:rFonts w:eastAsia="等线"/>
                <w:color w:val="000000" w:themeColor="text1"/>
                <w14:textFill>
                  <w14:solidFill>
                    <w14:schemeClr w14:val="tx1"/>
                  </w14:solidFill>
                </w14:textFill>
              </w:rPr>
            </w:pPr>
          </w:p>
        </w:tc>
        <w:tc>
          <w:tcPr>
            <w:tcW w:w="322" w:type="pct"/>
            <w:vMerge w:val="continue"/>
            <w:vAlign w:val="center"/>
          </w:tcPr>
          <w:p w14:paraId="0A63012A">
            <w:pPr>
              <w:pStyle w:val="476"/>
              <w:rPr>
                <w:rFonts w:eastAsia="等线"/>
                <w:color w:val="000000" w:themeColor="text1"/>
                <w14:textFill>
                  <w14:solidFill>
                    <w14:schemeClr w14:val="tx1"/>
                  </w14:solidFill>
                </w14:textFill>
              </w:rPr>
            </w:pPr>
          </w:p>
        </w:tc>
      </w:tr>
      <w:tr w14:paraId="4281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 w:type="pct"/>
            <w:vMerge w:val="continue"/>
            <w:shd w:val="clear" w:color="auto" w:fill="auto"/>
            <w:vAlign w:val="center"/>
          </w:tcPr>
          <w:p w14:paraId="01D46061">
            <w:pPr>
              <w:pStyle w:val="476"/>
              <w:rPr>
                <w:color w:val="000000" w:themeColor="text1"/>
                <w14:textFill>
                  <w14:solidFill>
                    <w14:schemeClr w14:val="tx1"/>
                  </w14:solidFill>
                </w14:textFill>
              </w:rPr>
            </w:pPr>
          </w:p>
        </w:tc>
        <w:tc>
          <w:tcPr>
            <w:tcW w:w="199" w:type="pct"/>
            <w:vMerge w:val="continue"/>
            <w:vAlign w:val="center"/>
          </w:tcPr>
          <w:p w14:paraId="48EB3886">
            <w:pPr>
              <w:pStyle w:val="476"/>
              <w:rPr>
                <w:color w:val="000000" w:themeColor="text1"/>
                <w14:textFill>
                  <w14:solidFill>
                    <w14:schemeClr w14:val="tx1"/>
                  </w14:solidFill>
                </w14:textFill>
              </w:rPr>
            </w:pPr>
          </w:p>
        </w:tc>
        <w:tc>
          <w:tcPr>
            <w:tcW w:w="305" w:type="pct"/>
            <w:shd w:val="clear" w:color="auto" w:fill="auto"/>
            <w:vAlign w:val="center"/>
          </w:tcPr>
          <w:p w14:paraId="6CA751C7">
            <w:pPr>
              <w:pStyle w:val="476"/>
              <w:rPr>
                <w:color w:val="000000" w:themeColor="text1"/>
                <w14:textFill>
                  <w14:solidFill>
                    <w14:schemeClr w14:val="tx1"/>
                  </w14:solidFill>
                </w14:textFill>
              </w:rPr>
            </w:pPr>
            <w:r>
              <w:rPr>
                <w:color w:val="000000" w:themeColor="text1"/>
                <w14:textFill>
                  <w14:solidFill>
                    <w14:schemeClr w14:val="tx1"/>
                  </w14:solidFill>
                </w14:textFill>
              </w:rPr>
              <w:t>亥由村</w:t>
            </w:r>
          </w:p>
        </w:tc>
        <w:tc>
          <w:tcPr>
            <w:tcW w:w="543" w:type="pct"/>
            <w:shd w:val="clear" w:color="auto" w:fill="auto"/>
            <w:vAlign w:val="center"/>
          </w:tcPr>
          <w:p w14:paraId="1E309CBA">
            <w:pPr>
              <w:pStyle w:val="476"/>
              <w:rPr>
                <w:color w:val="000000" w:themeColor="text1"/>
                <w14:textFill>
                  <w14:solidFill>
                    <w14:schemeClr w14:val="tx1"/>
                  </w14:solidFill>
                </w14:textFill>
              </w:rPr>
            </w:pPr>
            <w:r>
              <w:rPr>
                <w:color w:val="000000" w:themeColor="text1"/>
                <w14:textFill>
                  <w14:solidFill>
                    <w14:schemeClr w14:val="tx1"/>
                  </w14:solidFill>
                </w14:textFill>
              </w:rPr>
              <w:t>350111103210</w:t>
            </w:r>
          </w:p>
        </w:tc>
        <w:tc>
          <w:tcPr>
            <w:tcW w:w="359" w:type="pct"/>
            <w:shd w:val="clear" w:color="auto" w:fill="auto"/>
            <w:vAlign w:val="center"/>
          </w:tcPr>
          <w:p w14:paraId="741DB156">
            <w:pPr>
              <w:pStyle w:val="476"/>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283" w:type="pct"/>
            <w:shd w:val="clear" w:color="auto" w:fill="auto"/>
            <w:vAlign w:val="center"/>
          </w:tcPr>
          <w:p w14:paraId="54557196">
            <w:pPr>
              <w:pStyle w:val="476"/>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306" w:type="pct"/>
            <w:shd w:val="clear" w:color="auto" w:fill="auto"/>
            <w:vAlign w:val="center"/>
          </w:tcPr>
          <w:p w14:paraId="6B55E1C5">
            <w:pPr>
              <w:pStyle w:val="476"/>
              <w:rPr>
                <w:color w:val="000000" w:themeColor="text1"/>
                <w14:textFill>
                  <w14:solidFill>
                    <w14:schemeClr w14:val="tx1"/>
                  </w14:solidFill>
                </w14:textFill>
              </w:rPr>
            </w:pPr>
            <w:r>
              <w:rPr>
                <w:color w:val="000000" w:themeColor="text1"/>
                <w14:textFill>
                  <w14:solidFill>
                    <w14:schemeClr w14:val="tx1"/>
                  </w14:solidFill>
                </w14:textFill>
              </w:rPr>
              <w:t>-</w:t>
            </w:r>
          </w:p>
        </w:tc>
        <w:tc>
          <w:tcPr>
            <w:tcW w:w="311" w:type="pct"/>
            <w:shd w:val="clear" w:color="auto" w:fill="auto"/>
            <w:vAlign w:val="center"/>
          </w:tcPr>
          <w:p w14:paraId="76660333">
            <w:pPr>
              <w:pStyle w:val="476"/>
              <w:rPr>
                <w:color w:val="000000" w:themeColor="text1"/>
                <w14:textFill>
                  <w14:solidFill>
                    <w14:schemeClr w14:val="tx1"/>
                  </w14:solidFill>
                </w14:textFill>
              </w:rPr>
            </w:pPr>
            <w:r>
              <w:rPr>
                <w:color w:val="000000" w:themeColor="text1"/>
                <w14:textFill>
                  <w14:solidFill>
                    <w14:schemeClr w14:val="tx1"/>
                  </w14:solidFill>
                </w14:textFill>
              </w:rPr>
              <w:t>美丽乡村和精品示范村</w:t>
            </w:r>
          </w:p>
        </w:tc>
        <w:tc>
          <w:tcPr>
            <w:tcW w:w="283" w:type="pct"/>
            <w:vMerge w:val="continue"/>
            <w:vAlign w:val="center"/>
          </w:tcPr>
          <w:p w14:paraId="1B692E65">
            <w:pPr>
              <w:pStyle w:val="476"/>
              <w:rPr>
                <w:color w:val="000000" w:themeColor="text1"/>
                <w14:textFill>
                  <w14:solidFill>
                    <w14:schemeClr w14:val="tx1"/>
                  </w14:solidFill>
                </w14:textFill>
              </w:rPr>
            </w:pPr>
          </w:p>
        </w:tc>
        <w:tc>
          <w:tcPr>
            <w:tcW w:w="338" w:type="pct"/>
            <w:vMerge w:val="continue"/>
            <w:shd w:val="clear" w:color="auto" w:fill="auto"/>
            <w:vAlign w:val="center"/>
          </w:tcPr>
          <w:p w14:paraId="7335D263">
            <w:pPr>
              <w:pStyle w:val="476"/>
              <w:rPr>
                <w:color w:val="000000" w:themeColor="text1"/>
                <w14:textFill>
                  <w14:solidFill>
                    <w14:schemeClr w14:val="tx1"/>
                  </w14:solidFill>
                </w14:textFill>
              </w:rPr>
            </w:pPr>
          </w:p>
        </w:tc>
        <w:tc>
          <w:tcPr>
            <w:tcW w:w="305" w:type="pct"/>
            <w:vMerge w:val="continue"/>
            <w:shd w:val="clear" w:color="auto" w:fill="auto"/>
            <w:vAlign w:val="center"/>
          </w:tcPr>
          <w:p w14:paraId="66DC71F9">
            <w:pPr>
              <w:pStyle w:val="476"/>
              <w:rPr>
                <w:color w:val="000000" w:themeColor="text1"/>
                <w14:textFill>
                  <w14:solidFill>
                    <w14:schemeClr w14:val="tx1"/>
                  </w14:solidFill>
                </w14:textFill>
              </w:rPr>
            </w:pPr>
          </w:p>
        </w:tc>
        <w:tc>
          <w:tcPr>
            <w:tcW w:w="305" w:type="pct"/>
            <w:vMerge w:val="continue"/>
            <w:shd w:val="clear" w:color="auto" w:fill="auto"/>
            <w:vAlign w:val="center"/>
          </w:tcPr>
          <w:p w14:paraId="2F4174EA">
            <w:pPr>
              <w:pStyle w:val="476"/>
              <w:rPr>
                <w:color w:val="000000" w:themeColor="text1"/>
                <w14:textFill>
                  <w14:solidFill>
                    <w14:schemeClr w14:val="tx1"/>
                  </w14:solidFill>
                </w14:textFill>
              </w:rPr>
            </w:pPr>
          </w:p>
        </w:tc>
        <w:tc>
          <w:tcPr>
            <w:tcW w:w="304" w:type="pct"/>
            <w:vMerge w:val="continue"/>
            <w:vAlign w:val="center"/>
          </w:tcPr>
          <w:p w14:paraId="7551B471">
            <w:pPr>
              <w:pStyle w:val="476"/>
              <w:rPr>
                <w:color w:val="000000" w:themeColor="text1"/>
                <w14:textFill>
                  <w14:solidFill>
                    <w14:schemeClr w14:val="tx1"/>
                  </w14:solidFill>
                </w14:textFill>
              </w:rPr>
            </w:pPr>
          </w:p>
        </w:tc>
        <w:tc>
          <w:tcPr>
            <w:tcW w:w="306" w:type="pct"/>
            <w:vMerge w:val="continue"/>
            <w:shd w:val="clear" w:color="auto" w:fill="auto"/>
            <w:vAlign w:val="center"/>
          </w:tcPr>
          <w:p w14:paraId="682B5DB9">
            <w:pPr>
              <w:pStyle w:val="476"/>
              <w:rPr>
                <w:color w:val="000000" w:themeColor="text1"/>
                <w14:textFill>
                  <w14:solidFill>
                    <w14:schemeClr w14:val="tx1"/>
                  </w14:solidFill>
                </w14:textFill>
              </w:rPr>
            </w:pPr>
          </w:p>
        </w:tc>
        <w:tc>
          <w:tcPr>
            <w:tcW w:w="360" w:type="pct"/>
            <w:vMerge w:val="continue"/>
            <w:shd w:val="clear" w:color="auto" w:fill="auto"/>
            <w:vAlign w:val="center"/>
          </w:tcPr>
          <w:p w14:paraId="4D83EF88">
            <w:pPr>
              <w:pStyle w:val="476"/>
              <w:rPr>
                <w:rFonts w:eastAsia="等线"/>
                <w:color w:val="000000" w:themeColor="text1"/>
                <w14:textFill>
                  <w14:solidFill>
                    <w14:schemeClr w14:val="tx1"/>
                  </w14:solidFill>
                </w14:textFill>
              </w:rPr>
            </w:pPr>
          </w:p>
        </w:tc>
        <w:tc>
          <w:tcPr>
            <w:tcW w:w="322" w:type="pct"/>
            <w:vMerge w:val="continue"/>
            <w:vAlign w:val="center"/>
          </w:tcPr>
          <w:p w14:paraId="41E79816">
            <w:pPr>
              <w:pStyle w:val="476"/>
              <w:rPr>
                <w:rFonts w:eastAsia="等线"/>
                <w:color w:val="000000" w:themeColor="text1"/>
                <w14:textFill>
                  <w14:solidFill>
                    <w14:schemeClr w14:val="tx1"/>
                  </w14:solidFill>
                </w14:textFill>
              </w:rPr>
            </w:pPr>
          </w:p>
        </w:tc>
      </w:tr>
      <w:tr w14:paraId="253B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 w:type="pct"/>
            <w:shd w:val="clear" w:color="auto" w:fill="auto"/>
            <w:vAlign w:val="center"/>
          </w:tcPr>
          <w:p w14:paraId="6ECEACAE">
            <w:pPr>
              <w:pStyle w:val="476"/>
              <w:rPr>
                <w:color w:val="000000" w:themeColor="text1"/>
                <w14:textFill>
                  <w14:solidFill>
                    <w14:schemeClr w14:val="tx1"/>
                  </w14:solidFill>
                </w14:textFill>
              </w:rPr>
            </w:pPr>
            <w:r>
              <w:rPr>
                <w:color w:val="000000" w:themeColor="text1"/>
                <w14:textFill>
                  <w14:solidFill>
                    <w14:schemeClr w14:val="tx1"/>
                  </w14:solidFill>
                </w14:textFill>
              </w:rPr>
              <w:t>2</w:t>
            </w:r>
          </w:p>
        </w:tc>
        <w:tc>
          <w:tcPr>
            <w:tcW w:w="199" w:type="pct"/>
            <w:vAlign w:val="center"/>
          </w:tcPr>
          <w:p w14:paraId="22E3905B">
            <w:pPr>
              <w:pStyle w:val="476"/>
              <w:rPr>
                <w:color w:val="000000" w:themeColor="text1"/>
                <w14:textFill>
                  <w14:solidFill>
                    <w14:schemeClr w14:val="tx1"/>
                  </w14:solidFill>
                </w14:textFill>
              </w:rPr>
            </w:pPr>
            <w:r>
              <w:rPr>
                <w:color w:val="000000" w:themeColor="text1"/>
                <w14:textFill>
                  <w14:solidFill>
                    <w14:schemeClr w14:val="tx1"/>
                  </w14:solidFill>
                </w14:textFill>
              </w:rPr>
              <w:t>寿山乡</w:t>
            </w:r>
          </w:p>
        </w:tc>
        <w:tc>
          <w:tcPr>
            <w:tcW w:w="305" w:type="pct"/>
            <w:shd w:val="clear" w:color="auto" w:fill="auto"/>
            <w:vAlign w:val="center"/>
          </w:tcPr>
          <w:p w14:paraId="3A45C31A">
            <w:pPr>
              <w:pStyle w:val="476"/>
              <w:rPr>
                <w:color w:val="000000" w:themeColor="text1"/>
                <w14:textFill>
                  <w14:solidFill>
                    <w14:schemeClr w14:val="tx1"/>
                  </w14:solidFill>
                </w14:textFill>
              </w:rPr>
            </w:pPr>
            <w:r>
              <w:rPr>
                <w:color w:val="000000" w:themeColor="text1"/>
                <w14:textFill>
                  <w14:solidFill>
                    <w14:schemeClr w14:val="tx1"/>
                  </w14:solidFill>
                </w14:textFill>
              </w:rPr>
              <w:t>岭头村</w:t>
            </w:r>
          </w:p>
        </w:tc>
        <w:tc>
          <w:tcPr>
            <w:tcW w:w="543" w:type="pct"/>
            <w:shd w:val="clear" w:color="auto" w:fill="auto"/>
            <w:vAlign w:val="center"/>
          </w:tcPr>
          <w:p w14:paraId="26E405C2">
            <w:pPr>
              <w:pStyle w:val="476"/>
              <w:rPr>
                <w:color w:val="000000" w:themeColor="text1"/>
                <w14:textFill>
                  <w14:solidFill>
                    <w14:schemeClr w14:val="tx1"/>
                  </w14:solidFill>
                </w14:textFill>
              </w:rPr>
            </w:pPr>
            <w:r>
              <w:rPr>
                <w:color w:val="000000" w:themeColor="text1"/>
                <w14:textFill>
                  <w14:solidFill>
                    <w14:schemeClr w14:val="tx1"/>
                  </w14:solidFill>
                </w14:textFill>
              </w:rPr>
              <w:t>350111201214</w:t>
            </w:r>
          </w:p>
        </w:tc>
        <w:tc>
          <w:tcPr>
            <w:tcW w:w="359" w:type="pct"/>
            <w:shd w:val="clear" w:color="auto" w:fill="auto"/>
            <w:vAlign w:val="center"/>
          </w:tcPr>
          <w:p w14:paraId="49B299C5">
            <w:pPr>
              <w:pStyle w:val="476"/>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283" w:type="pct"/>
            <w:shd w:val="clear" w:color="auto" w:fill="auto"/>
            <w:vAlign w:val="center"/>
          </w:tcPr>
          <w:p w14:paraId="408AB654">
            <w:pPr>
              <w:pStyle w:val="476"/>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306" w:type="pct"/>
            <w:shd w:val="clear" w:color="auto" w:fill="auto"/>
            <w:vAlign w:val="center"/>
          </w:tcPr>
          <w:p w14:paraId="6D8179DE">
            <w:pPr>
              <w:pStyle w:val="476"/>
              <w:rPr>
                <w:color w:val="000000" w:themeColor="text1"/>
                <w14:textFill>
                  <w14:solidFill>
                    <w14:schemeClr w14:val="tx1"/>
                  </w14:solidFill>
                </w14:textFill>
              </w:rPr>
            </w:pPr>
            <w:r>
              <w:rPr>
                <w:color w:val="000000" w:themeColor="text1"/>
                <w14:textFill>
                  <w14:solidFill>
                    <w14:schemeClr w14:val="tx1"/>
                  </w14:solidFill>
                </w14:textFill>
              </w:rPr>
              <w:t>-</w:t>
            </w:r>
          </w:p>
        </w:tc>
        <w:tc>
          <w:tcPr>
            <w:tcW w:w="311" w:type="pct"/>
            <w:shd w:val="clear" w:color="auto" w:fill="auto"/>
            <w:vAlign w:val="center"/>
          </w:tcPr>
          <w:p w14:paraId="6FFBBC2F">
            <w:pPr>
              <w:pStyle w:val="476"/>
              <w:rPr>
                <w:color w:val="000000" w:themeColor="text1"/>
                <w14:textFill>
                  <w14:solidFill>
                    <w14:schemeClr w14:val="tx1"/>
                  </w14:solidFill>
                </w14:textFill>
              </w:rPr>
            </w:pPr>
            <w:r>
              <w:rPr>
                <w:color w:val="000000" w:themeColor="text1"/>
                <w14:textFill>
                  <w14:solidFill>
                    <w14:schemeClr w14:val="tx1"/>
                  </w14:solidFill>
                </w14:textFill>
              </w:rPr>
              <w:t>-</w:t>
            </w:r>
          </w:p>
        </w:tc>
        <w:tc>
          <w:tcPr>
            <w:tcW w:w="283" w:type="pct"/>
            <w:vAlign w:val="center"/>
          </w:tcPr>
          <w:p w14:paraId="63C6CCC6">
            <w:pPr>
              <w:pStyle w:val="476"/>
              <w:rPr>
                <w:color w:val="000000" w:themeColor="text1"/>
                <w14:textFill>
                  <w14:solidFill>
                    <w14:schemeClr w14:val="tx1"/>
                  </w14:solidFill>
                </w14:textFill>
              </w:rPr>
            </w:pPr>
            <w:r>
              <w:rPr>
                <w:color w:val="000000" w:themeColor="text1"/>
                <w14:textFill>
                  <w14:solidFill>
                    <w14:schemeClr w14:val="tx1"/>
                  </w14:solidFill>
                </w14:textFill>
              </w:rPr>
              <w:t>0</w:t>
            </w:r>
          </w:p>
        </w:tc>
        <w:tc>
          <w:tcPr>
            <w:tcW w:w="338" w:type="pct"/>
            <w:shd w:val="clear" w:color="auto" w:fill="auto"/>
            <w:vAlign w:val="center"/>
          </w:tcPr>
          <w:p w14:paraId="0DFAD895">
            <w:pPr>
              <w:pStyle w:val="476"/>
              <w:rPr>
                <w:color w:val="000000" w:themeColor="text1"/>
                <w14:textFill>
                  <w14:solidFill>
                    <w14:schemeClr w14:val="tx1"/>
                  </w14:solidFill>
                </w14:textFill>
              </w:rPr>
            </w:pPr>
            <w:r>
              <w:rPr>
                <w:color w:val="000000" w:themeColor="text1"/>
                <w14:textFill>
                  <w14:solidFill>
                    <w14:schemeClr w14:val="tx1"/>
                  </w14:solidFill>
                </w14:textFill>
              </w:rPr>
              <w:t>510</w:t>
            </w:r>
          </w:p>
        </w:tc>
        <w:tc>
          <w:tcPr>
            <w:tcW w:w="305" w:type="pct"/>
            <w:shd w:val="clear" w:color="auto" w:fill="auto"/>
            <w:vAlign w:val="center"/>
          </w:tcPr>
          <w:p w14:paraId="6B19D642">
            <w:pPr>
              <w:pStyle w:val="476"/>
              <w:rPr>
                <w:color w:val="000000" w:themeColor="text1"/>
                <w14:textFill>
                  <w14:solidFill>
                    <w14:schemeClr w14:val="tx1"/>
                  </w14:solidFill>
                </w14:textFill>
              </w:rPr>
            </w:pPr>
            <w:r>
              <w:rPr>
                <w:color w:val="000000" w:themeColor="text1"/>
                <w14:textFill>
                  <w14:solidFill>
                    <w14:schemeClr w14:val="tx1"/>
                  </w14:solidFill>
                </w14:textFill>
              </w:rPr>
              <w:t>9</w:t>
            </w:r>
          </w:p>
        </w:tc>
        <w:tc>
          <w:tcPr>
            <w:tcW w:w="305" w:type="pct"/>
            <w:shd w:val="clear" w:color="auto" w:fill="auto"/>
            <w:vAlign w:val="center"/>
          </w:tcPr>
          <w:p w14:paraId="4B1664F3">
            <w:pPr>
              <w:pStyle w:val="476"/>
              <w:rPr>
                <w:color w:val="000000" w:themeColor="text1"/>
                <w14:textFill>
                  <w14:solidFill>
                    <w14:schemeClr w14:val="tx1"/>
                  </w14:solidFill>
                </w14:textFill>
              </w:rPr>
            </w:pPr>
            <w:r>
              <w:rPr>
                <w:color w:val="000000" w:themeColor="text1"/>
                <w14:textFill>
                  <w14:solidFill>
                    <w14:schemeClr w14:val="tx1"/>
                  </w14:solidFill>
                </w14:textFill>
              </w:rPr>
              <w:t>0</w:t>
            </w:r>
          </w:p>
        </w:tc>
        <w:tc>
          <w:tcPr>
            <w:tcW w:w="304" w:type="pct"/>
            <w:vAlign w:val="center"/>
          </w:tcPr>
          <w:p w14:paraId="7AFAE166">
            <w:pPr>
              <w:pStyle w:val="476"/>
              <w:rPr>
                <w:color w:val="000000" w:themeColor="text1"/>
                <w14:textFill>
                  <w14:solidFill>
                    <w14:schemeClr w14:val="tx1"/>
                  </w14:solidFill>
                </w14:textFill>
              </w:rPr>
            </w:pPr>
            <w:r>
              <w:rPr>
                <w:color w:val="000000" w:themeColor="text1"/>
                <w14:textFill>
                  <w14:solidFill>
                    <w14:schemeClr w14:val="tx1"/>
                  </w14:solidFill>
                </w14:textFill>
              </w:rPr>
              <w:t>0</w:t>
            </w:r>
          </w:p>
        </w:tc>
        <w:tc>
          <w:tcPr>
            <w:tcW w:w="306" w:type="pct"/>
            <w:shd w:val="clear" w:color="auto" w:fill="auto"/>
            <w:vAlign w:val="center"/>
          </w:tcPr>
          <w:p w14:paraId="3AD641E8">
            <w:pPr>
              <w:pStyle w:val="476"/>
              <w:rPr>
                <w:color w:val="000000" w:themeColor="text1"/>
                <w14:textFill>
                  <w14:solidFill>
                    <w14:schemeClr w14:val="tx1"/>
                  </w14:solidFill>
                </w14:textFill>
              </w:rPr>
            </w:pPr>
            <w:r>
              <w:rPr>
                <w:color w:val="000000" w:themeColor="text1"/>
                <w14:textFill>
                  <w14:solidFill>
                    <w14:schemeClr w14:val="tx1"/>
                  </w14:solidFill>
                </w14:textFill>
              </w:rPr>
              <w:t>0</w:t>
            </w:r>
          </w:p>
        </w:tc>
        <w:tc>
          <w:tcPr>
            <w:tcW w:w="360" w:type="pct"/>
            <w:shd w:val="clear" w:color="auto" w:fill="auto"/>
            <w:vAlign w:val="center"/>
          </w:tcPr>
          <w:p w14:paraId="5908647D">
            <w:pPr>
              <w:pStyle w:val="476"/>
              <w:rPr>
                <w:rFonts w:eastAsia="等线"/>
                <w:color w:val="auto"/>
              </w:rPr>
            </w:pPr>
            <w:r>
              <w:rPr>
                <w:rFonts w:eastAsia="等线"/>
                <w:color w:val="auto"/>
              </w:rPr>
              <w:t>22</w:t>
            </w:r>
          </w:p>
        </w:tc>
        <w:tc>
          <w:tcPr>
            <w:tcW w:w="322" w:type="pct"/>
            <w:vAlign w:val="center"/>
          </w:tcPr>
          <w:p w14:paraId="3D4BBBF0">
            <w:pPr>
              <w:pStyle w:val="476"/>
              <w:rPr>
                <w:rFonts w:eastAsia="等线"/>
                <w:color w:val="auto"/>
              </w:rPr>
            </w:pPr>
            <w:r>
              <w:rPr>
                <w:rFonts w:eastAsia="等线"/>
                <w:color w:val="auto"/>
              </w:rPr>
              <w:t>2024</w:t>
            </w:r>
          </w:p>
        </w:tc>
      </w:tr>
      <w:tr w14:paraId="2E59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 w:type="pct"/>
            <w:shd w:val="clear" w:color="auto" w:fill="auto"/>
            <w:vAlign w:val="center"/>
          </w:tcPr>
          <w:p w14:paraId="1EFF0AB8">
            <w:pPr>
              <w:pStyle w:val="476"/>
              <w:rPr>
                <w:color w:val="000000" w:themeColor="text1"/>
                <w14:textFill>
                  <w14:solidFill>
                    <w14:schemeClr w14:val="tx1"/>
                  </w14:solidFill>
                </w14:textFill>
              </w:rPr>
            </w:pPr>
            <w:r>
              <w:rPr>
                <w:color w:val="000000" w:themeColor="text1"/>
                <w14:textFill>
                  <w14:solidFill>
                    <w14:schemeClr w14:val="tx1"/>
                  </w14:solidFill>
                </w14:textFill>
              </w:rPr>
              <w:t>3</w:t>
            </w:r>
          </w:p>
        </w:tc>
        <w:tc>
          <w:tcPr>
            <w:tcW w:w="199" w:type="pct"/>
            <w:shd w:val="clear" w:color="auto" w:fill="auto"/>
            <w:vAlign w:val="center"/>
          </w:tcPr>
          <w:p w14:paraId="70A26F07">
            <w:pPr>
              <w:pStyle w:val="476"/>
              <w:rPr>
                <w:color w:val="000000" w:themeColor="text1"/>
                <w14:textFill>
                  <w14:solidFill>
                    <w14:schemeClr w14:val="tx1"/>
                  </w14:solidFill>
                </w14:textFill>
              </w:rPr>
            </w:pPr>
            <w:r>
              <w:rPr>
                <w:color w:val="000000" w:themeColor="text1"/>
                <w14:textFill>
                  <w14:solidFill>
                    <w14:schemeClr w14:val="tx1"/>
                  </w14:solidFill>
                </w14:textFill>
              </w:rPr>
              <w:t>日溪乡</w:t>
            </w:r>
          </w:p>
        </w:tc>
        <w:tc>
          <w:tcPr>
            <w:tcW w:w="305" w:type="pct"/>
            <w:shd w:val="clear" w:color="auto" w:fill="auto"/>
            <w:vAlign w:val="center"/>
          </w:tcPr>
          <w:p w14:paraId="678189F5">
            <w:pPr>
              <w:pStyle w:val="476"/>
              <w:rPr>
                <w:color w:val="000000" w:themeColor="text1"/>
                <w14:textFill>
                  <w14:solidFill>
                    <w14:schemeClr w14:val="tx1"/>
                  </w14:solidFill>
                </w14:textFill>
              </w:rPr>
            </w:pPr>
            <w:r>
              <w:rPr>
                <w:color w:val="000000" w:themeColor="text1"/>
                <w14:textFill>
                  <w14:solidFill>
                    <w14:schemeClr w14:val="tx1"/>
                  </w14:solidFill>
                </w14:textFill>
              </w:rPr>
              <w:t>日溪村</w:t>
            </w:r>
          </w:p>
        </w:tc>
        <w:tc>
          <w:tcPr>
            <w:tcW w:w="543" w:type="pct"/>
            <w:shd w:val="clear" w:color="auto" w:fill="auto"/>
            <w:vAlign w:val="center"/>
          </w:tcPr>
          <w:p w14:paraId="10F30706">
            <w:pPr>
              <w:pStyle w:val="476"/>
              <w:rPr>
                <w:color w:val="000000" w:themeColor="text1"/>
                <w14:textFill>
                  <w14:solidFill>
                    <w14:schemeClr w14:val="tx1"/>
                  </w14:solidFill>
                </w14:textFill>
              </w:rPr>
            </w:pPr>
            <w:r>
              <w:rPr>
                <w:color w:val="000000" w:themeColor="text1"/>
                <w14:textFill>
                  <w14:solidFill>
                    <w14:schemeClr w14:val="tx1"/>
                  </w14:solidFill>
                </w14:textFill>
              </w:rPr>
              <w:t>350111202201</w:t>
            </w:r>
          </w:p>
        </w:tc>
        <w:tc>
          <w:tcPr>
            <w:tcW w:w="359" w:type="pct"/>
            <w:shd w:val="clear" w:color="auto" w:fill="auto"/>
            <w:vAlign w:val="center"/>
          </w:tcPr>
          <w:p w14:paraId="4A78093C">
            <w:pPr>
              <w:pStyle w:val="476"/>
              <w:rPr>
                <w:color w:val="000000" w:themeColor="text1"/>
                <w14:textFill>
                  <w14:solidFill>
                    <w14:schemeClr w14:val="tx1"/>
                  </w14:solidFill>
                </w14:textFill>
              </w:rPr>
            </w:pPr>
            <w:r>
              <w:rPr>
                <w:color w:val="000000" w:themeColor="text1"/>
                <w14:textFill>
                  <w14:solidFill>
                    <w14:schemeClr w14:val="tx1"/>
                  </w14:solidFill>
                </w14:textFill>
              </w:rPr>
              <w:t>是</w:t>
            </w:r>
          </w:p>
        </w:tc>
        <w:tc>
          <w:tcPr>
            <w:tcW w:w="283" w:type="pct"/>
            <w:shd w:val="clear" w:color="auto" w:fill="auto"/>
            <w:vAlign w:val="center"/>
          </w:tcPr>
          <w:p w14:paraId="2497B187">
            <w:pPr>
              <w:pStyle w:val="476"/>
              <w:rPr>
                <w:color w:val="000000" w:themeColor="text1"/>
                <w14:textFill>
                  <w14:solidFill>
                    <w14:schemeClr w14:val="tx1"/>
                  </w14:solidFill>
                </w14:textFill>
              </w:rPr>
            </w:pPr>
            <w:r>
              <w:rPr>
                <w:color w:val="000000" w:themeColor="text1"/>
                <w14:textFill>
                  <w14:solidFill>
                    <w14:schemeClr w14:val="tx1"/>
                  </w14:solidFill>
                </w14:textFill>
              </w:rPr>
              <w:t>否</w:t>
            </w:r>
          </w:p>
        </w:tc>
        <w:tc>
          <w:tcPr>
            <w:tcW w:w="306" w:type="pct"/>
            <w:shd w:val="clear" w:color="auto" w:fill="auto"/>
            <w:vAlign w:val="center"/>
          </w:tcPr>
          <w:p w14:paraId="0620D24E">
            <w:pPr>
              <w:pStyle w:val="476"/>
              <w:rPr>
                <w:color w:val="000000" w:themeColor="text1"/>
                <w14:textFill>
                  <w14:solidFill>
                    <w14:schemeClr w14:val="tx1"/>
                  </w14:solidFill>
                </w14:textFill>
              </w:rPr>
            </w:pPr>
            <w:r>
              <w:rPr>
                <w:color w:val="000000" w:themeColor="text1"/>
                <w14:textFill>
                  <w14:solidFill>
                    <w14:schemeClr w14:val="tx1"/>
                  </w14:solidFill>
                </w14:textFill>
              </w:rPr>
              <w:t>-</w:t>
            </w:r>
          </w:p>
        </w:tc>
        <w:tc>
          <w:tcPr>
            <w:tcW w:w="311" w:type="pct"/>
            <w:shd w:val="clear" w:color="auto" w:fill="auto"/>
            <w:vAlign w:val="center"/>
          </w:tcPr>
          <w:p w14:paraId="74701F37">
            <w:pPr>
              <w:pStyle w:val="476"/>
              <w:rPr>
                <w:color w:val="000000" w:themeColor="text1"/>
                <w14:textFill>
                  <w14:solidFill>
                    <w14:schemeClr w14:val="tx1"/>
                  </w14:solidFill>
                </w14:textFill>
              </w:rPr>
            </w:pPr>
            <w:r>
              <w:rPr>
                <w:color w:val="000000" w:themeColor="text1"/>
                <w14:textFill>
                  <w14:solidFill>
                    <w14:schemeClr w14:val="tx1"/>
                  </w14:solidFill>
                </w14:textFill>
              </w:rPr>
              <w:t>美丽乡村</w:t>
            </w:r>
          </w:p>
        </w:tc>
        <w:tc>
          <w:tcPr>
            <w:tcW w:w="283" w:type="pct"/>
            <w:vAlign w:val="center"/>
          </w:tcPr>
          <w:p w14:paraId="4BD9A669">
            <w:pPr>
              <w:pStyle w:val="476"/>
              <w:rPr>
                <w:color w:val="000000" w:themeColor="text1"/>
                <w14:textFill>
                  <w14:solidFill>
                    <w14:schemeClr w14:val="tx1"/>
                  </w14:solidFill>
                </w14:textFill>
              </w:rPr>
            </w:pPr>
            <w:r>
              <w:rPr>
                <w:color w:val="000000" w:themeColor="text1"/>
                <w14:textFill>
                  <w14:solidFill>
                    <w14:schemeClr w14:val="tx1"/>
                  </w14:solidFill>
                </w14:textFill>
              </w:rPr>
              <w:t>20</w:t>
            </w:r>
          </w:p>
        </w:tc>
        <w:tc>
          <w:tcPr>
            <w:tcW w:w="338" w:type="pct"/>
            <w:shd w:val="clear" w:color="auto" w:fill="auto"/>
            <w:vAlign w:val="center"/>
          </w:tcPr>
          <w:p w14:paraId="14282C14">
            <w:pPr>
              <w:pStyle w:val="476"/>
              <w:rPr>
                <w:color w:val="000000" w:themeColor="text1"/>
                <w14:textFill>
                  <w14:solidFill>
                    <w14:schemeClr w14:val="tx1"/>
                  </w14:solidFill>
                </w14:textFill>
              </w:rPr>
            </w:pPr>
            <w:r>
              <w:rPr>
                <w:color w:val="000000" w:themeColor="text1"/>
                <w14:textFill>
                  <w14:solidFill>
                    <w14:schemeClr w14:val="tx1"/>
                  </w14:solidFill>
                </w14:textFill>
              </w:rPr>
              <w:t>1260</w:t>
            </w:r>
          </w:p>
        </w:tc>
        <w:tc>
          <w:tcPr>
            <w:tcW w:w="305" w:type="pct"/>
            <w:shd w:val="clear" w:color="auto" w:fill="auto"/>
            <w:vAlign w:val="center"/>
          </w:tcPr>
          <w:p w14:paraId="4FD02E90">
            <w:pPr>
              <w:pStyle w:val="476"/>
              <w:rPr>
                <w:color w:val="000000" w:themeColor="text1"/>
                <w14:textFill>
                  <w14:solidFill>
                    <w14:schemeClr w14:val="tx1"/>
                  </w14:solidFill>
                </w14:textFill>
              </w:rPr>
            </w:pPr>
            <w:r>
              <w:rPr>
                <w:color w:val="000000" w:themeColor="text1"/>
                <w14:textFill>
                  <w14:solidFill>
                    <w14:schemeClr w14:val="tx1"/>
                  </w14:solidFill>
                </w14:textFill>
              </w:rPr>
              <w:t>50</w:t>
            </w:r>
          </w:p>
        </w:tc>
        <w:tc>
          <w:tcPr>
            <w:tcW w:w="305" w:type="pct"/>
            <w:shd w:val="clear" w:color="auto" w:fill="auto"/>
            <w:vAlign w:val="center"/>
          </w:tcPr>
          <w:p w14:paraId="3B27F5E9">
            <w:pPr>
              <w:pStyle w:val="476"/>
              <w:rPr>
                <w:color w:val="000000" w:themeColor="text1"/>
                <w14:textFill>
                  <w14:solidFill>
                    <w14:schemeClr w14:val="tx1"/>
                  </w14:solidFill>
                </w14:textFill>
              </w:rPr>
            </w:pPr>
            <w:r>
              <w:rPr>
                <w:color w:val="000000" w:themeColor="text1"/>
                <w14:textFill>
                  <w14:solidFill>
                    <w14:schemeClr w14:val="tx1"/>
                  </w14:solidFill>
                </w14:textFill>
              </w:rPr>
              <w:t>0</w:t>
            </w:r>
          </w:p>
        </w:tc>
        <w:tc>
          <w:tcPr>
            <w:tcW w:w="304" w:type="pct"/>
            <w:vAlign w:val="center"/>
          </w:tcPr>
          <w:p w14:paraId="0C87E733">
            <w:pPr>
              <w:pStyle w:val="476"/>
              <w:rPr>
                <w:color w:val="000000" w:themeColor="text1"/>
                <w14:textFill>
                  <w14:solidFill>
                    <w14:schemeClr w14:val="tx1"/>
                  </w14:solidFill>
                </w14:textFill>
              </w:rPr>
            </w:pPr>
            <w:r>
              <w:rPr>
                <w:color w:val="000000" w:themeColor="text1"/>
                <w14:textFill>
                  <w14:solidFill>
                    <w14:schemeClr w14:val="tx1"/>
                  </w14:solidFill>
                </w14:textFill>
              </w:rPr>
              <w:t>0</w:t>
            </w:r>
          </w:p>
        </w:tc>
        <w:tc>
          <w:tcPr>
            <w:tcW w:w="306" w:type="pct"/>
            <w:shd w:val="clear" w:color="auto" w:fill="auto"/>
            <w:vAlign w:val="center"/>
          </w:tcPr>
          <w:p w14:paraId="510EB1E3">
            <w:pPr>
              <w:pStyle w:val="476"/>
              <w:rPr>
                <w:color w:val="000000" w:themeColor="text1"/>
                <w14:textFill>
                  <w14:solidFill>
                    <w14:schemeClr w14:val="tx1"/>
                  </w14:solidFill>
                </w14:textFill>
              </w:rPr>
            </w:pPr>
            <w:r>
              <w:rPr>
                <w:color w:val="000000" w:themeColor="text1"/>
                <w14:textFill>
                  <w14:solidFill>
                    <w14:schemeClr w14:val="tx1"/>
                  </w14:solidFill>
                </w14:textFill>
              </w:rPr>
              <w:t>0</w:t>
            </w:r>
          </w:p>
        </w:tc>
        <w:tc>
          <w:tcPr>
            <w:tcW w:w="360" w:type="pct"/>
            <w:shd w:val="clear" w:color="auto" w:fill="auto"/>
            <w:vAlign w:val="center"/>
          </w:tcPr>
          <w:p w14:paraId="76C1EEC4">
            <w:pPr>
              <w:pStyle w:val="476"/>
              <w:rPr>
                <w:rFonts w:eastAsia="等线"/>
                <w:color w:val="auto"/>
              </w:rPr>
            </w:pPr>
            <w:r>
              <w:rPr>
                <w:rFonts w:eastAsia="等线"/>
                <w:color w:val="auto"/>
              </w:rPr>
              <w:t>100</w:t>
            </w:r>
          </w:p>
        </w:tc>
        <w:tc>
          <w:tcPr>
            <w:tcW w:w="322" w:type="pct"/>
            <w:vAlign w:val="center"/>
          </w:tcPr>
          <w:p w14:paraId="5B97E5F0">
            <w:pPr>
              <w:pStyle w:val="476"/>
              <w:rPr>
                <w:rFonts w:eastAsia="等线"/>
                <w:color w:val="auto"/>
              </w:rPr>
            </w:pPr>
            <w:r>
              <w:rPr>
                <w:rFonts w:eastAsia="等线"/>
                <w:color w:val="auto"/>
              </w:rPr>
              <w:t>2021</w:t>
            </w:r>
          </w:p>
        </w:tc>
      </w:tr>
      <w:tr w14:paraId="0DA0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18" w:type="pct"/>
            <w:gridSpan w:val="14"/>
            <w:shd w:val="clear" w:color="auto" w:fill="auto"/>
            <w:vAlign w:val="center"/>
          </w:tcPr>
          <w:p w14:paraId="2CB1D542">
            <w:pPr>
              <w:pStyle w:val="476"/>
              <w:rPr>
                <w:color w:val="000000" w:themeColor="text1"/>
                <w14:textFill>
                  <w14:solidFill>
                    <w14:schemeClr w14:val="tx1"/>
                  </w14:solidFill>
                </w14:textFill>
              </w:rPr>
            </w:pPr>
            <w:r>
              <w:rPr>
                <w:color w:val="000000" w:themeColor="text1"/>
                <w14:textFill>
                  <w14:solidFill>
                    <w14:schemeClr w14:val="tx1"/>
                  </w14:solidFill>
                </w14:textFill>
              </w:rPr>
              <w:t>总投资费用</w:t>
            </w:r>
          </w:p>
        </w:tc>
        <w:tc>
          <w:tcPr>
            <w:tcW w:w="360" w:type="pct"/>
            <w:shd w:val="clear" w:color="auto" w:fill="auto"/>
            <w:vAlign w:val="center"/>
          </w:tcPr>
          <w:p w14:paraId="0368EA32">
            <w:pPr>
              <w:pStyle w:val="476"/>
              <w:rPr>
                <w:rFonts w:eastAsia="等线"/>
                <w:color w:val="auto"/>
              </w:rPr>
            </w:pPr>
            <w:r>
              <w:rPr>
                <w:rFonts w:eastAsia="等线"/>
                <w:color w:val="auto"/>
              </w:rPr>
              <w:t>822</w:t>
            </w:r>
          </w:p>
        </w:tc>
        <w:tc>
          <w:tcPr>
            <w:tcW w:w="322" w:type="pct"/>
            <w:vAlign w:val="center"/>
          </w:tcPr>
          <w:p w14:paraId="5F2339BD">
            <w:pPr>
              <w:pStyle w:val="476"/>
              <w:rPr>
                <w:rFonts w:eastAsia="等线"/>
                <w:color w:val="auto"/>
              </w:rPr>
            </w:pPr>
          </w:p>
        </w:tc>
      </w:tr>
    </w:tbl>
    <w:p w14:paraId="1C387A96">
      <w:pPr>
        <w:pStyle w:val="52"/>
        <w:ind w:firstLine="0" w:firstLineChars="0"/>
        <w:rPr>
          <w:color w:val="000000" w:themeColor="text1"/>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45184168">
      <w:pPr>
        <w:pStyle w:val="442"/>
        <w:rPr>
          <w:color w:val="000000" w:themeColor="text1"/>
          <w14:textFill>
            <w14:solidFill>
              <w14:schemeClr w14:val="tx1"/>
            </w14:solidFill>
          </w14:textFill>
        </w:rPr>
      </w:pPr>
      <w:r>
        <w:rPr>
          <w:color w:val="000000" w:themeColor="text1"/>
          <w14:textFill>
            <w14:solidFill>
              <w14:schemeClr w14:val="tx1"/>
            </w14:solidFill>
          </w14:textFill>
        </w:rPr>
        <w:t>表6.3-2分年度总投资及工程量一览表</w:t>
      </w:r>
    </w:p>
    <w:tbl>
      <w:tblPr>
        <w:tblStyle w:val="5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9"/>
        <w:gridCol w:w="3036"/>
        <w:gridCol w:w="3036"/>
        <w:gridCol w:w="3036"/>
        <w:gridCol w:w="1862"/>
        <w:gridCol w:w="973"/>
      </w:tblGrid>
      <w:tr w14:paraId="0735A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26" w:type="pct"/>
            <w:shd w:val="clear" w:color="auto" w:fill="auto"/>
            <w:vAlign w:val="center"/>
          </w:tcPr>
          <w:p w14:paraId="38F469D9">
            <w:pPr>
              <w:pStyle w:val="476"/>
              <w:rPr>
                <w:b/>
                <w:color w:val="000000" w:themeColor="text1"/>
                <w14:textFill>
                  <w14:solidFill>
                    <w14:schemeClr w14:val="tx1"/>
                  </w14:solidFill>
                </w14:textFill>
              </w:rPr>
            </w:pPr>
            <w:r>
              <w:rPr>
                <w:b/>
                <w:color w:val="000000" w:themeColor="text1"/>
                <w14:textFill>
                  <w14:solidFill>
                    <w14:schemeClr w14:val="tx1"/>
                  </w14:solidFill>
                </w14:textFill>
              </w:rPr>
              <w:t>时间</w:t>
            </w:r>
          </w:p>
        </w:tc>
        <w:tc>
          <w:tcPr>
            <w:tcW w:w="1112" w:type="pct"/>
            <w:shd w:val="clear" w:color="auto" w:fill="auto"/>
            <w:vAlign w:val="center"/>
          </w:tcPr>
          <w:p w14:paraId="50EBB722">
            <w:pPr>
              <w:pStyle w:val="476"/>
              <w:rPr>
                <w:b/>
                <w:color w:val="000000" w:themeColor="text1"/>
                <w14:textFill>
                  <w14:solidFill>
                    <w14:schemeClr w14:val="tx1"/>
                  </w14:solidFill>
                </w14:textFill>
              </w:rPr>
            </w:pPr>
            <w:r>
              <w:rPr>
                <w:b/>
                <w:color w:val="000000" w:themeColor="text1"/>
                <w14:textFill>
                  <w14:solidFill>
                    <w14:schemeClr w14:val="tx1"/>
                  </w14:solidFill>
                </w14:textFill>
              </w:rPr>
              <w:t>2021</w:t>
            </w:r>
          </w:p>
        </w:tc>
        <w:tc>
          <w:tcPr>
            <w:tcW w:w="1112" w:type="pct"/>
            <w:shd w:val="clear" w:color="auto" w:fill="auto"/>
            <w:vAlign w:val="center"/>
          </w:tcPr>
          <w:p w14:paraId="6D6E604E">
            <w:pPr>
              <w:pStyle w:val="476"/>
              <w:rPr>
                <w:b/>
                <w:color w:val="000000" w:themeColor="text1"/>
                <w14:textFill>
                  <w14:solidFill>
                    <w14:schemeClr w14:val="tx1"/>
                  </w14:solidFill>
                </w14:textFill>
              </w:rPr>
            </w:pPr>
            <w:r>
              <w:rPr>
                <w:b/>
                <w:color w:val="000000" w:themeColor="text1"/>
                <w14:textFill>
                  <w14:solidFill>
                    <w14:schemeClr w14:val="tx1"/>
                  </w14:solidFill>
                </w14:textFill>
              </w:rPr>
              <w:t>2022</w:t>
            </w:r>
          </w:p>
        </w:tc>
        <w:tc>
          <w:tcPr>
            <w:tcW w:w="1112" w:type="pct"/>
            <w:shd w:val="clear" w:color="auto" w:fill="auto"/>
            <w:vAlign w:val="center"/>
          </w:tcPr>
          <w:p w14:paraId="3CABC72E">
            <w:pPr>
              <w:pStyle w:val="476"/>
              <w:rPr>
                <w:b/>
                <w:color w:val="000000" w:themeColor="text1"/>
                <w14:textFill>
                  <w14:solidFill>
                    <w14:schemeClr w14:val="tx1"/>
                  </w14:solidFill>
                </w14:textFill>
              </w:rPr>
            </w:pPr>
            <w:r>
              <w:rPr>
                <w:b/>
                <w:color w:val="000000" w:themeColor="text1"/>
                <w14:textFill>
                  <w14:solidFill>
                    <w14:schemeClr w14:val="tx1"/>
                  </w14:solidFill>
                </w14:textFill>
              </w:rPr>
              <w:t>2023</w:t>
            </w:r>
          </w:p>
        </w:tc>
        <w:tc>
          <w:tcPr>
            <w:tcW w:w="682" w:type="pct"/>
            <w:shd w:val="clear" w:color="auto" w:fill="auto"/>
            <w:vAlign w:val="center"/>
          </w:tcPr>
          <w:p w14:paraId="1F9DCCEF">
            <w:pPr>
              <w:pStyle w:val="476"/>
              <w:rPr>
                <w:b/>
                <w:color w:val="000000" w:themeColor="text1"/>
                <w14:textFill>
                  <w14:solidFill>
                    <w14:schemeClr w14:val="tx1"/>
                  </w14:solidFill>
                </w14:textFill>
              </w:rPr>
            </w:pPr>
            <w:r>
              <w:rPr>
                <w:b/>
                <w:color w:val="000000" w:themeColor="text1"/>
                <w14:textFill>
                  <w14:solidFill>
                    <w14:schemeClr w14:val="tx1"/>
                  </w14:solidFill>
                </w14:textFill>
              </w:rPr>
              <w:t>2024</w:t>
            </w:r>
          </w:p>
        </w:tc>
        <w:tc>
          <w:tcPr>
            <w:tcW w:w="356" w:type="pct"/>
            <w:shd w:val="clear" w:color="auto" w:fill="auto"/>
            <w:vAlign w:val="center"/>
          </w:tcPr>
          <w:p w14:paraId="4E5B8357">
            <w:pPr>
              <w:pStyle w:val="476"/>
              <w:rPr>
                <w:b/>
                <w:color w:val="000000" w:themeColor="text1"/>
                <w14:textFill>
                  <w14:solidFill>
                    <w14:schemeClr w14:val="tx1"/>
                  </w14:solidFill>
                </w14:textFill>
              </w:rPr>
            </w:pPr>
            <w:r>
              <w:rPr>
                <w:b/>
                <w:color w:val="000000" w:themeColor="text1"/>
                <w14:textFill>
                  <w14:solidFill>
                    <w14:schemeClr w14:val="tx1"/>
                  </w14:solidFill>
                </w14:textFill>
              </w:rPr>
              <w:t>合计</w:t>
            </w:r>
          </w:p>
        </w:tc>
      </w:tr>
      <w:tr w14:paraId="08C60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26" w:type="pct"/>
            <w:vAlign w:val="center"/>
          </w:tcPr>
          <w:p w14:paraId="79F0F510">
            <w:pPr>
              <w:pStyle w:val="476"/>
              <w:rPr>
                <w:color w:val="000000" w:themeColor="text1"/>
                <w14:textFill>
                  <w14:solidFill>
                    <w14:schemeClr w14:val="tx1"/>
                  </w14:solidFill>
                </w14:textFill>
              </w:rPr>
            </w:pPr>
            <w:r>
              <w:rPr>
                <w:color w:val="000000" w:themeColor="text1"/>
                <w14:textFill>
                  <w14:solidFill>
                    <w14:schemeClr w14:val="tx1"/>
                  </w14:solidFill>
                </w14:textFill>
              </w:rPr>
              <w:t>年投资</w:t>
            </w:r>
          </w:p>
        </w:tc>
        <w:tc>
          <w:tcPr>
            <w:tcW w:w="1112" w:type="pct"/>
            <w:vAlign w:val="center"/>
          </w:tcPr>
          <w:p w14:paraId="177C53E8">
            <w:pPr>
              <w:pStyle w:val="476"/>
              <w:rPr>
                <w:color w:val="auto"/>
              </w:rPr>
            </w:pPr>
            <w:r>
              <w:rPr>
                <w:color w:val="auto"/>
              </w:rPr>
              <w:t>100</w:t>
            </w:r>
          </w:p>
        </w:tc>
        <w:tc>
          <w:tcPr>
            <w:tcW w:w="1112" w:type="pct"/>
            <w:vAlign w:val="center"/>
          </w:tcPr>
          <w:p w14:paraId="2A976825">
            <w:pPr>
              <w:pStyle w:val="476"/>
              <w:rPr>
                <w:color w:val="auto"/>
              </w:rPr>
            </w:pPr>
            <w:r>
              <w:rPr>
                <w:color w:val="auto"/>
              </w:rPr>
              <w:t>400</w:t>
            </w:r>
          </w:p>
        </w:tc>
        <w:tc>
          <w:tcPr>
            <w:tcW w:w="1112" w:type="pct"/>
            <w:vAlign w:val="center"/>
          </w:tcPr>
          <w:p w14:paraId="6EE8FFAC">
            <w:pPr>
              <w:pStyle w:val="476"/>
              <w:rPr>
                <w:color w:val="auto"/>
              </w:rPr>
            </w:pPr>
            <w:r>
              <w:rPr>
                <w:color w:val="auto"/>
              </w:rPr>
              <w:t>300</w:t>
            </w:r>
          </w:p>
        </w:tc>
        <w:tc>
          <w:tcPr>
            <w:tcW w:w="682" w:type="pct"/>
            <w:vAlign w:val="center"/>
          </w:tcPr>
          <w:p w14:paraId="1A49D172">
            <w:pPr>
              <w:pStyle w:val="476"/>
              <w:rPr>
                <w:color w:val="auto"/>
              </w:rPr>
            </w:pPr>
            <w:r>
              <w:rPr>
                <w:color w:val="auto"/>
              </w:rPr>
              <w:t>22</w:t>
            </w:r>
          </w:p>
        </w:tc>
        <w:tc>
          <w:tcPr>
            <w:tcW w:w="356" w:type="pct"/>
            <w:vAlign w:val="center"/>
          </w:tcPr>
          <w:p w14:paraId="6B09CFAD">
            <w:pPr>
              <w:pStyle w:val="476"/>
              <w:rPr>
                <w:color w:val="auto"/>
              </w:rPr>
            </w:pPr>
            <w:r>
              <w:rPr>
                <w:color w:val="auto"/>
              </w:rPr>
              <w:t>822</w:t>
            </w:r>
          </w:p>
        </w:tc>
      </w:tr>
      <w:tr w14:paraId="28754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26" w:type="pct"/>
            <w:vAlign w:val="center"/>
          </w:tcPr>
          <w:p w14:paraId="2C7A9D7D">
            <w:pPr>
              <w:pStyle w:val="476"/>
              <w:rPr>
                <w:color w:val="000000" w:themeColor="text1"/>
                <w14:textFill>
                  <w14:solidFill>
                    <w14:schemeClr w14:val="tx1"/>
                  </w14:solidFill>
                </w14:textFill>
              </w:rPr>
            </w:pPr>
            <w:r>
              <w:rPr>
                <w:color w:val="000000" w:themeColor="text1"/>
                <w14:textFill>
                  <w14:solidFill>
                    <w14:schemeClr w14:val="tx1"/>
                  </w14:solidFill>
                </w14:textFill>
              </w:rPr>
              <w:t>工程量</w:t>
            </w:r>
          </w:p>
        </w:tc>
        <w:tc>
          <w:tcPr>
            <w:tcW w:w="1112" w:type="pct"/>
            <w:vAlign w:val="center"/>
          </w:tcPr>
          <w:p w14:paraId="2637F1F5">
            <w:pPr>
              <w:pStyle w:val="476"/>
              <w:rPr>
                <w:color w:val="auto"/>
              </w:rPr>
            </w:pPr>
            <w:r>
              <w:rPr>
                <w:color w:val="auto"/>
              </w:rPr>
              <w:t>完成日溪污水处理厂厂外管网提升改造1260米。</w:t>
            </w:r>
          </w:p>
          <w:p w14:paraId="535099C2">
            <w:pPr>
              <w:pStyle w:val="476"/>
              <w:rPr>
                <w:color w:val="auto"/>
              </w:rPr>
            </w:pPr>
            <w:r>
              <w:rPr>
                <w:color w:val="auto"/>
              </w:rPr>
              <w:t>启动宦溪集镇污水处理厂厂外管网建设。</w:t>
            </w:r>
          </w:p>
        </w:tc>
        <w:tc>
          <w:tcPr>
            <w:tcW w:w="1112" w:type="pct"/>
            <w:vAlign w:val="center"/>
          </w:tcPr>
          <w:p w14:paraId="437DF3ED">
            <w:pPr>
              <w:pStyle w:val="476"/>
              <w:rPr>
                <w:color w:val="auto"/>
              </w:rPr>
            </w:pPr>
            <w:r>
              <w:rPr>
                <w:color w:val="auto"/>
              </w:rPr>
              <w:t>完成宦溪集镇污水处理厂厂外管网一期工程建设，建设污水管网约5公里。</w:t>
            </w:r>
          </w:p>
          <w:p w14:paraId="7A6F7914">
            <w:pPr>
              <w:pStyle w:val="476"/>
              <w:rPr>
                <w:color w:val="auto"/>
              </w:rPr>
            </w:pPr>
            <w:r>
              <w:rPr>
                <w:color w:val="auto"/>
              </w:rPr>
              <w:t>启动宦溪集镇污水处理厂厂外管网二期工程建设。</w:t>
            </w:r>
          </w:p>
        </w:tc>
        <w:tc>
          <w:tcPr>
            <w:tcW w:w="1112" w:type="pct"/>
            <w:vAlign w:val="center"/>
          </w:tcPr>
          <w:p w14:paraId="5A372A2E">
            <w:pPr>
              <w:pStyle w:val="476"/>
              <w:rPr>
                <w:rFonts w:hint="eastAsia"/>
                <w:color w:val="auto"/>
              </w:rPr>
            </w:pPr>
            <w:r>
              <w:rPr>
                <w:color w:val="auto"/>
              </w:rPr>
              <w:t>完成宦溪集镇污水处理厂厂外管网二期工程建设，累计完成污水管网建设5公里。</w:t>
            </w:r>
          </w:p>
        </w:tc>
        <w:tc>
          <w:tcPr>
            <w:tcW w:w="682" w:type="pct"/>
            <w:vAlign w:val="center"/>
          </w:tcPr>
          <w:p w14:paraId="4D516184">
            <w:pPr>
              <w:pStyle w:val="476"/>
              <w:rPr>
                <w:color w:val="auto"/>
              </w:rPr>
            </w:pPr>
            <w:r>
              <w:rPr>
                <w:rFonts w:hint="eastAsia"/>
                <w:color w:val="auto"/>
              </w:rPr>
              <w:t>完成寿山乡污水处理厂厂外管网建设，累计建设污水管网510米。</w:t>
            </w:r>
          </w:p>
        </w:tc>
        <w:tc>
          <w:tcPr>
            <w:tcW w:w="356" w:type="pct"/>
            <w:vAlign w:val="center"/>
          </w:tcPr>
          <w:p w14:paraId="140CCE79">
            <w:pPr>
              <w:pStyle w:val="476"/>
              <w:rPr>
                <w:color w:val="auto"/>
              </w:rPr>
            </w:pPr>
          </w:p>
        </w:tc>
      </w:tr>
    </w:tbl>
    <w:p w14:paraId="1A466315">
      <w:pPr>
        <w:pStyle w:val="52"/>
        <w:ind w:firstLine="0" w:firstLineChars="0"/>
        <w:rPr>
          <w:color w:val="000000" w:themeColor="text1"/>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71020076">
      <w:pPr>
        <w:pStyle w:val="3"/>
        <w:rPr>
          <w:rFonts w:ascii="Times New Roman" w:hAnsi="Times New Roman"/>
          <w:color w:val="000000" w:themeColor="text1"/>
          <w:sz w:val="40"/>
          <w14:textFill>
            <w14:solidFill>
              <w14:schemeClr w14:val="tx1"/>
            </w14:solidFill>
          </w14:textFill>
        </w:rPr>
      </w:pPr>
      <w:bookmarkStart w:id="243" w:name="_Toc112694055"/>
      <w:bookmarkStart w:id="244" w:name="_Toc112861046"/>
      <w:bookmarkStart w:id="245" w:name="_Toc112693920"/>
      <w:r>
        <w:rPr>
          <w:rFonts w:ascii="Times New Roman" w:hAnsi="Times New Roman"/>
          <w:color w:val="000000" w:themeColor="text1"/>
          <w:sz w:val="40"/>
          <w14:textFill>
            <w14:solidFill>
              <w14:schemeClr w14:val="tx1"/>
            </w14:solidFill>
          </w14:textFill>
        </w:rPr>
        <w:t>北峰山区乡镇生活污水处理设施长效运维机制</w:t>
      </w:r>
      <w:bookmarkEnd w:id="243"/>
      <w:bookmarkEnd w:id="244"/>
      <w:bookmarkEnd w:id="245"/>
    </w:p>
    <w:p w14:paraId="5A31058E">
      <w:pPr>
        <w:pStyle w:val="52"/>
        <w:rPr>
          <w:color w:val="000000" w:themeColor="text1"/>
          <w14:textFill>
            <w14:solidFill>
              <w14:schemeClr w14:val="tx1"/>
            </w14:solidFill>
          </w14:textFill>
        </w:rPr>
      </w:pPr>
      <w:r>
        <w:rPr>
          <w:color w:val="000000" w:themeColor="text1"/>
          <w14:textFill>
            <w14:solidFill>
              <w14:schemeClr w14:val="tx1"/>
            </w14:solidFill>
          </w14:textFill>
        </w:rPr>
        <w:t>晋安区高度重视北峰山区乡镇生活污水治理设施建设和运维工作，因村施策开展北峰山区乡镇生活污水治理。2006年启动北峰山区乡镇生活污水处理设施建设试点，建成了日溪乡日溪污水处理厂，在前期试点基本上，2011年，结合中央生态环境连片综合整治工作，开展寿山乡岭头集镇污水处理设施和宦溪镇宦溪集镇污水处理设施建设，并于2016年启动集镇污水处理设施提标改造，集镇生活污水处理设施覆盖率达100%，总处理能力达1400吨/天。</w:t>
      </w:r>
    </w:p>
    <w:p w14:paraId="1FC66754">
      <w:pPr>
        <w:pStyle w:val="4"/>
        <w:rPr>
          <w:rFonts w:ascii="Times New Roman" w:hAnsi="Times New Roman" w:eastAsiaTheme="minorEastAsia"/>
          <w:color w:val="000000" w:themeColor="text1"/>
          <w14:textFill>
            <w14:solidFill>
              <w14:schemeClr w14:val="tx1"/>
            </w14:solidFill>
          </w14:textFill>
        </w:rPr>
      </w:pPr>
      <w:bookmarkStart w:id="246" w:name="_Toc112861047"/>
      <w:bookmarkStart w:id="247" w:name="_Toc112694056"/>
      <w:bookmarkStart w:id="248" w:name="_Toc112693921"/>
      <w:r>
        <w:rPr>
          <w:rFonts w:hint="eastAsia" w:ascii="宋体" w:hAnsi="宋体" w:eastAsia="宋体" w:cs="宋体"/>
          <w:color w:val="000000" w:themeColor="text1"/>
          <w14:textFill>
            <w14:solidFill>
              <w14:schemeClr w14:val="tx1"/>
            </w14:solidFill>
          </w14:textFill>
        </w:rPr>
        <w:t>北峰山区乡镇生活污水处理设施运行维护制度</w:t>
      </w:r>
      <w:bookmarkEnd w:id="246"/>
      <w:bookmarkEnd w:id="247"/>
      <w:bookmarkEnd w:id="248"/>
    </w:p>
    <w:p w14:paraId="4BFEBF03">
      <w:pPr>
        <w:pStyle w:val="6"/>
        <w:rPr>
          <w:color w:val="000000" w:themeColor="text1"/>
          <w14:textFill>
            <w14:solidFill>
              <w14:schemeClr w14:val="tx1"/>
            </w14:solidFill>
          </w14:textFill>
        </w:rPr>
      </w:pPr>
      <w:bookmarkStart w:id="249" w:name="_Toc112692624"/>
      <w:bookmarkStart w:id="250" w:name="_Toc112693922"/>
      <w:bookmarkStart w:id="251" w:name="_Toc112694057"/>
      <w:r>
        <w:rPr>
          <w:color w:val="000000" w:themeColor="text1"/>
          <w14:textFill>
            <w14:solidFill>
              <w14:schemeClr w14:val="tx1"/>
            </w14:solidFill>
          </w14:textFill>
        </w:rPr>
        <w:t>PPP项目设施运营维护制度</w:t>
      </w:r>
      <w:bookmarkEnd w:id="249"/>
      <w:bookmarkEnd w:id="250"/>
      <w:bookmarkEnd w:id="251"/>
    </w:p>
    <w:p w14:paraId="60989FF5">
      <w:pPr>
        <w:pStyle w:val="52"/>
        <w:rPr>
          <w:color w:val="000000" w:themeColor="text1"/>
          <w14:textFill>
            <w14:solidFill>
              <w14:schemeClr w14:val="tx1"/>
            </w14:solidFill>
          </w14:textFill>
        </w:rPr>
      </w:pPr>
      <w:r>
        <w:rPr>
          <w:color w:val="000000" w:themeColor="text1"/>
          <w14:textFill>
            <w14:solidFill>
              <w14:schemeClr w14:val="tx1"/>
            </w14:solidFill>
          </w14:textFill>
        </w:rPr>
        <w:t>根据晋安区北峰山区乡镇生活污水处理工程PPP项目运营合同，晋安区北峰山区宦溪镇、寿山乡和日溪乡3个乡镇污水处理厂和所辖村庄的农村生活污水治理设施运营维护目前已经全部由福建北峰海峡环保科技有限公司负责。合同对福建北峰海峡环保科技有限公司对PPP项目设施的运营和维护原则、服务范围、主要责任、编制运行与维护手册、水质与污泥标准和监测、环境影响以及项目建设、运营维护考核方案做了明确的约定。约定福建北峰海峡环保科技有限公司主要责任为：</w:t>
      </w:r>
    </w:p>
    <w:p w14:paraId="116D1812">
      <w:pPr>
        <w:pStyle w:val="52"/>
        <w:rPr>
          <w:color w:val="000000" w:themeColor="text1"/>
          <w14:textFill>
            <w14:solidFill>
              <w14:schemeClr w14:val="tx1"/>
            </w14:solidFill>
          </w14:textFill>
        </w:rPr>
      </w:pPr>
      <w:r>
        <w:rPr>
          <w:color w:val="000000" w:themeColor="text1"/>
          <w14:textFill>
            <w14:solidFill>
              <w14:schemeClr w14:val="tx1"/>
            </w14:solidFill>
          </w14:textFill>
        </w:rPr>
        <w:t>(1)负责新建的污水处理设施和配套管网，以及存量处理设施和配套管网的运营维护。</w:t>
      </w:r>
    </w:p>
    <w:p w14:paraId="068CE277">
      <w:pPr>
        <w:pStyle w:val="52"/>
        <w:rPr>
          <w:color w:val="000000" w:themeColor="text1"/>
          <w14:textFill>
            <w14:solidFill>
              <w14:schemeClr w14:val="tx1"/>
            </w14:solidFill>
          </w14:textFill>
        </w:rPr>
      </w:pPr>
      <w:r>
        <w:rPr>
          <w:color w:val="000000" w:themeColor="text1"/>
          <w14:textFill>
            <w14:solidFill>
              <w14:schemeClr w14:val="tx1"/>
            </w14:solidFill>
          </w14:textFill>
        </w:rPr>
        <w:t>(2)从开始运营日起，连续接受和处理符合本合同约定水质要求的污水，经处理达到出水质量标准后，排放至交付点。</w:t>
      </w:r>
    </w:p>
    <w:p w14:paraId="143DC3C3">
      <w:pPr>
        <w:pStyle w:val="52"/>
        <w:rPr>
          <w:color w:val="000000" w:themeColor="text1"/>
          <w14:textFill>
            <w14:solidFill>
              <w14:schemeClr w14:val="tx1"/>
            </w14:solidFill>
          </w14:textFill>
        </w:rPr>
      </w:pPr>
      <w:r>
        <w:rPr>
          <w:color w:val="000000" w:themeColor="text1"/>
          <w14:textFill>
            <w14:solidFill>
              <w14:schemeClr w14:val="tx1"/>
            </w14:solidFill>
          </w14:textFill>
        </w:rPr>
        <w:t>(3)按适用法律和合理标准以及谨慎运行惯例认真而有效地处理其业务与事务，按月向福州市晋安区建设投资发展中心提交反映其经营情况的报表，并保证其真实性。</w:t>
      </w:r>
    </w:p>
    <w:p w14:paraId="66B4ABDC">
      <w:pPr>
        <w:pStyle w:val="52"/>
        <w:rPr>
          <w:color w:val="000000" w:themeColor="text1"/>
          <w14:textFill>
            <w14:solidFill>
              <w14:schemeClr w14:val="tx1"/>
            </w14:solidFill>
          </w14:textFill>
        </w:rPr>
      </w:pPr>
      <w:r>
        <w:rPr>
          <w:color w:val="000000" w:themeColor="text1"/>
          <w14:textFill>
            <w14:solidFill>
              <w14:schemeClr w14:val="tx1"/>
            </w14:solidFill>
          </w14:textFill>
        </w:rPr>
        <w:t>(4)应建立健全水质检测和检验制度，按照国家或行业规定的检测项目、检测频次和有关标准、方法定期检测污水处理站进水和出水等项目，做好各项检测分析资料和水质报表的汇总、归档，并将上述检测分析资料和水质报表的汇总及时提交福州市晋安区建设投资发展中心备案检查。宦溪镇集镇污水处理厂、岭头村污水厂、日溪乡污水处理厂每月至少委托第三方进行一次进水和出水水质检测，并且在台风等极端天气后进行水质检测，并根据检测结果调整药品用量。每月整理水质检测结果及药品调整结果，提交福州市晋安区建设投资发展中心备案检查。</w:t>
      </w:r>
    </w:p>
    <w:p w14:paraId="79582CC8">
      <w:pPr>
        <w:pStyle w:val="52"/>
        <w:rPr>
          <w:color w:val="000000" w:themeColor="text1"/>
          <w14:textFill>
            <w14:solidFill>
              <w14:schemeClr w14:val="tx1"/>
            </w14:solidFill>
          </w14:textFill>
        </w:rPr>
      </w:pPr>
      <w:r>
        <w:rPr>
          <w:color w:val="000000" w:themeColor="text1"/>
          <w14:textFill>
            <w14:solidFill>
              <w14:schemeClr w14:val="tx1"/>
            </w14:solidFill>
          </w14:textFill>
        </w:rPr>
        <w:t>(5)应对污水处理设施的状况及性能建立定期检修保养制度，对各项设施的图纸资料进行收集、归类和整理，完善公用设施信息化管理系统，保持水处理设施处于良好使用状态，并在福州市晋安区建设投资发展中心的要求下将设施运行情况报告给福州市晋安区建设投资发展中心。</w:t>
      </w:r>
    </w:p>
    <w:p w14:paraId="3585D4A8">
      <w:pPr>
        <w:pStyle w:val="52"/>
        <w:rPr>
          <w:color w:val="000000" w:themeColor="text1"/>
          <w14:textFill>
            <w14:solidFill>
              <w14:schemeClr w14:val="tx1"/>
            </w14:solidFill>
          </w14:textFill>
        </w:rPr>
      </w:pPr>
      <w:r>
        <w:rPr>
          <w:color w:val="000000" w:themeColor="text1"/>
          <w14:textFill>
            <w14:solidFill>
              <w14:schemeClr w14:val="tx1"/>
            </w14:solidFill>
          </w14:textFill>
        </w:rPr>
        <w:t>(6)在日常生产经营活动中，应充分考虑环境影响，维护生态环境。</w:t>
      </w:r>
    </w:p>
    <w:p w14:paraId="0F5AB2F7">
      <w:pPr>
        <w:pStyle w:val="52"/>
        <w:rPr>
          <w:color w:val="000000" w:themeColor="text1"/>
          <w14:textFill>
            <w14:solidFill>
              <w14:schemeClr w14:val="tx1"/>
            </w14:solidFill>
          </w14:textFill>
        </w:rPr>
      </w:pPr>
      <w:r>
        <w:rPr>
          <w:color w:val="000000" w:themeColor="text1"/>
          <w14:textFill>
            <w14:solidFill>
              <w14:schemeClr w14:val="tx1"/>
            </w14:solidFill>
          </w14:textFill>
        </w:rPr>
        <w:t>(7)应建立完善安全生产制度和意外事故的应急机制，制定应急预案报福州市晋安区建设投资发展中心备案，并按要求定期进行应急预案演练；福建北峰海峡环保科技有限公司应保障生产和服务的稳定和安全，防止事故发生。</w:t>
      </w:r>
    </w:p>
    <w:p w14:paraId="2F758AAB">
      <w:pPr>
        <w:pStyle w:val="52"/>
        <w:rPr>
          <w:color w:val="000000" w:themeColor="text1"/>
          <w14:textFill>
            <w14:solidFill>
              <w14:schemeClr w14:val="tx1"/>
            </w14:solidFill>
          </w14:textFill>
        </w:rPr>
      </w:pPr>
      <w:r>
        <w:rPr>
          <w:color w:val="000000" w:themeColor="text1"/>
          <w14:textFill>
            <w14:solidFill>
              <w14:schemeClr w14:val="tx1"/>
            </w14:solidFill>
          </w14:textFill>
        </w:rPr>
        <w:t>PPP合同同时对项目建设、运营维护约定了绩效考核方案。合同约定由政府授权有关职能部门或者乡镇政府组成考核小组对项目的建设、运营维护进行考核。通过对新建项目的建设人员配备投入，建设设备的投入、建设质量及进度的考核，控制福建北峰海峡环保科技有限公司对新建项目的建设质量，并根据考核结果对福建北峰海峡环保科技有限公司实施合同相应惩罚条款。</w:t>
      </w:r>
    </w:p>
    <w:p w14:paraId="02CA33B1">
      <w:pPr>
        <w:pStyle w:val="52"/>
        <w:rPr>
          <w:color w:val="000000" w:themeColor="text1"/>
          <w14:textFill>
            <w14:solidFill>
              <w14:schemeClr w14:val="tx1"/>
            </w14:solidFill>
          </w14:textFill>
        </w:rPr>
      </w:pPr>
      <w:r>
        <w:rPr>
          <w:color w:val="000000" w:themeColor="text1"/>
          <w14:textFill>
            <w14:solidFill>
              <w14:schemeClr w14:val="tx1"/>
            </w14:solidFill>
          </w14:textFill>
        </w:rPr>
        <w:t>通过对运营维护设施的出水水质、运行管理等的考核，对福建北峰海峡环保科技有限公司针对PPP项目的运维质量进行控制。并根据考核结果对福建北峰海峡环保科技有限公司实施合同相应惩罚条款。</w:t>
      </w:r>
    </w:p>
    <w:p w14:paraId="61B308CA">
      <w:pPr>
        <w:pStyle w:val="6"/>
        <w:rPr>
          <w:color w:val="000000" w:themeColor="text1"/>
          <w14:textFill>
            <w14:solidFill>
              <w14:schemeClr w14:val="tx1"/>
            </w14:solidFill>
          </w14:textFill>
        </w:rPr>
      </w:pPr>
      <w:bookmarkStart w:id="252" w:name="_Toc112692625"/>
      <w:bookmarkStart w:id="253" w:name="_Toc112693923"/>
      <w:bookmarkStart w:id="254" w:name="_Toc112694058"/>
      <w:r>
        <w:rPr>
          <w:color w:val="000000" w:themeColor="text1"/>
          <w14:textFill>
            <w14:solidFill>
              <w14:schemeClr w14:val="tx1"/>
            </w14:solidFill>
          </w14:textFill>
        </w:rPr>
        <w:t>PPP项目设施运维制度评估</w:t>
      </w:r>
      <w:bookmarkEnd w:id="252"/>
      <w:bookmarkEnd w:id="253"/>
      <w:bookmarkEnd w:id="254"/>
    </w:p>
    <w:p w14:paraId="333F7DBA">
      <w:pPr>
        <w:pStyle w:val="52"/>
        <w:rPr>
          <w:color w:val="000000" w:themeColor="text1"/>
          <w14:textFill>
            <w14:solidFill>
              <w14:schemeClr w14:val="tx1"/>
            </w14:solidFill>
          </w14:textFill>
        </w:rPr>
      </w:pPr>
      <w:r>
        <w:rPr>
          <w:color w:val="000000" w:themeColor="text1"/>
          <w14:textFill>
            <w14:solidFill>
              <w14:schemeClr w14:val="tx1"/>
            </w14:solidFill>
          </w14:textFill>
        </w:rPr>
        <w:t>经调查分析，一年多来，晋安区北峰山区农村生活污水处理工程PPP项目运行正常，按合同约定稳定进展。宦溪镇、寿山乡污水处理设施提标改造工作已经完成，并由福建北峰海峡环保科技有限公司开始运营，日溪乡污水处理设施由福建北峰海峡环保科技有限公司对交付的设施进行整改和完善。</w:t>
      </w:r>
    </w:p>
    <w:p w14:paraId="1B70C08C">
      <w:pPr>
        <w:pStyle w:val="52"/>
        <w:rPr>
          <w:color w:val="000000" w:themeColor="text1"/>
          <w14:textFill>
            <w14:solidFill>
              <w14:schemeClr w14:val="tx1"/>
            </w14:solidFill>
          </w14:textFill>
        </w:rPr>
      </w:pPr>
      <w:r>
        <w:rPr>
          <w:color w:val="000000" w:themeColor="text1"/>
          <w14:textFill>
            <w14:solidFill>
              <w14:schemeClr w14:val="tx1"/>
            </w14:solidFill>
          </w14:textFill>
        </w:rPr>
        <w:t>2019年以来，晋安生态环境局、区建设投资发展中心、区财政局、区城乡建设局、宦溪镇、寿山乡、日溪乡组成考核小组与福建北峰海峡环保科技有限公司代表共同对三个集镇污水处理厂和其他运营项目污水处理设施及厂外管网运营维护情况进行了现场抽查和档案材料检查。经考核，配套管网和污水处理设施均基本符合运营合同要求，经晋安生态环境保护监测站抽样分析，三个集镇污水处理厂出口水质均达到出水水质标准。</w:t>
      </w:r>
    </w:p>
    <w:p w14:paraId="54F1A981">
      <w:pPr>
        <w:pStyle w:val="52"/>
        <w:rPr>
          <w:color w:val="000000" w:themeColor="text1"/>
          <w14:textFill>
            <w14:solidFill>
              <w14:schemeClr w14:val="tx1"/>
            </w14:solidFill>
          </w14:textFill>
        </w:rPr>
      </w:pPr>
      <w:r>
        <w:rPr>
          <w:color w:val="000000" w:themeColor="text1"/>
          <w14:textFill>
            <w14:solidFill>
              <w14:schemeClr w14:val="tx1"/>
            </w14:solidFill>
          </w14:textFill>
        </w:rPr>
        <w:t>由以上考核结果分析可知，晋安区北峰山区乡镇生活污水处理工程PPP项目运维制度是较完善和有效的，能够起到对污水处理设施运营维护的管控作用，能通过可操作的具体的绩效考核方案对项目运行进行控制和激励。</w:t>
      </w:r>
    </w:p>
    <w:p w14:paraId="6C947B12">
      <w:pPr>
        <w:pStyle w:val="4"/>
        <w:rPr>
          <w:rFonts w:ascii="Times New Roman" w:hAnsi="Times New Roman" w:eastAsiaTheme="minorEastAsia"/>
          <w:color w:val="000000" w:themeColor="text1"/>
          <w14:textFill>
            <w14:solidFill>
              <w14:schemeClr w14:val="tx1"/>
            </w14:solidFill>
          </w14:textFill>
        </w:rPr>
      </w:pPr>
      <w:bookmarkStart w:id="255" w:name="_Toc112694059"/>
      <w:bookmarkStart w:id="256" w:name="_Toc112861048"/>
      <w:bookmarkStart w:id="257" w:name="_Toc112693924"/>
      <w:r>
        <w:rPr>
          <w:rFonts w:hint="eastAsia" w:ascii="宋体" w:hAnsi="宋体" w:eastAsia="宋体" w:cs="宋体"/>
          <w:color w:val="000000" w:themeColor="text1"/>
          <w14:textFill>
            <w14:solidFill>
              <w14:schemeClr w14:val="tx1"/>
            </w14:solidFill>
          </w14:textFill>
        </w:rPr>
        <w:t>建立健全北峰山区乡镇生活污水治理设施运行维护制度</w:t>
      </w:r>
      <w:bookmarkEnd w:id="255"/>
      <w:bookmarkEnd w:id="256"/>
      <w:bookmarkEnd w:id="257"/>
    </w:p>
    <w:p w14:paraId="0E5F8F4F">
      <w:pPr>
        <w:pStyle w:val="52"/>
        <w:rPr>
          <w:color w:val="000000" w:themeColor="text1"/>
          <w14:textFill>
            <w14:solidFill>
              <w14:schemeClr w14:val="tx1"/>
            </w14:solidFill>
          </w14:textFill>
        </w:rPr>
      </w:pPr>
      <w:r>
        <w:rPr>
          <w:color w:val="000000" w:themeColor="text1"/>
          <w14:textFill>
            <w14:solidFill>
              <w14:schemeClr w14:val="tx1"/>
            </w14:solidFill>
          </w14:textFill>
        </w:rPr>
        <w:t>2015年前，晋安区已先后完成3个集镇污水处理厂建设，但由于缺乏管护，受台风天气、人为破坏等影响，初步统计截至2015年约三分之一污水管网不同程度破损，原岭头村乡镇污水处理设施（人工湿地）淤堵严重，宦溪集镇污水处理设施仅开展运行，未对运维成效进行日常监测，污水处理设施运行不正常，设施损坏修复时间漫长等。为确保设施正常运行，晋安区积极控索北峰山区乡镇生活污水处理设施长效运维制度，逐步提升北峰山区乡镇生活污水处理设施运营管护水平。</w:t>
      </w:r>
    </w:p>
    <w:p w14:paraId="53765F3A">
      <w:pPr>
        <w:pStyle w:val="6"/>
        <w:rPr>
          <w:color w:val="000000" w:themeColor="text1"/>
          <w14:textFill>
            <w14:solidFill>
              <w14:schemeClr w14:val="tx1"/>
            </w14:solidFill>
          </w14:textFill>
        </w:rPr>
      </w:pPr>
      <w:bookmarkStart w:id="258" w:name="_Toc112692627"/>
      <w:bookmarkStart w:id="259" w:name="_Toc112693925"/>
      <w:bookmarkStart w:id="260" w:name="_Toc112694060"/>
      <w:r>
        <w:rPr>
          <w:color w:val="000000" w:themeColor="text1"/>
          <w14:textFill>
            <w14:solidFill>
              <w14:schemeClr w14:val="tx1"/>
            </w14:solidFill>
          </w14:textFill>
        </w:rPr>
        <w:t>开展设施运维试点</w:t>
      </w:r>
      <w:bookmarkEnd w:id="258"/>
      <w:bookmarkEnd w:id="259"/>
      <w:bookmarkEnd w:id="260"/>
    </w:p>
    <w:p w14:paraId="7EC681C8">
      <w:pPr>
        <w:pStyle w:val="52"/>
        <w:rPr>
          <w:color w:val="000000" w:themeColor="text1"/>
          <w14:textFill>
            <w14:solidFill>
              <w14:schemeClr w14:val="tx1"/>
            </w14:solidFill>
          </w14:textFill>
        </w:rPr>
      </w:pPr>
      <w:r>
        <w:rPr>
          <w:color w:val="000000" w:themeColor="text1"/>
          <w14:textFill>
            <w14:solidFill>
              <w14:schemeClr w14:val="tx1"/>
            </w14:solidFill>
          </w14:textFill>
        </w:rPr>
        <w:t>为解决北峰山区乡镇生活污水处理设施运行问题，2015年-2017年，晋安生态环境局牵头积极探索北峰山区乡镇生活污水治理设施日常管护机制，初步建立以乡镇所在村为管理主体、委托第三方保公司负责专业化运维的设施长效运维制度，明确了北峰山区乡镇生活污水设施管护内容、管护要求、管护资金筹措等，专门从流域专项资金切块用于北峰山区乡镇生活污水处理设施的修复和日常管护，取得一定成效。</w:t>
      </w:r>
    </w:p>
    <w:p w14:paraId="5000E082">
      <w:pPr>
        <w:pStyle w:val="6"/>
        <w:rPr>
          <w:color w:val="000000" w:themeColor="text1"/>
          <w14:textFill>
            <w14:solidFill>
              <w14:schemeClr w14:val="tx1"/>
            </w14:solidFill>
          </w14:textFill>
        </w:rPr>
      </w:pPr>
      <w:bookmarkStart w:id="261" w:name="_Toc112692628"/>
      <w:bookmarkStart w:id="262" w:name="_Toc112693926"/>
      <w:bookmarkStart w:id="263" w:name="_Toc112694061"/>
      <w:r>
        <w:rPr>
          <w:color w:val="000000" w:themeColor="text1"/>
          <w14:textFill>
            <w14:solidFill>
              <w14:schemeClr w14:val="tx1"/>
            </w14:solidFill>
          </w14:textFill>
        </w:rPr>
        <w:t>制定设施运维制度</w:t>
      </w:r>
      <w:bookmarkEnd w:id="261"/>
      <w:bookmarkEnd w:id="262"/>
      <w:bookmarkEnd w:id="263"/>
    </w:p>
    <w:p w14:paraId="67DB4259">
      <w:pPr>
        <w:pStyle w:val="52"/>
        <w:rPr>
          <w:color w:val="000000" w:themeColor="text1"/>
          <w14:textFill>
            <w14:solidFill>
              <w14:schemeClr w14:val="tx1"/>
            </w14:solidFill>
          </w14:textFill>
        </w:rPr>
      </w:pPr>
      <w:r>
        <w:rPr>
          <w:color w:val="000000" w:themeColor="text1"/>
          <w14:textFill>
            <w14:solidFill>
              <w14:schemeClr w14:val="tx1"/>
            </w14:solidFill>
          </w14:textFill>
        </w:rPr>
        <w:t>为解决村缺乏必要管理和技术人员问题，加强设施运维监管，在前期试点基础上，晋安区于2017年开始，建立以乡镇为管理主体、委托社会化运营的北峰山区乡镇生活污水治理设施长效运维制度，以区政府办公室的名义出台了《晋安区北峰山区乡镇集中式生活污水处理设施长效管理办法》，对管理对象、部门职责、资金来源和管理要求等都做了明确。在运维资金筹措方面，明确由区乡两级财政共同承担，其中区财政承担70%，乡镇财政承担30%。在管护要求方面，一方面对污水收集系统提出了定期开展巡查等15个方面的管护要求，另一方面对污水处理设施提出了5方面的管护要求，同时加强运维工作考核，有效提升了北峰山区乡镇生活污水处理设施长效运维水平。</w:t>
      </w:r>
    </w:p>
    <w:p w14:paraId="1E218C2C">
      <w:pPr>
        <w:pStyle w:val="6"/>
        <w:rPr>
          <w:color w:val="000000" w:themeColor="text1"/>
          <w14:textFill>
            <w14:solidFill>
              <w14:schemeClr w14:val="tx1"/>
            </w14:solidFill>
          </w14:textFill>
        </w:rPr>
      </w:pPr>
      <w:bookmarkStart w:id="264" w:name="_Toc112694062"/>
      <w:bookmarkStart w:id="265" w:name="_Toc112693927"/>
      <w:bookmarkStart w:id="266" w:name="_Toc112692629"/>
      <w:r>
        <w:rPr>
          <w:color w:val="000000" w:themeColor="text1"/>
          <w14:textFill>
            <w14:solidFill>
              <w14:schemeClr w14:val="tx1"/>
            </w14:solidFill>
          </w14:textFill>
        </w:rPr>
        <w:t>全面开展设施专业化运维</w:t>
      </w:r>
      <w:bookmarkEnd w:id="264"/>
      <w:bookmarkEnd w:id="265"/>
      <w:bookmarkEnd w:id="266"/>
    </w:p>
    <w:p w14:paraId="38BA2126">
      <w:pPr>
        <w:pStyle w:val="52"/>
        <w:rPr>
          <w:color w:val="000000" w:themeColor="text1"/>
          <w14:textFill>
            <w14:solidFill>
              <w14:schemeClr w14:val="tx1"/>
            </w14:solidFill>
          </w14:textFill>
        </w:rPr>
      </w:pPr>
      <w:r>
        <w:rPr>
          <w:color w:val="000000" w:themeColor="text1"/>
          <w14:textFill>
            <w14:solidFill>
              <w14:schemeClr w14:val="tx1"/>
            </w14:solidFill>
          </w14:textFill>
        </w:rPr>
        <w:t>晋安区为全面提升北峰山区乡镇生活污水治理和设施长效运维工作，在前期运维试点和完善提升基础上，2018年开始对北峰山区三个乡镇所有北峰山区乡镇生活污水治理设施开展全覆盖运维，以PPP模式开展剩余15个村污水处理设施建设的同时，将全区北峰山区乡镇集中式污水处理设施和所辖行政村污水处理站统一打包委托开展社会化运营工作，设定运营期限为25年，形成了按效付费的运营管理模式。</w:t>
      </w:r>
    </w:p>
    <w:p w14:paraId="2C7425AE">
      <w:pPr>
        <w:pStyle w:val="52"/>
        <w:rPr>
          <w:color w:val="000000" w:themeColor="text1"/>
          <w14:textFill>
            <w14:solidFill>
              <w14:schemeClr w14:val="tx1"/>
            </w14:solidFill>
          </w14:textFill>
        </w:rPr>
      </w:pPr>
      <w:r>
        <w:rPr>
          <w:color w:val="000000" w:themeColor="text1"/>
          <w14:textFill>
            <w14:solidFill>
              <w14:schemeClr w14:val="tx1"/>
            </w14:solidFill>
          </w14:textFill>
        </w:rPr>
        <w:t>（1）明确监管部门职责。由区政府相关部门主要为区建设投资发展中心（政府授权单位）、晋安生态环境局、区建设局、区财政局、有关乡镇）组成考核小组共同对设施运营维护情况进行考核，避免环境保护部门一家考核存在疏漏等问题。同时，明确考核要求，对出水水质和运营管理共同开展考核。出水水质考核采取随机抽样形式，根据设施不同采用不同的考核标准，如集镇污水处理厂执行的是城镇污水处理厂污水排放标准一级A标准；新建设采用A</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O+MBBR一体化工艺的污水处理设施按合同约定执行城镇污水处理厂污水排放标准一级B标准；存量的人工湿地工艺的污水处理设施执行综合一级排放标准。运营管护考核分为管网及泵站考核和污水处理设施运营维护考核。</w:t>
      </w:r>
    </w:p>
    <w:p w14:paraId="47224CB8">
      <w:pPr>
        <w:pStyle w:val="52"/>
        <w:rPr>
          <w:color w:val="000000" w:themeColor="text1"/>
          <w14:textFill>
            <w14:solidFill>
              <w14:schemeClr w14:val="tx1"/>
            </w14:solidFill>
          </w14:textFill>
        </w:rPr>
      </w:pPr>
      <w:r>
        <w:rPr>
          <w:color w:val="000000" w:themeColor="text1"/>
          <w14:textFill>
            <w14:solidFill>
              <w14:schemeClr w14:val="tx1"/>
            </w14:solidFill>
          </w14:textFill>
        </w:rPr>
        <w:t>（2）明确运维资金及筹措方式。晋安区北峰三个乡镇北峰山区乡镇生活污水处理设施运维由区统一运营后，项目资金目前全额由区财政承担，运营费用包括三部分：</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color w:val="000000" w:themeColor="text1"/>
          <w14:textFill>
            <w14:solidFill>
              <w14:schemeClr w14:val="tx1"/>
            </w14:solidFill>
          </w14:textFill>
        </w:rPr>
        <w:t>日溪集镇污水处理厂按存量项目原运营费的90%计取，年运营费用为19.8万元；新提标改造的宦溪集镇污水处理厂和寿山乡岭头集镇污水处理厂年包干价为65.7万元，集镇污水处理设施年运营总费用为85.5万元。</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color w:val="000000" w:themeColor="text1"/>
          <w14:textFill>
            <w14:solidFill>
              <w14:schemeClr w14:val="tx1"/>
            </w14:solidFill>
          </w14:textFill>
        </w:rPr>
        <w:t>宦溪镇峨媚村、亥由村、增楼村、牛项村、胜利村，寿山乡山头顶村、吾洋村、叶洋村、优山村、江南竹村、长基村、红庙村、菜岭村，日溪乡铁坑村、汶石村等15个行政村一体化设施按PPP模式核算，污水处理设施运营费包含电费、人工费、管理费、污泥处置费、设备维护费共35.7万元，厂外污水收集系统按管网、检查井、泵井分别核算年维护费用约为69.4万；</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color w:val="000000" w:themeColor="text1"/>
          <w14:textFill>
            <w14:solidFill>
              <w14:schemeClr w14:val="tx1"/>
            </w14:solidFill>
          </w14:textFill>
        </w:rPr>
        <w:t>其他存量项目包干价为118.2万元。年总运营费用为308.8万元。</w:t>
      </w:r>
    </w:p>
    <w:p w14:paraId="50375FAC">
      <w:pPr>
        <w:pStyle w:val="52"/>
        <w:rPr>
          <w:color w:val="000000" w:themeColor="text1"/>
          <w14:textFill>
            <w14:solidFill>
              <w14:schemeClr w14:val="tx1"/>
            </w14:solidFill>
          </w14:textFill>
        </w:rPr>
      </w:pPr>
      <w:r>
        <w:rPr>
          <w:color w:val="000000" w:themeColor="text1"/>
          <w14:textFill>
            <w14:solidFill>
              <w14:schemeClr w14:val="tx1"/>
            </w14:solidFill>
          </w14:textFill>
        </w:rPr>
        <w:t>根据运维费用统计，晋安区北峰山区平均生活污水处理费约1.745元/吨，其中三个镇区污水处理站吨污水处理费约1元，新建15个A</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/O+MBBR一体化工艺设施吨污水处理费约9.76元，35个小型污水处理设施（以人工湿地为主）污水处理费约1.45元/吨。各乡镇污水处理设施运维费用详见表7.2-1。</w:t>
      </w:r>
    </w:p>
    <w:p w14:paraId="4A327881">
      <w:pPr>
        <w:rPr>
          <w:color w:val="000000" w:themeColor="text1"/>
          <w:lang w:val="zh-CN"/>
          <w14:textFill>
            <w14:solidFill>
              <w14:schemeClr w14:val="tx1"/>
            </w14:solidFill>
          </w14:textFill>
        </w:rPr>
        <w:sectPr>
          <w:pgSz w:w="11906" w:h="16838"/>
          <w:pgMar w:top="1701" w:right="1701" w:bottom="1701" w:left="1701" w:header="851" w:footer="992" w:gutter="0"/>
          <w:cols w:space="720" w:num="1"/>
          <w:docGrid w:type="linesAndChars" w:linePitch="312" w:charSpace="0"/>
        </w:sectPr>
      </w:pPr>
    </w:p>
    <w:p w14:paraId="4FC574CD">
      <w:pPr>
        <w:pStyle w:val="442"/>
        <w:rPr>
          <w:color w:val="000000" w:themeColor="text1"/>
          <w14:textFill>
            <w14:solidFill>
              <w14:schemeClr w14:val="tx1"/>
            </w14:solidFill>
          </w14:textFill>
        </w:rPr>
      </w:pPr>
      <w:r>
        <w:rPr>
          <w:color w:val="000000" w:themeColor="text1"/>
          <w14:textFill>
            <w14:solidFill>
              <w14:schemeClr w14:val="tx1"/>
            </w14:solidFill>
          </w14:textFill>
        </w:rPr>
        <w:t>表7.2-1集镇污水处理站运行费用表</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393"/>
        <w:gridCol w:w="705"/>
        <w:gridCol w:w="734"/>
        <w:gridCol w:w="1379"/>
        <w:gridCol w:w="5783"/>
        <w:gridCol w:w="1192"/>
        <w:gridCol w:w="2019"/>
        <w:gridCol w:w="1345"/>
      </w:tblGrid>
      <w:tr w14:paraId="12CC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145" w:type="pct"/>
            <w:shd w:val="clear" w:color="auto" w:fill="auto"/>
            <w:vAlign w:val="center"/>
          </w:tcPr>
          <w:p w14:paraId="2BAEA12A">
            <w:pPr>
              <w:pStyle w:val="476"/>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260" w:type="pct"/>
            <w:shd w:val="clear" w:color="auto" w:fill="auto"/>
            <w:vAlign w:val="center"/>
          </w:tcPr>
          <w:p w14:paraId="33082C99">
            <w:pPr>
              <w:pStyle w:val="476"/>
              <w:rPr>
                <w:b/>
                <w:color w:val="000000" w:themeColor="text1"/>
                <w14:textFill>
                  <w14:solidFill>
                    <w14:schemeClr w14:val="tx1"/>
                  </w14:solidFill>
                </w14:textFill>
              </w:rPr>
            </w:pPr>
            <w:r>
              <w:rPr>
                <w:b/>
                <w:color w:val="000000" w:themeColor="text1"/>
                <w14:textFill>
                  <w14:solidFill>
                    <w14:schemeClr w14:val="tx1"/>
                  </w14:solidFill>
                </w14:textFill>
              </w:rPr>
              <w:t>乡镇</w:t>
            </w:r>
          </w:p>
        </w:tc>
        <w:tc>
          <w:tcPr>
            <w:tcW w:w="271" w:type="pct"/>
            <w:shd w:val="clear" w:color="auto" w:fill="auto"/>
            <w:vAlign w:val="center"/>
          </w:tcPr>
          <w:p w14:paraId="5E29DA36">
            <w:pPr>
              <w:pStyle w:val="476"/>
              <w:rPr>
                <w:b/>
                <w:color w:val="000000" w:themeColor="text1"/>
                <w14:textFill>
                  <w14:solidFill>
                    <w14:schemeClr w14:val="tx1"/>
                  </w14:solidFill>
                </w14:textFill>
              </w:rPr>
            </w:pPr>
            <w:r>
              <w:rPr>
                <w:b/>
                <w:color w:val="000000" w:themeColor="text1"/>
                <w14:textFill>
                  <w14:solidFill>
                    <w14:schemeClr w14:val="tx1"/>
                  </w14:solidFill>
                </w14:textFill>
              </w:rPr>
              <w:t>村庄</w:t>
            </w:r>
          </w:p>
        </w:tc>
        <w:tc>
          <w:tcPr>
            <w:tcW w:w="509" w:type="pct"/>
            <w:shd w:val="clear" w:color="auto" w:fill="auto"/>
            <w:vAlign w:val="center"/>
          </w:tcPr>
          <w:p w14:paraId="6FA68BE3">
            <w:pPr>
              <w:pStyle w:val="476"/>
              <w:rPr>
                <w:b/>
                <w:color w:val="000000" w:themeColor="text1"/>
                <w14:textFill>
                  <w14:solidFill>
                    <w14:schemeClr w14:val="tx1"/>
                  </w14:solidFill>
                </w14:textFill>
              </w:rPr>
            </w:pPr>
            <w:r>
              <w:rPr>
                <w:b/>
                <w:color w:val="000000" w:themeColor="text1"/>
                <w14:textFill>
                  <w14:solidFill>
                    <w14:schemeClr w14:val="tx1"/>
                  </w14:solidFill>
                </w14:textFill>
              </w:rPr>
              <w:t>设计规模（吨/天）</w:t>
            </w:r>
          </w:p>
        </w:tc>
        <w:tc>
          <w:tcPr>
            <w:tcW w:w="2134" w:type="pct"/>
            <w:shd w:val="clear" w:color="auto" w:fill="auto"/>
            <w:vAlign w:val="center"/>
          </w:tcPr>
          <w:p w14:paraId="703A338B">
            <w:pPr>
              <w:pStyle w:val="476"/>
              <w:rPr>
                <w:b/>
                <w:color w:val="000000" w:themeColor="text1"/>
                <w14:textFill>
                  <w14:solidFill>
                    <w14:schemeClr w14:val="tx1"/>
                  </w14:solidFill>
                </w14:textFill>
              </w:rPr>
            </w:pPr>
            <w:r>
              <w:rPr>
                <w:b/>
                <w:color w:val="000000" w:themeColor="text1"/>
                <w14:textFill>
                  <w14:solidFill>
                    <w14:schemeClr w14:val="tx1"/>
                  </w14:solidFill>
                </w14:textFill>
              </w:rPr>
              <w:t>处理工艺</w:t>
            </w:r>
          </w:p>
        </w:tc>
        <w:tc>
          <w:tcPr>
            <w:tcW w:w="440" w:type="pct"/>
            <w:shd w:val="clear" w:color="auto" w:fill="auto"/>
            <w:vAlign w:val="center"/>
          </w:tcPr>
          <w:p w14:paraId="139B1F99">
            <w:pPr>
              <w:pStyle w:val="476"/>
              <w:rPr>
                <w:b/>
                <w:color w:val="000000" w:themeColor="text1"/>
                <w14:textFill>
                  <w14:solidFill>
                    <w14:schemeClr w14:val="tx1"/>
                  </w14:solidFill>
                </w14:textFill>
              </w:rPr>
            </w:pPr>
            <w:r>
              <w:rPr>
                <w:b/>
                <w:color w:val="000000" w:themeColor="text1"/>
                <w14:textFill>
                  <w14:solidFill>
                    <w14:schemeClr w14:val="tx1"/>
                  </w14:solidFill>
                </w14:textFill>
              </w:rPr>
              <w:t>管道长度(m）</w:t>
            </w:r>
          </w:p>
        </w:tc>
        <w:tc>
          <w:tcPr>
            <w:tcW w:w="745" w:type="pct"/>
            <w:shd w:val="clear" w:color="auto" w:fill="auto"/>
            <w:vAlign w:val="center"/>
          </w:tcPr>
          <w:p w14:paraId="5950CEC8">
            <w:pPr>
              <w:pStyle w:val="476"/>
              <w:rPr>
                <w:b/>
                <w:color w:val="000000" w:themeColor="text1"/>
                <w14:textFill>
                  <w14:solidFill>
                    <w14:schemeClr w14:val="tx1"/>
                  </w14:solidFill>
                </w14:textFill>
              </w:rPr>
            </w:pPr>
            <w:r>
              <w:rPr>
                <w:b/>
                <w:color w:val="000000" w:themeColor="text1"/>
                <w14:textFill>
                  <w14:solidFill>
                    <w14:schemeClr w14:val="tx1"/>
                  </w14:solidFill>
                </w14:textFill>
              </w:rPr>
              <w:t>动力设备</w:t>
            </w:r>
          </w:p>
        </w:tc>
        <w:tc>
          <w:tcPr>
            <w:tcW w:w="496" w:type="pct"/>
            <w:shd w:val="clear" w:color="auto" w:fill="auto"/>
          </w:tcPr>
          <w:p w14:paraId="633C77BA">
            <w:pPr>
              <w:pStyle w:val="476"/>
              <w:rPr>
                <w:b/>
                <w:color w:val="000000" w:themeColor="text1"/>
                <w14:textFill>
                  <w14:solidFill>
                    <w14:schemeClr w14:val="tx1"/>
                  </w14:solidFill>
                </w14:textFill>
              </w:rPr>
            </w:pPr>
            <w:r>
              <w:rPr>
                <w:b/>
                <w:color w:val="000000" w:themeColor="text1"/>
                <w14:textFill>
                  <w14:solidFill>
                    <w14:schemeClr w14:val="tx1"/>
                  </w14:solidFill>
                </w14:textFill>
              </w:rPr>
              <w:t>运行费用（万元）</w:t>
            </w:r>
          </w:p>
        </w:tc>
      </w:tr>
      <w:tr w14:paraId="5997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145" w:type="pct"/>
            <w:shd w:val="clear" w:color="auto" w:fill="auto"/>
            <w:vAlign w:val="center"/>
          </w:tcPr>
          <w:p w14:paraId="0D77286C">
            <w:pPr>
              <w:pStyle w:val="476"/>
              <w:rPr>
                <w:color w:val="000000" w:themeColor="text1"/>
                <w14:textFill>
                  <w14:solidFill>
                    <w14:schemeClr w14:val="tx1"/>
                  </w14:solidFill>
                </w14:textFill>
              </w:rPr>
            </w:pPr>
            <w:r>
              <w:rPr>
                <w:color w:val="000000" w:themeColor="text1"/>
                <w14:textFill>
                  <w14:solidFill>
                    <w14:schemeClr w14:val="tx1"/>
                  </w14:solidFill>
                </w14:textFill>
              </w:rPr>
              <w:t>1</w:t>
            </w:r>
          </w:p>
        </w:tc>
        <w:tc>
          <w:tcPr>
            <w:tcW w:w="260" w:type="pct"/>
            <w:shd w:val="clear" w:color="auto" w:fill="auto"/>
            <w:vAlign w:val="center"/>
          </w:tcPr>
          <w:p w14:paraId="4545D6C2">
            <w:pPr>
              <w:pStyle w:val="476"/>
              <w:rPr>
                <w:color w:val="000000" w:themeColor="text1"/>
                <w14:textFill>
                  <w14:solidFill>
                    <w14:schemeClr w14:val="tx1"/>
                  </w14:solidFill>
                </w14:textFill>
              </w:rPr>
            </w:pPr>
            <w:r>
              <w:rPr>
                <w:color w:val="000000" w:themeColor="text1"/>
                <w14:textFill>
                  <w14:solidFill>
                    <w14:schemeClr w14:val="tx1"/>
                  </w14:solidFill>
                </w14:textFill>
              </w:rPr>
              <w:t>宦溪镇</w:t>
            </w:r>
          </w:p>
        </w:tc>
        <w:tc>
          <w:tcPr>
            <w:tcW w:w="271" w:type="pct"/>
            <w:shd w:val="clear" w:color="auto" w:fill="auto"/>
            <w:vAlign w:val="center"/>
          </w:tcPr>
          <w:p w14:paraId="5401474E">
            <w:pPr>
              <w:pStyle w:val="476"/>
              <w:rPr>
                <w:color w:val="000000" w:themeColor="text1"/>
                <w14:textFill>
                  <w14:solidFill>
                    <w14:schemeClr w14:val="tx1"/>
                  </w14:solidFill>
                </w14:textFill>
              </w:rPr>
            </w:pPr>
            <w:r>
              <w:rPr>
                <w:color w:val="000000" w:themeColor="text1"/>
                <w14:textFill>
                  <w14:solidFill>
                    <w14:schemeClr w14:val="tx1"/>
                  </w14:solidFill>
                </w14:textFill>
              </w:rPr>
              <w:t>宦溪村</w:t>
            </w:r>
          </w:p>
        </w:tc>
        <w:tc>
          <w:tcPr>
            <w:tcW w:w="509" w:type="pct"/>
            <w:shd w:val="clear" w:color="auto" w:fill="auto"/>
            <w:vAlign w:val="center"/>
          </w:tcPr>
          <w:p w14:paraId="45E4D707">
            <w:pPr>
              <w:pStyle w:val="476"/>
              <w:rPr>
                <w:color w:val="000000" w:themeColor="text1"/>
                <w14:textFill>
                  <w14:solidFill>
                    <w14:schemeClr w14:val="tx1"/>
                  </w14:solidFill>
                </w14:textFill>
              </w:rPr>
            </w:pPr>
            <w:r>
              <w:rPr>
                <w:color w:val="000000" w:themeColor="text1"/>
                <w14:textFill>
                  <w14:solidFill>
                    <w14:schemeClr w14:val="tx1"/>
                  </w14:solidFill>
                </w14:textFill>
              </w:rPr>
              <w:t>500</w:t>
            </w:r>
          </w:p>
        </w:tc>
        <w:tc>
          <w:tcPr>
            <w:tcW w:w="2134" w:type="pct"/>
            <w:shd w:val="clear" w:color="auto" w:fill="auto"/>
            <w:vAlign w:val="center"/>
          </w:tcPr>
          <w:p w14:paraId="7744D143">
            <w:pPr>
              <w:pStyle w:val="476"/>
              <w:rPr>
                <w:color w:val="000000" w:themeColor="text1"/>
                <w14:textFill>
                  <w14:solidFill>
                    <w14:schemeClr w14:val="tx1"/>
                  </w14:solidFill>
                </w14:textFill>
              </w:rPr>
            </w:pPr>
            <w:r>
              <w:rPr>
                <w:color w:val="000000" w:themeColor="text1"/>
                <w14:textFill>
                  <w14:solidFill>
                    <w14:schemeClr w14:val="tx1"/>
                  </w14:solidFill>
                </w14:textFill>
              </w:rPr>
              <w:t>格栅－调节－A</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/O－斜板沉淀池－曝气滤池－重力无阀过滤池－加氯消毒－出水</w:t>
            </w:r>
          </w:p>
        </w:tc>
        <w:tc>
          <w:tcPr>
            <w:tcW w:w="440" w:type="pct"/>
            <w:shd w:val="clear" w:color="auto" w:fill="auto"/>
            <w:vAlign w:val="center"/>
          </w:tcPr>
          <w:p w14:paraId="1C2EC1E5">
            <w:pPr>
              <w:pStyle w:val="476"/>
              <w:rPr>
                <w:color w:val="000000" w:themeColor="text1"/>
                <w14:textFill>
                  <w14:solidFill>
                    <w14:schemeClr w14:val="tx1"/>
                  </w14:solidFill>
                </w14:textFill>
              </w:rPr>
            </w:pPr>
            <w:r>
              <w:rPr>
                <w:color w:val="000000" w:themeColor="text1"/>
                <w14:textFill>
                  <w14:solidFill>
                    <w14:schemeClr w14:val="tx1"/>
                  </w14:solidFill>
                </w14:textFill>
              </w:rPr>
              <w:t>3356</w:t>
            </w:r>
          </w:p>
        </w:tc>
        <w:tc>
          <w:tcPr>
            <w:tcW w:w="745" w:type="pct"/>
            <w:shd w:val="clear" w:color="auto" w:fill="auto"/>
            <w:vAlign w:val="center"/>
          </w:tcPr>
          <w:p w14:paraId="7CE2B0F5">
            <w:pPr>
              <w:pStyle w:val="476"/>
              <w:rPr>
                <w:color w:val="000000" w:themeColor="text1"/>
                <w14:textFill>
                  <w14:solidFill>
                    <w14:schemeClr w14:val="tx1"/>
                  </w14:solidFill>
                </w14:textFill>
              </w:rPr>
            </w:pPr>
            <w:r>
              <w:rPr>
                <w:color w:val="000000" w:themeColor="text1"/>
                <w14:textFill>
                  <w14:solidFill>
                    <w14:schemeClr w14:val="tx1"/>
                  </w14:solidFill>
                </w14:textFill>
              </w:rPr>
              <w:t>鼓风机，污水泵、提升泵等</w:t>
            </w:r>
          </w:p>
        </w:tc>
        <w:tc>
          <w:tcPr>
            <w:tcW w:w="496" w:type="pct"/>
            <w:vMerge w:val="restart"/>
            <w:shd w:val="clear" w:color="auto" w:fill="auto"/>
            <w:vAlign w:val="center"/>
          </w:tcPr>
          <w:p w14:paraId="0C98C46E">
            <w:pPr>
              <w:pStyle w:val="476"/>
              <w:rPr>
                <w:color w:val="000000" w:themeColor="text1"/>
                <w14:textFill>
                  <w14:solidFill>
                    <w14:schemeClr w14:val="tx1"/>
                  </w14:solidFill>
                </w14:textFill>
              </w:rPr>
            </w:pPr>
            <w:r>
              <w:rPr>
                <w:color w:val="000000" w:themeColor="text1"/>
                <w14:textFill>
                  <w14:solidFill>
                    <w14:schemeClr w14:val="tx1"/>
                  </w14:solidFill>
                </w14:textFill>
              </w:rPr>
              <w:t>65.7</w:t>
            </w:r>
          </w:p>
        </w:tc>
      </w:tr>
      <w:tr w14:paraId="3FFC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145" w:type="pct"/>
            <w:shd w:val="clear" w:color="auto" w:fill="auto"/>
            <w:vAlign w:val="center"/>
          </w:tcPr>
          <w:p w14:paraId="07D650AD">
            <w:pPr>
              <w:pStyle w:val="476"/>
              <w:rPr>
                <w:color w:val="000000" w:themeColor="text1"/>
                <w14:textFill>
                  <w14:solidFill>
                    <w14:schemeClr w14:val="tx1"/>
                  </w14:solidFill>
                </w14:textFill>
              </w:rPr>
            </w:pPr>
            <w:r>
              <w:rPr>
                <w:color w:val="000000" w:themeColor="text1"/>
                <w14:textFill>
                  <w14:solidFill>
                    <w14:schemeClr w14:val="tx1"/>
                  </w14:solidFill>
                </w14:textFill>
              </w:rPr>
              <w:t>2</w:t>
            </w:r>
          </w:p>
        </w:tc>
        <w:tc>
          <w:tcPr>
            <w:tcW w:w="260" w:type="pct"/>
            <w:shd w:val="clear" w:color="auto" w:fill="auto"/>
            <w:vAlign w:val="center"/>
          </w:tcPr>
          <w:p w14:paraId="259C8670">
            <w:pPr>
              <w:pStyle w:val="476"/>
              <w:rPr>
                <w:color w:val="000000" w:themeColor="text1"/>
                <w14:textFill>
                  <w14:solidFill>
                    <w14:schemeClr w14:val="tx1"/>
                  </w14:solidFill>
                </w14:textFill>
              </w:rPr>
            </w:pPr>
            <w:r>
              <w:rPr>
                <w:color w:val="000000" w:themeColor="text1"/>
                <w14:textFill>
                  <w14:solidFill>
                    <w14:schemeClr w14:val="tx1"/>
                  </w14:solidFill>
                </w14:textFill>
              </w:rPr>
              <w:t>寿山乡</w:t>
            </w:r>
          </w:p>
        </w:tc>
        <w:tc>
          <w:tcPr>
            <w:tcW w:w="271" w:type="pct"/>
            <w:shd w:val="clear" w:color="auto" w:fill="auto"/>
            <w:vAlign w:val="center"/>
          </w:tcPr>
          <w:p w14:paraId="7917FF38">
            <w:pPr>
              <w:pStyle w:val="476"/>
              <w:rPr>
                <w:color w:val="000000" w:themeColor="text1"/>
                <w14:textFill>
                  <w14:solidFill>
                    <w14:schemeClr w14:val="tx1"/>
                  </w14:solidFill>
                </w14:textFill>
              </w:rPr>
            </w:pPr>
            <w:r>
              <w:rPr>
                <w:color w:val="000000" w:themeColor="text1"/>
                <w14:textFill>
                  <w14:solidFill>
                    <w14:schemeClr w14:val="tx1"/>
                  </w14:solidFill>
                </w14:textFill>
              </w:rPr>
              <w:t>岭头村</w:t>
            </w:r>
          </w:p>
        </w:tc>
        <w:tc>
          <w:tcPr>
            <w:tcW w:w="509" w:type="pct"/>
            <w:shd w:val="clear" w:color="auto" w:fill="auto"/>
            <w:vAlign w:val="center"/>
          </w:tcPr>
          <w:p w14:paraId="503FCE82">
            <w:pPr>
              <w:pStyle w:val="476"/>
              <w:rPr>
                <w:color w:val="000000" w:themeColor="text1"/>
                <w14:textFill>
                  <w14:solidFill>
                    <w14:schemeClr w14:val="tx1"/>
                  </w14:solidFill>
                </w14:textFill>
              </w:rPr>
            </w:pPr>
            <w:r>
              <w:rPr>
                <w:color w:val="000000" w:themeColor="text1"/>
                <w14:textFill>
                  <w14:solidFill>
                    <w14:schemeClr w14:val="tx1"/>
                  </w14:solidFill>
                </w14:textFill>
              </w:rPr>
              <w:t>500</w:t>
            </w:r>
          </w:p>
        </w:tc>
        <w:tc>
          <w:tcPr>
            <w:tcW w:w="2134" w:type="pct"/>
            <w:shd w:val="clear" w:color="auto" w:fill="auto"/>
            <w:vAlign w:val="center"/>
          </w:tcPr>
          <w:p w14:paraId="15E8BA37">
            <w:pPr>
              <w:pStyle w:val="476"/>
              <w:rPr>
                <w:color w:val="000000" w:themeColor="text1"/>
                <w14:textFill>
                  <w14:solidFill>
                    <w14:schemeClr w14:val="tx1"/>
                  </w14:solidFill>
                </w14:textFill>
              </w:rPr>
            </w:pPr>
            <w:r>
              <w:rPr>
                <w:color w:val="000000" w:themeColor="text1"/>
                <w14:textFill>
                  <w14:solidFill>
                    <w14:schemeClr w14:val="tx1"/>
                  </w14:solidFill>
                </w14:textFill>
              </w:rPr>
              <w:t>进水－粗格栅－细格栅－调节池－A</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/O组合池－二沉池－混凝沉淀池－纤维转盘池－消毒池－出水</w:t>
            </w:r>
          </w:p>
        </w:tc>
        <w:tc>
          <w:tcPr>
            <w:tcW w:w="440" w:type="pct"/>
            <w:shd w:val="clear" w:color="auto" w:fill="auto"/>
            <w:vAlign w:val="center"/>
          </w:tcPr>
          <w:p w14:paraId="29E495B1">
            <w:pPr>
              <w:pStyle w:val="476"/>
              <w:rPr>
                <w:color w:val="000000" w:themeColor="text1"/>
                <w14:textFill>
                  <w14:solidFill>
                    <w14:schemeClr w14:val="tx1"/>
                  </w14:solidFill>
                </w14:textFill>
              </w:rPr>
            </w:pPr>
            <w:r>
              <w:rPr>
                <w:color w:val="000000" w:themeColor="text1"/>
                <w14:textFill>
                  <w14:solidFill>
                    <w14:schemeClr w14:val="tx1"/>
                  </w14:solidFill>
                </w14:textFill>
              </w:rPr>
              <w:t>2800</w:t>
            </w:r>
          </w:p>
        </w:tc>
        <w:tc>
          <w:tcPr>
            <w:tcW w:w="745" w:type="pct"/>
            <w:shd w:val="clear" w:color="auto" w:fill="auto"/>
            <w:vAlign w:val="center"/>
          </w:tcPr>
          <w:p w14:paraId="199D1109">
            <w:pPr>
              <w:pStyle w:val="476"/>
              <w:rPr>
                <w:color w:val="000000" w:themeColor="text1"/>
                <w14:textFill>
                  <w14:solidFill>
                    <w14:schemeClr w14:val="tx1"/>
                  </w14:solidFill>
                </w14:textFill>
              </w:rPr>
            </w:pPr>
            <w:r>
              <w:rPr>
                <w:color w:val="000000" w:themeColor="text1"/>
                <w14:textFill>
                  <w14:solidFill>
                    <w14:schemeClr w14:val="tx1"/>
                  </w14:solidFill>
                </w14:textFill>
              </w:rPr>
              <w:t>在线监测系统一套</w:t>
            </w:r>
          </w:p>
        </w:tc>
        <w:tc>
          <w:tcPr>
            <w:tcW w:w="496" w:type="pct"/>
            <w:vMerge w:val="continue"/>
            <w:shd w:val="clear" w:color="auto" w:fill="auto"/>
          </w:tcPr>
          <w:p w14:paraId="15A60686">
            <w:pPr>
              <w:pStyle w:val="476"/>
              <w:rPr>
                <w:color w:val="000000" w:themeColor="text1"/>
                <w14:textFill>
                  <w14:solidFill>
                    <w14:schemeClr w14:val="tx1"/>
                  </w14:solidFill>
                </w14:textFill>
              </w:rPr>
            </w:pPr>
          </w:p>
        </w:tc>
      </w:tr>
      <w:tr w14:paraId="7286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145" w:type="pct"/>
            <w:shd w:val="clear" w:color="auto" w:fill="auto"/>
            <w:vAlign w:val="center"/>
          </w:tcPr>
          <w:p w14:paraId="0031B1A0">
            <w:pPr>
              <w:pStyle w:val="476"/>
              <w:rPr>
                <w:color w:val="000000" w:themeColor="text1"/>
                <w14:textFill>
                  <w14:solidFill>
                    <w14:schemeClr w14:val="tx1"/>
                  </w14:solidFill>
                </w14:textFill>
              </w:rPr>
            </w:pPr>
            <w:r>
              <w:rPr>
                <w:color w:val="000000" w:themeColor="text1"/>
                <w14:textFill>
                  <w14:solidFill>
                    <w14:schemeClr w14:val="tx1"/>
                  </w14:solidFill>
                </w14:textFill>
              </w:rPr>
              <w:t>3</w:t>
            </w:r>
          </w:p>
        </w:tc>
        <w:tc>
          <w:tcPr>
            <w:tcW w:w="260" w:type="pct"/>
            <w:shd w:val="clear" w:color="auto" w:fill="auto"/>
            <w:vAlign w:val="center"/>
          </w:tcPr>
          <w:p w14:paraId="5B4558A7">
            <w:pPr>
              <w:pStyle w:val="476"/>
              <w:rPr>
                <w:color w:val="000000" w:themeColor="text1"/>
                <w14:textFill>
                  <w14:solidFill>
                    <w14:schemeClr w14:val="tx1"/>
                  </w14:solidFill>
                </w14:textFill>
              </w:rPr>
            </w:pPr>
            <w:r>
              <w:rPr>
                <w:color w:val="000000" w:themeColor="text1"/>
                <w14:textFill>
                  <w14:solidFill>
                    <w14:schemeClr w14:val="tx1"/>
                  </w14:solidFill>
                </w14:textFill>
              </w:rPr>
              <w:t>日溪乡</w:t>
            </w:r>
          </w:p>
        </w:tc>
        <w:tc>
          <w:tcPr>
            <w:tcW w:w="271" w:type="pct"/>
            <w:shd w:val="clear" w:color="auto" w:fill="auto"/>
            <w:vAlign w:val="center"/>
          </w:tcPr>
          <w:p w14:paraId="7F20E202">
            <w:pPr>
              <w:pStyle w:val="476"/>
              <w:rPr>
                <w:color w:val="000000" w:themeColor="text1"/>
                <w14:textFill>
                  <w14:solidFill>
                    <w14:schemeClr w14:val="tx1"/>
                  </w14:solidFill>
                </w14:textFill>
              </w:rPr>
            </w:pPr>
            <w:r>
              <w:rPr>
                <w:color w:val="000000" w:themeColor="text1"/>
                <w14:textFill>
                  <w14:solidFill>
                    <w14:schemeClr w14:val="tx1"/>
                  </w14:solidFill>
                </w14:textFill>
              </w:rPr>
              <w:t>日溪村</w:t>
            </w:r>
          </w:p>
        </w:tc>
        <w:tc>
          <w:tcPr>
            <w:tcW w:w="509" w:type="pct"/>
            <w:shd w:val="clear" w:color="auto" w:fill="auto"/>
            <w:vAlign w:val="center"/>
          </w:tcPr>
          <w:p w14:paraId="15F36D69">
            <w:pPr>
              <w:pStyle w:val="476"/>
              <w:rPr>
                <w:color w:val="000000" w:themeColor="text1"/>
                <w14:textFill>
                  <w14:solidFill>
                    <w14:schemeClr w14:val="tx1"/>
                  </w14:solidFill>
                </w14:textFill>
              </w:rPr>
            </w:pPr>
            <w:r>
              <w:rPr>
                <w:color w:val="000000" w:themeColor="text1"/>
                <w14:textFill>
                  <w14:solidFill>
                    <w14:schemeClr w14:val="tx1"/>
                  </w14:solidFill>
                </w14:textFill>
              </w:rPr>
              <w:t>400</w:t>
            </w:r>
          </w:p>
        </w:tc>
        <w:tc>
          <w:tcPr>
            <w:tcW w:w="2134" w:type="pct"/>
            <w:shd w:val="clear" w:color="auto" w:fill="auto"/>
            <w:vAlign w:val="center"/>
          </w:tcPr>
          <w:p w14:paraId="72C7F80A">
            <w:pPr>
              <w:pStyle w:val="476"/>
              <w:rPr>
                <w:bCs/>
                <w:color w:val="000000" w:themeColor="text1"/>
                <w14:textFill>
                  <w14:solidFill>
                    <w14:schemeClr w14:val="tx1"/>
                  </w14:solidFill>
                </w14:textFill>
              </w:rPr>
            </w:pPr>
            <w:r>
              <w:rPr>
                <w:color w:val="000000" w:themeColor="text1"/>
                <w14:textFill>
                  <w14:solidFill>
                    <w14:schemeClr w14:val="tx1"/>
                  </w14:solidFill>
                </w14:textFill>
              </w:rPr>
              <w:t>格栅－水解酸化－接触氧化－三级兼性氧化塘－混凝沉淀－消毒－人工湿地－出水</w:t>
            </w:r>
          </w:p>
        </w:tc>
        <w:tc>
          <w:tcPr>
            <w:tcW w:w="440" w:type="pct"/>
            <w:shd w:val="clear" w:color="auto" w:fill="auto"/>
            <w:vAlign w:val="center"/>
          </w:tcPr>
          <w:p w14:paraId="642C69FC">
            <w:pPr>
              <w:pStyle w:val="476"/>
              <w:rPr>
                <w:color w:val="000000" w:themeColor="text1"/>
                <w14:textFill>
                  <w14:solidFill>
                    <w14:schemeClr w14:val="tx1"/>
                  </w14:solidFill>
                </w14:textFill>
              </w:rPr>
            </w:pPr>
            <w:r>
              <w:rPr>
                <w:color w:val="000000" w:themeColor="text1"/>
                <w14:textFill>
                  <w14:solidFill>
                    <w14:schemeClr w14:val="tx1"/>
                  </w14:solidFill>
                </w14:textFill>
              </w:rPr>
              <w:t>2300</w:t>
            </w:r>
          </w:p>
        </w:tc>
        <w:tc>
          <w:tcPr>
            <w:tcW w:w="745" w:type="pct"/>
            <w:shd w:val="clear" w:color="auto" w:fill="auto"/>
            <w:vAlign w:val="center"/>
          </w:tcPr>
          <w:p w14:paraId="1CEB455F">
            <w:pPr>
              <w:pStyle w:val="476"/>
              <w:rPr>
                <w:bCs/>
                <w:color w:val="000000" w:themeColor="text1"/>
                <w14:textFill>
                  <w14:solidFill>
                    <w14:schemeClr w14:val="tx1"/>
                  </w14:solidFill>
                </w14:textFill>
              </w:rPr>
            </w:pPr>
            <w:r>
              <w:rPr>
                <w:color w:val="000000" w:themeColor="text1"/>
                <w14:textFill>
                  <w14:solidFill>
                    <w14:schemeClr w14:val="tx1"/>
                  </w14:solidFill>
                </w14:textFill>
              </w:rPr>
              <w:t>鼓风机、泵类</w:t>
            </w:r>
          </w:p>
        </w:tc>
        <w:tc>
          <w:tcPr>
            <w:tcW w:w="496" w:type="pct"/>
            <w:shd w:val="clear" w:color="auto" w:fill="auto"/>
            <w:vAlign w:val="center"/>
          </w:tcPr>
          <w:p w14:paraId="4AE2BD62">
            <w:pPr>
              <w:pStyle w:val="476"/>
              <w:rPr>
                <w:color w:val="000000" w:themeColor="text1"/>
                <w14:textFill>
                  <w14:solidFill>
                    <w14:schemeClr w14:val="tx1"/>
                  </w14:solidFill>
                </w14:textFill>
              </w:rPr>
            </w:pPr>
            <w:r>
              <w:rPr>
                <w:color w:val="000000" w:themeColor="text1"/>
                <w14:textFill>
                  <w14:solidFill>
                    <w14:schemeClr w14:val="tx1"/>
                  </w14:solidFill>
                </w14:textFill>
              </w:rPr>
              <w:t>19.8</w:t>
            </w:r>
          </w:p>
        </w:tc>
      </w:tr>
    </w:tbl>
    <w:p w14:paraId="655425AF">
      <w:pPr>
        <w:rPr>
          <w:color w:val="000000" w:themeColor="text1"/>
          <w:lang w:val="zh-CN"/>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5F2B23D0">
      <w:pPr>
        <w:pStyle w:val="4"/>
        <w:rPr>
          <w:rFonts w:ascii="Times New Roman" w:hAnsi="Times New Roman" w:eastAsiaTheme="minorEastAsia"/>
          <w:color w:val="000000" w:themeColor="text1"/>
          <w14:textFill>
            <w14:solidFill>
              <w14:schemeClr w14:val="tx1"/>
            </w14:solidFill>
          </w14:textFill>
        </w:rPr>
      </w:pPr>
      <w:bookmarkStart w:id="267" w:name="_Toc112693928"/>
      <w:bookmarkStart w:id="268" w:name="_Toc112694063"/>
      <w:bookmarkStart w:id="269" w:name="_Toc112861049"/>
      <w:r>
        <w:rPr>
          <w:rFonts w:hint="eastAsia" w:ascii="宋体" w:hAnsi="宋体" w:eastAsia="宋体" w:cs="宋体"/>
          <w:color w:val="000000" w:themeColor="text1"/>
          <w14:textFill>
            <w14:solidFill>
              <w14:schemeClr w14:val="tx1"/>
            </w14:solidFill>
          </w14:textFill>
        </w:rPr>
        <w:t>制定完善北峰山区乡镇生活污水设施运行维护考核办法</w:t>
      </w:r>
      <w:bookmarkEnd w:id="267"/>
      <w:bookmarkEnd w:id="268"/>
      <w:bookmarkEnd w:id="269"/>
    </w:p>
    <w:p w14:paraId="7D7F451C">
      <w:pPr>
        <w:pStyle w:val="52"/>
        <w:rPr>
          <w:color w:val="000000" w:themeColor="text1"/>
          <w14:textFill>
            <w14:solidFill>
              <w14:schemeClr w14:val="tx1"/>
            </w14:solidFill>
          </w14:textFill>
        </w:rPr>
      </w:pPr>
      <w:r>
        <w:rPr>
          <w:color w:val="000000" w:themeColor="text1"/>
          <w14:textFill>
            <w14:solidFill>
              <w14:schemeClr w14:val="tx1"/>
            </w14:solidFill>
          </w14:textFill>
        </w:rPr>
        <w:t>晋安区针对北峰山区乡镇生活污水处理设施运维特殊性，于2017年出台了《晋安区北峰山区乡镇集中式生活污水处理设施长效管理办法》，制定第三方运维单位的考核要求、管网和设施运维内容等，明确由区建投中心或授权的乡镇政府组成考核小组对运维单位进行考核。</w:t>
      </w:r>
    </w:p>
    <w:p w14:paraId="31EEE52C">
      <w:pPr>
        <w:pStyle w:val="6"/>
        <w:rPr>
          <w:color w:val="000000" w:themeColor="text1"/>
          <w14:textFill>
            <w14:solidFill>
              <w14:schemeClr w14:val="tx1"/>
            </w14:solidFill>
          </w14:textFill>
        </w:rPr>
      </w:pPr>
      <w:bookmarkStart w:id="270" w:name="_Toc112692631"/>
      <w:bookmarkStart w:id="271" w:name="_Toc112693929"/>
      <w:bookmarkStart w:id="272" w:name="_Toc112694064"/>
      <w:r>
        <w:rPr>
          <w:color w:val="000000" w:themeColor="text1"/>
          <w14:textFill>
            <w14:solidFill>
              <w14:schemeClr w14:val="tx1"/>
            </w14:solidFill>
          </w14:textFill>
        </w:rPr>
        <w:t>制定第三方考核内容</w:t>
      </w:r>
      <w:bookmarkEnd w:id="270"/>
      <w:bookmarkEnd w:id="271"/>
      <w:bookmarkEnd w:id="272"/>
    </w:p>
    <w:p w14:paraId="7D329F5F">
      <w:pPr>
        <w:pStyle w:val="52"/>
        <w:rPr>
          <w:color w:val="000000" w:themeColor="text1"/>
          <w14:textFill>
            <w14:solidFill>
              <w14:schemeClr w14:val="tx1"/>
            </w14:solidFill>
          </w14:textFill>
        </w:rPr>
      </w:pPr>
      <w:r>
        <w:rPr>
          <w:color w:val="000000" w:themeColor="text1"/>
          <w14:textFill>
            <w14:solidFill>
              <w14:schemeClr w14:val="tx1"/>
            </w14:solidFill>
          </w14:textFill>
        </w:rPr>
        <w:t>（1）出水水质考核。考评小组将每个月不定期抽查排放水质一次，每季度至少对乡镇生活污水处理设施水质抽测1次，在每个支付周期内，在考核得分基础上，每发现一次排放水质不达标，每次扣10分，并要求项目公司立即整改；若超过两次，则该支付周期的绩效服务费不予支付。</w:t>
      </w:r>
    </w:p>
    <w:p w14:paraId="2F07354B">
      <w:pPr>
        <w:pStyle w:val="52"/>
        <w:rPr>
          <w:color w:val="000000" w:themeColor="text1"/>
          <w14:textFill>
            <w14:solidFill>
              <w14:schemeClr w14:val="tx1"/>
            </w14:solidFill>
          </w14:textFill>
        </w:rPr>
      </w:pPr>
      <w:r>
        <w:rPr>
          <w:color w:val="000000" w:themeColor="text1"/>
          <w14:textFill>
            <w14:solidFill>
              <w14:schemeClr w14:val="tx1"/>
            </w14:solidFill>
          </w14:textFill>
        </w:rPr>
        <w:t>（2）运行管理考核。在出水水质达标的前提下，政府方根据污水处理设施的运行管理情况进行考核付费，运行管理考核主要分为定期考核和不定期考核，运营管理考核分数根据考核标准确定。</w:t>
      </w:r>
    </w:p>
    <w:p w14:paraId="6820463B">
      <w:pPr>
        <w:pStyle w:val="52"/>
        <w:rPr>
          <w:color w:val="000000" w:themeColor="text1"/>
          <w14:textFill>
            <w14:solidFill>
              <w14:schemeClr w14:val="tx1"/>
            </w14:solidFill>
          </w14:textFill>
        </w:rPr>
      </w:pPr>
      <w:r>
        <w:rPr>
          <w:color w:val="000000" w:themeColor="text1"/>
          <w14:textFill>
            <w14:solidFill>
              <w14:schemeClr w14:val="tx1"/>
            </w14:solidFill>
          </w14:textFill>
        </w:rPr>
        <w:t>1）定期考核。定期考核每季度进行一次，一般安排在季度底进行，在提前通知项目公司的前提下，考核小组可在随机选定的污水处理设施进行检查，根据检查结果形成考核得分。</w:t>
      </w:r>
    </w:p>
    <w:p w14:paraId="13D5D5A0">
      <w:pPr>
        <w:pStyle w:val="52"/>
        <w:rPr>
          <w:color w:val="000000" w:themeColor="text1"/>
          <w14:textFill>
            <w14:solidFill>
              <w14:schemeClr w14:val="tx1"/>
            </w14:solidFill>
          </w14:textFill>
        </w:rPr>
      </w:pPr>
      <w:r>
        <w:rPr>
          <w:color w:val="000000" w:themeColor="text1"/>
          <w14:textFill>
            <w14:solidFill>
              <w14:schemeClr w14:val="tx1"/>
            </w14:solidFill>
          </w14:textFill>
        </w:rPr>
        <w:t>2）不定期考核。（包括上级领导视察、相关部门考查等）在不通知项目公司的前提下，考核小组（包括被授权的乡镇政府）可对污水处理设施的进行随机检查，但不定期考核不得影响项目公司正常运营活动，不定期考核由考核小组决定是否进行，不定期考核结束后，考核小组应将检查结果告知项目公司。</w:t>
      </w:r>
    </w:p>
    <w:p w14:paraId="5EE1D843">
      <w:pPr>
        <w:pStyle w:val="52"/>
        <w:rPr>
          <w:color w:val="000000" w:themeColor="text1"/>
          <w14:textFill>
            <w14:solidFill>
              <w14:schemeClr w14:val="tx1"/>
            </w14:solidFill>
          </w14:textFill>
        </w:rPr>
      </w:pPr>
      <w:r>
        <w:rPr>
          <w:color w:val="000000" w:themeColor="text1"/>
          <w14:textFill>
            <w14:solidFill>
              <w14:schemeClr w14:val="tx1"/>
            </w14:solidFill>
          </w14:textFill>
        </w:rPr>
        <w:t>对运维单位考核得分采用百分制，每项扣至零分为止，季度考核得分＝定期考核得分×60%＋不定期考核考核得分×40%。若期间未启动不定期考核，则季度考核得分为定期考核得分。本年度最终得分为各季度考核得分的平均值。</w:t>
      </w:r>
    </w:p>
    <w:p w14:paraId="630B080F">
      <w:pPr>
        <w:pStyle w:val="6"/>
        <w:rPr>
          <w:color w:val="000000" w:themeColor="text1"/>
          <w14:textFill>
            <w14:solidFill>
              <w14:schemeClr w14:val="tx1"/>
            </w14:solidFill>
          </w14:textFill>
        </w:rPr>
      </w:pPr>
      <w:bookmarkStart w:id="273" w:name="_Toc112692632"/>
      <w:bookmarkStart w:id="274" w:name="_Toc112693930"/>
      <w:bookmarkStart w:id="275" w:name="_Toc112694065"/>
      <w:r>
        <w:rPr>
          <w:color w:val="000000" w:themeColor="text1"/>
          <w14:textFill>
            <w14:solidFill>
              <w14:schemeClr w14:val="tx1"/>
            </w14:solidFill>
          </w14:textFill>
        </w:rPr>
        <w:t>明确运维管理内容</w:t>
      </w:r>
      <w:bookmarkEnd w:id="273"/>
      <w:bookmarkEnd w:id="274"/>
      <w:bookmarkEnd w:id="275"/>
    </w:p>
    <w:p w14:paraId="172F95B3">
      <w:pPr>
        <w:pStyle w:val="52"/>
        <w:rPr>
          <w:color w:val="000000" w:themeColor="text1"/>
          <w14:textFill>
            <w14:solidFill>
              <w14:schemeClr w14:val="tx1"/>
            </w14:solidFill>
          </w14:textFill>
        </w:rPr>
      </w:pPr>
      <w:r>
        <w:rPr>
          <w:color w:val="000000" w:themeColor="text1"/>
          <w14:textFill>
            <w14:solidFill>
              <w14:schemeClr w14:val="tx1"/>
            </w14:solidFill>
          </w14:textFill>
        </w:rPr>
        <w:t>（1）配套管网及泵站运营维护考核标准</w:t>
      </w:r>
    </w:p>
    <w:p w14:paraId="7F3FD0D8">
      <w:pPr>
        <w:pStyle w:val="52"/>
        <w:rPr>
          <w:color w:val="000000" w:themeColor="text1"/>
          <w14:textFill>
            <w14:solidFill>
              <w14:schemeClr w14:val="tx1"/>
            </w14:solidFill>
          </w14:textFill>
        </w:rPr>
      </w:pPr>
      <w:r>
        <w:rPr>
          <w:color w:val="000000" w:themeColor="text1"/>
          <w14:textFill>
            <w14:solidFill>
              <w14:schemeClr w14:val="tx1"/>
            </w14:solidFill>
          </w14:textFill>
        </w:rPr>
        <w:t>配套污水管网运营维护包括二大项十四小项，维护内容详见表7.3-1。管网运营具体按照《城镇排水管道维护安全技术规程》（CJJ6-2009）和《城镇排水管渠与泵站维护技术规程》（CJJ68-2007）的相关规定执行，总体达到以下标准：</w:t>
      </w:r>
    </w:p>
    <w:p w14:paraId="37EFD845">
      <w:pPr>
        <w:pStyle w:val="52"/>
        <w:rPr>
          <w:color w:val="000000" w:themeColor="text1"/>
          <w14:textFill>
            <w14:solidFill>
              <w14:schemeClr w14:val="tx1"/>
            </w14:solidFill>
          </w14:textFill>
        </w:rPr>
      </w:pPr>
      <w:r>
        <w:rPr>
          <w:color w:val="000000" w:themeColor="text1"/>
          <w14:textFill>
            <w14:solidFill>
              <w14:schemeClr w14:val="tx1"/>
            </w14:solidFill>
          </w14:textFill>
        </w:rPr>
        <w:t>1）排水管渠应定期检查、定期维护，每季度检查一次，保持良好的水力功能和结构状况。</w:t>
      </w:r>
    </w:p>
    <w:p w14:paraId="467C2252">
      <w:pPr>
        <w:pStyle w:val="52"/>
        <w:rPr>
          <w:color w:val="000000" w:themeColor="text1"/>
          <w14:textFill>
            <w14:solidFill>
              <w14:schemeClr w14:val="tx1"/>
            </w14:solidFill>
          </w14:textFill>
        </w:rPr>
      </w:pPr>
      <w:r>
        <w:rPr>
          <w:color w:val="000000" w:themeColor="text1"/>
          <w14:textFill>
            <w14:solidFill>
              <w14:schemeClr w14:val="tx1"/>
            </w14:solidFill>
          </w14:textFill>
        </w:rPr>
        <w:t>2）封堵管道必须经排水部门批准，封堵前应做好临时排水措施。</w:t>
      </w:r>
    </w:p>
    <w:p w14:paraId="32655A17">
      <w:pPr>
        <w:pStyle w:val="52"/>
        <w:rPr>
          <w:color w:val="000000" w:themeColor="text1"/>
          <w14:textFill>
            <w14:solidFill>
              <w14:schemeClr w14:val="tx1"/>
            </w14:solidFill>
          </w14:textFill>
        </w:rPr>
      </w:pPr>
      <w:r>
        <w:rPr>
          <w:color w:val="000000" w:themeColor="text1"/>
          <w14:textFill>
            <w14:solidFill>
              <w14:schemeClr w14:val="tx1"/>
            </w14:solidFill>
          </w14:textFill>
        </w:rPr>
        <w:t>3）定期检查明渠护坡、挡土墙和压顶，发现裂缝、深陷、倾斜、缺损等及时修理。及时清理落入渠内阻碍排水障碍物，保持水流畅通。</w:t>
      </w:r>
    </w:p>
    <w:p w14:paraId="5ABFD105">
      <w:pPr>
        <w:pStyle w:val="52"/>
        <w:rPr>
          <w:color w:val="000000" w:themeColor="text1"/>
          <w14:textFill>
            <w14:solidFill>
              <w14:schemeClr w14:val="tx1"/>
            </w14:solidFill>
          </w14:textFill>
        </w:rPr>
      </w:pPr>
      <w:r>
        <w:rPr>
          <w:color w:val="000000" w:themeColor="text1"/>
          <w14:textFill>
            <w14:solidFill>
              <w14:schemeClr w14:val="tx1"/>
            </w14:solidFill>
          </w14:textFill>
        </w:rPr>
        <w:t>4）排水泵站围墙、道路、泵房等泵站附属设施应保持完好。每年汛期前应检查与维护泵站的自身防汛设施。</w:t>
      </w:r>
    </w:p>
    <w:p w14:paraId="38DF7F44">
      <w:pPr>
        <w:pStyle w:val="52"/>
        <w:rPr>
          <w:color w:val="000000" w:themeColor="text1"/>
          <w14:textFill>
            <w14:solidFill>
              <w14:schemeClr w14:val="tx1"/>
            </w14:solidFill>
          </w14:textFill>
        </w:rPr>
      </w:pPr>
      <w:r>
        <w:rPr>
          <w:color w:val="000000" w:themeColor="text1"/>
          <w14:textFill>
            <w14:solidFill>
              <w14:schemeClr w14:val="tx1"/>
            </w14:solidFill>
          </w14:textFill>
        </w:rPr>
        <w:t>（2）处理设施运营维护考核标准。处理设施的出水水质应满足该设施设计标准，建设经营期间若国家或福建省颁布新标准，则应符合新标准相应等级的标准。若由于新标准导致增加重大投资或运营成本，可调整污水处理费。经第三方有资格的审计机构审计，内部收益率明显低于投标时测算的收益率，可调整至满足投标时测算的收益率。污水处理设施运维考核详见表7.3-2。</w:t>
      </w:r>
    </w:p>
    <w:p w14:paraId="0ECF5269">
      <w:pPr>
        <w:pStyle w:val="52"/>
        <w:rPr>
          <w:color w:val="000000" w:themeColor="text1"/>
          <w14:textFill>
            <w14:solidFill>
              <w14:schemeClr w14:val="tx1"/>
            </w14:solidFill>
          </w14:textFill>
        </w:rPr>
        <w:sectPr>
          <w:pgSz w:w="11906" w:h="16838"/>
          <w:pgMar w:top="1701" w:right="1701" w:bottom="1701" w:left="1701" w:header="851" w:footer="992" w:gutter="0"/>
          <w:cols w:space="720" w:num="1"/>
          <w:docGrid w:type="linesAndChars" w:linePitch="312" w:charSpace="0"/>
        </w:sectPr>
      </w:pPr>
      <w:r>
        <w:rPr>
          <w:color w:val="000000" w:themeColor="text1"/>
          <w14:textFill>
            <w14:solidFill>
              <w14:schemeClr w14:val="tx1"/>
            </w14:solidFill>
          </w14:textFill>
        </w:rPr>
        <w:t>每次考核分数=配套管网考核分数×60%+污水处理设施考核分数×40%。</w:t>
      </w:r>
    </w:p>
    <w:p w14:paraId="14291353">
      <w:pPr>
        <w:pStyle w:val="442"/>
        <w:rPr>
          <w:color w:val="000000" w:themeColor="text1"/>
          <w14:textFill>
            <w14:solidFill>
              <w14:schemeClr w14:val="tx1"/>
            </w14:solidFill>
          </w14:textFill>
        </w:rPr>
      </w:pPr>
      <w:r>
        <w:rPr>
          <w:color w:val="000000" w:themeColor="text1"/>
          <w14:textFill>
            <w14:solidFill>
              <w14:schemeClr w14:val="tx1"/>
            </w14:solidFill>
          </w14:textFill>
        </w:rPr>
        <w:t>表7.3-1配套管网考核内容</w:t>
      </w:r>
    </w:p>
    <w:tbl>
      <w:tblPr>
        <w:tblStyle w:val="55"/>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57" w:type="dxa"/>
          <w:left w:w="108" w:type="dxa"/>
          <w:bottom w:w="57" w:type="dxa"/>
          <w:right w:w="108" w:type="dxa"/>
        </w:tblCellMar>
      </w:tblPr>
      <w:tblGrid>
        <w:gridCol w:w="587"/>
        <w:gridCol w:w="980"/>
        <w:gridCol w:w="2146"/>
        <w:gridCol w:w="9106"/>
        <w:gridCol w:w="833"/>
      </w:tblGrid>
      <w:tr w14:paraId="372E6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blHeader/>
        </w:trPr>
        <w:tc>
          <w:tcPr>
            <w:tcW w:w="215" w:type="pct"/>
            <w:vMerge w:val="restart"/>
            <w:shd w:val="clear" w:color="auto" w:fill="auto"/>
            <w:vAlign w:val="center"/>
          </w:tcPr>
          <w:p w14:paraId="3E5E8531">
            <w:pPr>
              <w:pStyle w:val="476"/>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145" w:type="pct"/>
            <w:gridSpan w:val="2"/>
            <w:shd w:val="clear" w:color="auto" w:fill="auto"/>
            <w:noWrap/>
            <w:vAlign w:val="center"/>
          </w:tcPr>
          <w:p w14:paraId="3436BD86">
            <w:pPr>
              <w:pStyle w:val="476"/>
              <w:rPr>
                <w:b/>
                <w:color w:val="000000" w:themeColor="text1"/>
                <w14:textFill>
                  <w14:solidFill>
                    <w14:schemeClr w14:val="tx1"/>
                  </w14:solidFill>
                </w14:textFill>
              </w:rPr>
            </w:pPr>
            <w:r>
              <w:rPr>
                <w:b/>
                <w:color w:val="000000" w:themeColor="text1"/>
                <w14:textFill>
                  <w14:solidFill>
                    <w14:schemeClr w14:val="tx1"/>
                  </w14:solidFill>
                </w14:textFill>
              </w:rPr>
              <w:t>内容</w:t>
            </w:r>
          </w:p>
        </w:tc>
        <w:tc>
          <w:tcPr>
            <w:tcW w:w="3335" w:type="pct"/>
            <w:vMerge w:val="restart"/>
            <w:shd w:val="clear" w:color="auto" w:fill="auto"/>
            <w:noWrap/>
            <w:vAlign w:val="center"/>
          </w:tcPr>
          <w:p w14:paraId="03579B33">
            <w:pPr>
              <w:pStyle w:val="476"/>
              <w:rPr>
                <w:b/>
                <w:color w:val="000000" w:themeColor="text1"/>
                <w14:textFill>
                  <w14:solidFill>
                    <w14:schemeClr w14:val="tx1"/>
                  </w14:solidFill>
                </w14:textFill>
              </w:rPr>
            </w:pPr>
            <w:r>
              <w:rPr>
                <w:b/>
                <w:color w:val="000000" w:themeColor="text1"/>
                <w14:textFill>
                  <w14:solidFill>
                    <w14:schemeClr w14:val="tx1"/>
                  </w14:solidFill>
                </w14:textFill>
              </w:rPr>
              <w:t>考核标准</w:t>
            </w:r>
          </w:p>
        </w:tc>
        <w:tc>
          <w:tcPr>
            <w:tcW w:w="305" w:type="pct"/>
            <w:vMerge w:val="restart"/>
            <w:shd w:val="clear" w:color="auto" w:fill="auto"/>
            <w:noWrap/>
            <w:vAlign w:val="center"/>
          </w:tcPr>
          <w:p w14:paraId="06D1C6F8">
            <w:pPr>
              <w:pStyle w:val="476"/>
              <w:rPr>
                <w:b/>
                <w:color w:val="000000" w:themeColor="text1"/>
                <w14:textFill>
                  <w14:solidFill>
                    <w14:schemeClr w14:val="tx1"/>
                  </w14:solidFill>
                </w14:textFill>
              </w:rPr>
            </w:pPr>
            <w:r>
              <w:rPr>
                <w:b/>
                <w:color w:val="000000" w:themeColor="text1"/>
                <w14:textFill>
                  <w14:solidFill>
                    <w14:schemeClr w14:val="tx1"/>
                  </w14:solidFill>
                </w14:textFill>
              </w:rPr>
              <w:t>满分</w:t>
            </w:r>
          </w:p>
        </w:tc>
      </w:tr>
      <w:tr w14:paraId="4574B0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blHeader/>
        </w:trPr>
        <w:tc>
          <w:tcPr>
            <w:tcW w:w="215" w:type="pct"/>
            <w:vMerge w:val="continue"/>
            <w:shd w:val="clear" w:color="auto" w:fill="auto"/>
            <w:vAlign w:val="center"/>
          </w:tcPr>
          <w:p w14:paraId="7DCCEBCD">
            <w:pPr>
              <w:pStyle w:val="476"/>
              <w:rPr>
                <w:color w:val="000000" w:themeColor="text1"/>
                <w14:textFill>
                  <w14:solidFill>
                    <w14:schemeClr w14:val="tx1"/>
                  </w14:solidFill>
                </w14:textFill>
              </w:rPr>
            </w:pPr>
          </w:p>
        </w:tc>
        <w:tc>
          <w:tcPr>
            <w:tcW w:w="359" w:type="pct"/>
            <w:shd w:val="clear" w:color="auto" w:fill="auto"/>
            <w:noWrap/>
            <w:vAlign w:val="center"/>
          </w:tcPr>
          <w:p w14:paraId="04F215E7">
            <w:pPr>
              <w:pStyle w:val="476"/>
              <w:rPr>
                <w:b/>
                <w:color w:val="000000" w:themeColor="text1"/>
                <w14:textFill>
                  <w14:solidFill>
                    <w14:schemeClr w14:val="tx1"/>
                  </w14:solidFill>
                </w14:textFill>
              </w:rPr>
            </w:pPr>
            <w:r>
              <w:rPr>
                <w:b/>
                <w:color w:val="000000" w:themeColor="text1"/>
                <w14:textFill>
                  <w14:solidFill>
                    <w14:schemeClr w14:val="tx1"/>
                  </w14:solidFill>
                </w14:textFill>
              </w:rPr>
              <w:t>项目</w:t>
            </w:r>
          </w:p>
        </w:tc>
        <w:tc>
          <w:tcPr>
            <w:tcW w:w="786" w:type="pct"/>
            <w:shd w:val="clear" w:color="auto" w:fill="auto"/>
            <w:noWrap/>
            <w:vAlign w:val="center"/>
          </w:tcPr>
          <w:p w14:paraId="6334C4FA">
            <w:pPr>
              <w:pStyle w:val="476"/>
              <w:rPr>
                <w:b/>
                <w:color w:val="000000" w:themeColor="text1"/>
                <w14:textFill>
                  <w14:solidFill>
                    <w14:schemeClr w14:val="tx1"/>
                  </w14:solidFill>
                </w14:textFill>
              </w:rPr>
            </w:pPr>
            <w:r>
              <w:rPr>
                <w:b/>
                <w:color w:val="000000" w:themeColor="text1"/>
                <w14:textFill>
                  <w14:solidFill>
                    <w14:schemeClr w14:val="tx1"/>
                  </w14:solidFill>
                </w14:textFill>
              </w:rPr>
              <w:t>子项目</w:t>
            </w:r>
          </w:p>
        </w:tc>
        <w:tc>
          <w:tcPr>
            <w:tcW w:w="3335" w:type="pct"/>
            <w:vMerge w:val="continue"/>
            <w:vAlign w:val="center"/>
          </w:tcPr>
          <w:p w14:paraId="7B4F9C91">
            <w:pPr>
              <w:pStyle w:val="476"/>
              <w:rPr>
                <w:color w:val="000000" w:themeColor="text1"/>
                <w14:textFill>
                  <w14:solidFill>
                    <w14:schemeClr w14:val="tx1"/>
                  </w14:solidFill>
                </w14:textFill>
              </w:rPr>
            </w:pPr>
          </w:p>
        </w:tc>
        <w:tc>
          <w:tcPr>
            <w:tcW w:w="305" w:type="pct"/>
            <w:vMerge w:val="continue"/>
            <w:vAlign w:val="center"/>
          </w:tcPr>
          <w:p w14:paraId="4F9192D5">
            <w:pPr>
              <w:pStyle w:val="476"/>
              <w:rPr>
                <w:color w:val="000000" w:themeColor="text1"/>
                <w14:textFill>
                  <w14:solidFill>
                    <w14:schemeClr w14:val="tx1"/>
                  </w14:solidFill>
                </w14:textFill>
              </w:rPr>
            </w:pPr>
          </w:p>
        </w:tc>
      </w:tr>
      <w:tr w14:paraId="6C9144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restart"/>
            <w:shd w:val="clear" w:color="auto" w:fill="auto"/>
            <w:noWrap/>
            <w:vAlign w:val="center"/>
          </w:tcPr>
          <w:p w14:paraId="52BBF574">
            <w:pPr>
              <w:pStyle w:val="476"/>
              <w:rPr>
                <w:color w:val="000000" w:themeColor="text1"/>
                <w14:textFill>
                  <w14:solidFill>
                    <w14:schemeClr w14:val="tx1"/>
                  </w14:solidFill>
                </w14:textFill>
              </w:rPr>
            </w:pPr>
            <w:r>
              <w:rPr>
                <w:color w:val="000000" w:themeColor="text1"/>
                <w14:textFill>
                  <w14:solidFill>
                    <w14:schemeClr w14:val="tx1"/>
                  </w14:solidFill>
                </w14:textFill>
              </w:rPr>
              <w:t>1</w:t>
            </w:r>
          </w:p>
        </w:tc>
        <w:tc>
          <w:tcPr>
            <w:tcW w:w="359" w:type="pct"/>
            <w:vMerge w:val="restart"/>
            <w:shd w:val="clear" w:color="auto" w:fill="auto"/>
            <w:vAlign w:val="center"/>
          </w:tcPr>
          <w:p w14:paraId="57A0B8C6">
            <w:pPr>
              <w:pStyle w:val="476"/>
              <w:rPr>
                <w:color w:val="000000" w:themeColor="text1"/>
                <w14:textFill>
                  <w14:solidFill>
                    <w14:schemeClr w14:val="tx1"/>
                  </w14:solidFill>
                </w14:textFill>
              </w:rPr>
            </w:pPr>
            <w:r>
              <w:rPr>
                <w:color w:val="000000" w:themeColor="text1"/>
                <w14:textFill>
                  <w14:solidFill>
                    <w14:schemeClr w14:val="tx1"/>
                  </w14:solidFill>
                </w14:textFill>
              </w:rPr>
              <w:t>配套管网运营维护（60分）</w:t>
            </w:r>
          </w:p>
        </w:tc>
        <w:tc>
          <w:tcPr>
            <w:tcW w:w="786" w:type="pct"/>
            <w:shd w:val="clear" w:color="auto" w:fill="auto"/>
            <w:noWrap/>
            <w:vAlign w:val="center"/>
          </w:tcPr>
          <w:p w14:paraId="4BE74DFE">
            <w:pPr>
              <w:pStyle w:val="476"/>
              <w:rPr>
                <w:color w:val="000000" w:themeColor="text1"/>
                <w14:textFill>
                  <w14:solidFill>
                    <w14:schemeClr w14:val="tx1"/>
                  </w14:solidFill>
                </w14:textFill>
              </w:rPr>
            </w:pPr>
            <w:r>
              <w:rPr>
                <w:rFonts w:hint="eastAsia"/>
              </w:rPr>
              <w:t>管道</w:t>
            </w:r>
          </w:p>
        </w:tc>
        <w:tc>
          <w:tcPr>
            <w:tcW w:w="3335" w:type="pct"/>
            <w:shd w:val="clear" w:color="auto" w:fill="auto"/>
            <w:vAlign w:val="center"/>
          </w:tcPr>
          <w:p w14:paraId="45C3A3B4">
            <w:pPr>
              <w:pStyle w:val="476"/>
              <w:rPr>
                <w:color w:val="000000" w:themeColor="text1"/>
                <w14:textFill>
                  <w14:solidFill>
                    <w14:schemeClr w14:val="tx1"/>
                  </w14:solidFill>
                </w14:textFill>
              </w:rPr>
            </w:pPr>
            <w:r>
              <w:rPr>
                <w:color w:val="000000" w:themeColor="text1"/>
                <w14:textFill>
                  <w14:solidFill>
                    <w14:schemeClr w14:val="tx1"/>
                  </w14:solidFill>
                </w14:textFill>
              </w:rPr>
              <w:t>管道水流畅通，积泥深度不超过管径的1/3，检查井积泥深度在管底以下50mm（有沉泥檀1），主管径1/4管径（无沉泥槽）。</w:t>
            </w:r>
          </w:p>
        </w:tc>
        <w:tc>
          <w:tcPr>
            <w:tcW w:w="305" w:type="pct"/>
            <w:shd w:val="clear" w:color="auto" w:fill="auto"/>
            <w:noWrap/>
            <w:vAlign w:val="center"/>
          </w:tcPr>
          <w:p w14:paraId="1C9501D0">
            <w:pPr>
              <w:pStyle w:val="476"/>
              <w:rPr>
                <w:color w:val="000000" w:themeColor="text1"/>
                <w14:textFill>
                  <w14:solidFill>
                    <w14:schemeClr w14:val="tx1"/>
                  </w14:solidFill>
                </w14:textFill>
              </w:rPr>
            </w:pPr>
            <w:r>
              <w:rPr>
                <w:color w:val="000000" w:themeColor="text1"/>
                <w14:textFill>
                  <w14:solidFill>
                    <w14:schemeClr w14:val="tx1"/>
                  </w14:solidFill>
                </w14:textFill>
              </w:rPr>
              <w:t>10</w:t>
            </w:r>
          </w:p>
        </w:tc>
      </w:tr>
      <w:tr w14:paraId="2CAC41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26923E49">
            <w:pPr>
              <w:pStyle w:val="476"/>
              <w:rPr>
                <w:color w:val="000000" w:themeColor="text1"/>
                <w14:textFill>
                  <w14:solidFill>
                    <w14:schemeClr w14:val="tx1"/>
                  </w14:solidFill>
                </w14:textFill>
              </w:rPr>
            </w:pPr>
          </w:p>
        </w:tc>
        <w:tc>
          <w:tcPr>
            <w:tcW w:w="359" w:type="pct"/>
            <w:vMerge w:val="continue"/>
            <w:vAlign w:val="center"/>
          </w:tcPr>
          <w:p w14:paraId="3F3303E8">
            <w:pPr>
              <w:pStyle w:val="476"/>
              <w:rPr>
                <w:color w:val="000000" w:themeColor="text1"/>
                <w14:textFill>
                  <w14:solidFill>
                    <w14:schemeClr w14:val="tx1"/>
                  </w14:solidFill>
                </w14:textFill>
              </w:rPr>
            </w:pPr>
          </w:p>
        </w:tc>
        <w:tc>
          <w:tcPr>
            <w:tcW w:w="786" w:type="pct"/>
            <w:shd w:val="clear" w:color="auto" w:fill="auto"/>
            <w:noWrap/>
            <w:vAlign w:val="center"/>
          </w:tcPr>
          <w:p w14:paraId="70034D8E">
            <w:pPr>
              <w:pStyle w:val="476"/>
              <w:rPr>
                <w:color w:val="000000" w:themeColor="text1"/>
                <w14:textFill>
                  <w14:solidFill>
                    <w14:schemeClr w14:val="tx1"/>
                  </w14:solidFill>
                </w14:textFill>
              </w:rPr>
            </w:pPr>
            <w:r>
              <w:rPr>
                <w:color w:val="000000" w:themeColor="text1"/>
                <w14:textFill>
                  <w14:solidFill>
                    <w14:schemeClr w14:val="tx1"/>
                  </w14:solidFill>
                </w14:textFill>
              </w:rPr>
              <w:t>私接违排</w:t>
            </w:r>
          </w:p>
        </w:tc>
        <w:tc>
          <w:tcPr>
            <w:tcW w:w="3335" w:type="pct"/>
            <w:shd w:val="clear" w:color="auto" w:fill="auto"/>
            <w:noWrap/>
            <w:vAlign w:val="center"/>
          </w:tcPr>
          <w:p w14:paraId="55B5DCCE">
            <w:pPr>
              <w:pStyle w:val="476"/>
              <w:rPr>
                <w:color w:val="000000" w:themeColor="text1"/>
                <w14:textFill>
                  <w14:solidFill>
                    <w14:schemeClr w14:val="tx1"/>
                  </w14:solidFill>
                </w14:textFill>
              </w:rPr>
            </w:pPr>
            <w:r>
              <w:rPr>
                <w:color w:val="000000" w:themeColor="text1"/>
                <w14:textFill>
                  <w14:solidFill>
                    <w14:schemeClr w14:val="tx1"/>
                  </w14:solidFill>
                </w14:textFill>
              </w:rPr>
              <w:t>排水户或施工单位未经排水许可私接（私自连接或临时接管连续排污设施排水）。</w:t>
            </w:r>
          </w:p>
        </w:tc>
        <w:tc>
          <w:tcPr>
            <w:tcW w:w="305" w:type="pct"/>
            <w:shd w:val="clear" w:color="auto" w:fill="auto"/>
            <w:noWrap/>
            <w:vAlign w:val="center"/>
          </w:tcPr>
          <w:p w14:paraId="358038C0">
            <w:pPr>
              <w:pStyle w:val="476"/>
              <w:rPr>
                <w:i/>
                <w:color w:val="000000" w:themeColor="text1"/>
                <w14:textFill>
                  <w14:solidFill>
                    <w14:schemeClr w14:val="tx1"/>
                  </w14:solidFill>
                </w14:textFill>
              </w:rPr>
            </w:pPr>
            <w:r>
              <w:rPr>
                <w:i/>
                <w:color w:val="000000" w:themeColor="text1"/>
                <w14:textFill>
                  <w14:solidFill>
                    <w14:schemeClr w14:val="tx1"/>
                  </w14:solidFill>
                </w14:textFill>
              </w:rPr>
              <w:t>5</w:t>
            </w:r>
          </w:p>
        </w:tc>
      </w:tr>
      <w:tr w14:paraId="21BFF7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31988A1D">
            <w:pPr>
              <w:pStyle w:val="476"/>
              <w:rPr>
                <w:color w:val="000000" w:themeColor="text1"/>
                <w14:textFill>
                  <w14:solidFill>
                    <w14:schemeClr w14:val="tx1"/>
                  </w14:solidFill>
                </w14:textFill>
              </w:rPr>
            </w:pPr>
          </w:p>
        </w:tc>
        <w:tc>
          <w:tcPr>
            <w:tcW w:w="359" w:type="pct"/>
            <w:vMerge w:val="continue"/>
            <w:vAlign w:val="center"/>
          </w:tcPr>
          <w:p w14:paraId="6158CD61">
            <w:pPr>
              <w:pStyle w:val="476"/>
              <w:rPr>
                <w:color w:val="000000" w:themeColor="text1"/>
                <w14:textFill>
                  <w14:solidFill>
                    <w14:schemeClr w14:val="tx1"/>
                  </w14:solidFill>
                </w14:textFill>
              </w:rPr>
            </w:pPr>
          </w:p>
        </w:tc>
        <w:tc>
          <w:tcPr>
            <w:tcW w:w="786" w:type="pct"/>
            <w:shd w:val="clear" w:color="auto" w:fill="auto"/>
            <w:noWrap/>
            <w:vAlign w:val="center"/>
          </w:tcPr>
          <w:p w14:paraId="70010EC4">
            <w:pPr>
              <w:pStyle w:val="476"/>
              <w:rPr>
                <w:color w:val="000000" w:themeColor="text1"/>
                <w14:textFill>
                  <w14:solidFill>
                    <w14:schemeClr w14:val="tx1"/>
                  </w14:solidFill>
                </w14:textFill>
              </w:rPr>
            </w:pPr>
            <w:r>
              <w:rPr>
                <w:color w:val="000000" w:themeColor="text1"/>
                <w14:textFill>
                  <w14:solidFill>
                    <w14:schemeClr w14:val="tx1"/>
                  </w14:solidFill>
                </w14:textFill>
              </w:rPr>
              <w:t>检查井盖</w:t>
            </w:r>
          </w:p>
        </w:tc>
        <w:tc>
          <w:tcPr>
            <w:tcW w:w="3335" w:type="pct"/>
            <w:shd w:val="clear" w:color="auto" w:fill="auto"/>
            <w:vAlign w:val="center"/>
          </w:tcPr>
          <w:p w14:paraId="4F05EB02">
            <w:pPr>
              <w:pStyle w:val="476"/>
              <w:rPr>
                <w:color w:val="000000" w:themeColor="text1"/>
                <w14:textFill>
                  <w14:solidFill>
                    <w14:schemeClr w14:val="tx1"/>
                  </w14:solidFill>
                </w14:textFill>
              </w:rPr>
            </w:pPr>
            <w:r>
              <w:rPr>
                <w:color w:val="000000" w:themeColor="text1"/>
                <w14:textFill>
                  <w14:solidFill>
                    <w14:schemeClr w14:val="tx1"/>
                  </w14:solidFill>
                </w14:textFill>
              </w:rPr>
              <w:t>检查并盖应高于绿化带20-40cm，井盖与井座间隙应小于0.8cm，高差不应大于lcm,检查井盖平稳、不动摇，车经过时，并盖不应出现松动和声响，当发现并盖缺失或损坏后，必须及时安放护栏和警示标志，并在8小时为恢复，检查并盖不应丢失、井盖破损面积单独或累计应＜225c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，井座裂隙应＜0.5cm（裂缝数小于4），检查并盖不应被违占（埋）。</w:t>
            </w:r>
          </w:p>
        </w:tc>
        <w:tc>
          <w:tcPr>
            <w:tcW w:w="305" w:type="pct"/>
            <w:shd w:val="clear" w:color="auto" w:fill="auto"/>
            <w:noWrap/>
            <w:vAlign w:val="center"/>
          </w:tcPr>
          <w:p w14:paraId="21AAE192">
            <w:pPr>
              <w:pStyle w:val="476"/>
              <w:rPr>
                <w:color w:val="000000" w:themeColor="text1"/>
                <w14:textFill>
                  <w14:solidFill>
                    <w14:schemeClr w14:val="tx1"/>
                  </w14:solidFill>
                </w14:textFill>
              </w:rPr>
            </w:pPr>
            <w:r>
              <w:rPr>
                <w:color w:val="000000" w:themeColor="text1"/>
                <w14:textFill>
                  <w14:solidFill>
                    <w14:schemeClr w14:val="tx1"/>
                  </w14:solidFill>
                </w14:textFill>
              </w:rPr>
              <w:t>10</w:t>
            </w:r>
          </w:p>
        </w:tc>
      </w:tr>
      <w:tr w14:paraId="31FEAE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5B696078">
            <w:pPr>
              <w:pStyle w:val="476"/>
              <w:rPr>
                <w:color w:val="000000" w:themeColor="text1"/>
                <w14:textFill>
                  <w14:solidFill>
                    <w14:schemeClr w14:val="tx1"/>
                  </w14:solidFill>
                </w14:textFill>
              </w:rPr>
            </w:pPr>
          </w:p>
        </w:tc>
        <w:tc>
          <w:tcPr>
            <w:tcW w:w="359" w:type="pct"/>
            <w:vMerge w:val="continue"/>
            <w:vAlign w:val="center"/>
          </w:tcPr>
          <w:p w14:paraId="6C96A2D6">
            <w:pPr>
              <w:pStyle w:val="476"/>
              <w:rPr>
                <w:color w:val="000000" w:themeColor="text1"/>
                <w14:textFill>
                  <w14:solidFill>
                    <w14:schemeClr w14:val="tx1"/>
                  </w14:solidFill>
                </w14:textFill>
              </w:rPr>
            </w:pPr>
          </w:p>
        </w:tc>
        <w:tc>
          <w:tcPr>
            <w:tcW w:w="786" w:type="pct"/>
            <w:shd w:val="clear" w:color="auto" w:fill="auto"/>
            <w:noWrap/>
            <w:vAlign w:val="center"/>
          </w:tcPr>
          <w:p w14:paraId="4E257828">
            <w:pPr>
              <w:pStyle w:val="476"/>
              <w:rPr>
                <w:color w:val="000000" w:themeColor="text1"/>
                <w14:textFill>
                  <w14:solidFill>
                    <w14:schemeClr w14:val="tx1"/>
                  </w14:solidFill>
                </w14:textFill>
              </w:rPr>
            </w:pPr>
            <w:r>
              <w:rPr>
                <w:color w:val="000000" w:themeColor="text1"/>
                <w14:textFill>
                  <w14:solidFill>
                    <w14:schemeClr w14:val="tx1"/>
                  </w14:solidFill>
                </w14:textFill>
              </w:rPr>
              <w:t>周边路面</w:t>
            </w:r>
          </w:p>
        </w:tc>
        <w:tc>
          <w:tcPr>
            <w:tcW w:w="3335" w:type="pct"/>
            <w:shd w:val="clear" w:color="auto" w:fill="auto"/>
            <w:vAlign w:val="center"/>
          </w:tcPr>
          <w:p w14:paraId="7A685CE2">
            <w:pPr>
              <w:pStyle w:val="476"/>
              <w:rPr>
                <w:color w:val="000000" w:themeColor="text1"/>
                <w14:textFill>
                  <w14:solidFill>
                    <w14:schemeClr w14:val="tx1"/>
                  </w14:solidFill>
                </w14:textFill>
              </w:rPr>
            </w:pPr>
            <w:r>
              <w:rPr>
                <w:color w:val="000000" w:themeColor="text1"/>
                <w14:textFill>
                  <w14:solidFill>
                    <w14:schemeClr w14:val="tx1"/>
                  </w14:solidFill>
                </w14:textFill>
              </w:rPr>
              <w:t>检查井周边路面、塌陷深度应＜3cm，裂缝应＜2cm；管位周边路面不应塌陷、裂缝无异常。</w:t>
            </w:r>
          </w:p>
        </w:tc>
        <w:tc>
          <w:tcPr>
            <w:tcW w:w="305" w:type="pct"/>
            <w:shd w:val="clear" w:color="auto" w:fill="auto"/>
            <w:noWrap/>
            <w:vAlign w:val="center"/>
          </w:tcPr>
          <w:p w14:paraId="5DE9E7DD">
            <w:pPr>
              <w:pStyle w:val="476"/>
              <w:rPr>
                <w:i/>
                <w:color w:val="000000" w:themeColor="text1"/>
                <w14:textFill>
                  <w14:solidFill>
                    <w14:schemeClr w14:val="tx1"/>
                  </w14:solidFill>
                </w14:textFill>
              </w:rPr>
            </w:pPr>
            <w:r>
              <w:rPr>
                <w:i/>
                <w:color w:val="000000" w:themeColor="text1"/>
                <w14:textFill>
                  <w14:solidFill>
                    <w14:schemeClr w14:val="tx1"/>
                  </w14:solidFill>
                </w14:textFill>
              </w:rPr>
              <w:t>5</w:t>
            </w:r>
          </w:p>
        </w:tc>
      </w:tr>
      <w:tr w14:paraId="2B7C3E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36E7A2B3">
            <w:pPr>
              <w:pStyle w:val="476"/>
              <w:rPr>
                <w:color w:val="000000" w:themeColor="text1"/>
                <w14:textFill>
                  <w14:solidFill>
                    <w14:schemeClr w14:val="tx1"/>
                  </w14:solidFill>
                </w14:textFill>
              </w:rPr>
            </w:pPr>
          </w:p>
        </w:tc>
        <w:tc>
          <w:tcPr>
            <w:tcW w:w="359" w:type="pct"/>
            <w:vMerge w:val="continue"/>
            <w:vAlign w:val="center"/>
          </w:tcPr>
          <w:p w14:paraId="05BCC950">
            <w:pPr>
              <w:pStyle w:val="476"/>
              <w:rPr>
                <w:color w:val="000000" w:themeColor="text1"/>
                <w14:textFill>
                  <w14:solidFill>
                    <w14:schemeClr w14:val="tx1"/>
                  </w14:solidFill>
                </w14:textFill>
              </w:rPr>
            </w:pPr>
          </w:p>
        </w:tc>
        <w:tc>
          <w:tcPr>
            <w:tcW w:w="786" w:type="pct"/>
            <w:shd w:val="clear" w:color="auto" w:fill="auto"/>
            <w:noWrap/>
            <w:vAlign w:val="center"/>
          </w:tcPr>
          <w:p w14:paraId="48B70E4C">
            <w:pPr>
              <w:pStyle w:val="476"/>
              <w:rPr>
                <w:color w:val="000000" w:themeColor="text1"/>
                <w14:textFill>
                  <w14:solidFill>
                    <w14:schemeClr w14:val="tx1"/>
                  </w14:solidFill>
                </w14:textFill>
              </w:rPr>
            </w:pPr>
            <w:r>
              <w:rPr>
                <w:color w:val="000000" w:themeColor="text1"/>
                <w14:textFill>
                  <w14:solidFill>
                    <w14:schemeClr w14:val="tx1"/>
                  </w14:solidFill>
                </w14:textFill>
              </w:rPr>
              <w:t>盖板沟</w:t>
            </w:r>
          </w:p>
        </w:tc>
        <w:tc>
          <w:tcPr>
            <w:tcW w:w="3335" w:type="pct"/>
            <w:shd w:val="clear" w:color="auto" w:fill="auto"/>
            <w:vAlign w:val="center"/>
          </w:tcPr>
          <w:p w14:paraId="14F99E64">
            <w:pPr>
              <w:pStyle w:val="476"/>
              <w:rPr>
                <w:color w:val="000000" w:themeColor="text1"/>
                <w14:textFill>
                  <w14:solidFill>
                    <w14:schemeClr w14:val="tx1"/>
                  </w14:solidFill>
                </w14:textFill>
              </w:rPr>
            </w:pPr>
            <w:r>
              <w:rPr>
                <w:color w:val="000000" w:themeColor="text1"/>
                <w14:textFill>
                  <w14:solidFill>
                    <w14:schemeClr w14:val="tx1"/>
                  </w14:solidFill>
                </w14:textFill>
              </w:rPr>
              <w:t>应保持墙体无倾斜、无裂缝、无空洞、无渗漏，盖板不翘动、无缺损、无断裂、不露筋、接缝紧密。</w:t>
            </w:r>
          </w:p>
        </w:tc>
        <w:tc>
          <w:tcPr>
            <w:tcW w:w="305" w:type="pct"/>
            <w:shd w:val="clear" w:color="auto" w:fill="auto"/>
            <w:noWrap/>
            <w:vAlign w:val="center"/>
          </w:tcPr>
          <w:p w14:paraId="3644FEF1">
            <w:pPr>
              <w:pStyle w:val="476"/>
              <w:rPr>
                <w:i/>
                <w:color w:val="000000" w:themeColor="text1"/>
                <w14:textFill>
                  <w14:solidFill>
                    <w14:schemeClr w14:val="tx1"/>
                  </w14:solidFill>
                </w14:textFill>
              </w:rPr>
            </w:pPr>
            <w:r>
              <w:rPr>
                <w:i/>
                <w:color w:val="000000" w:themeColor="text1"/>
                <w14:textFill>
                  <w14:solidFill>
                    <w14:schemeClr w14:val="tx1"/>
                  </w14:solidFill>
                </w14:textFill>
              </w:rPr>
              <w:t>5</w:t>
            </w:r>
          </w:p>
        </w:tc>
      </w:tr>
      <w:tr w14:paraId="319484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09D0EC91">
            <w:pPr>
              <w:pStyle w:val="476"/>
              <w:rPr>
                <w:color w:val="000000" w:themeColor="text1"/>
                <w14:textFill>
                  <w14:solidFill>
                    <w14:schemeClr w14:val="tx1"/>
                  </w14:solidFill>
                </w14:textFill>
              </w:rPr>
            </w:pPr>
          </w:p>
        </w:tc>
        <w:tc>
          <w:tcPr>
            <w:tcW w:w="359" w:type="pct"/>
            <w:vMerge w:val="continue"/>
            <w:vAlign w:val="center"/>
          </w:tcPr>
          <w:p w14:paraId="1EE16845">
            <w:pPr>
              <w:pStyle w:val="476"/>
              <w:rPr>
                <w:color w:val="000000" w:themeColor="text1"/>
                <w14:textFill>
                  <w14:solidFill>
                    <w14:schemeClr w14:val="tx1"/>
                  </w14:solidFill>
                </w14:textFill>
              </w:rPr>
            </w:pPr>
          </w:p>
        </w:tc>
        <w:tc>
          <w:tcPr>
            <w:tcW w:w="786" w:type="pct"/>
            <w:shd w:val="clear" w:color="auto" w:fill="auto"/>
            <w:noWrap/>
            <w:vAlign w:val="center"/>
          </w:tcPr>
          <w:p w14:paraId="34666D28">
            <w:pPr>
              <w:pStyle w:val="476"/>
              <w:rPr>
                <w:color w:val="000000" w:themeColor="text1"/>
                <w14:textFill>
                  <w14:solidFill>
                    <w14:schemeClr w14:val="tx1"/>
                  </w14:solidFill>
                </w14:textFill>
              </w:rPr>
            </w:pPr>
            <w:r>
              <w:rPr>
                <w:color w:val="000000" w:themeColor="text1"/>
                <w14:textFill>
                  <w14:solidFill>
                    <w14:schemeClr w14:val="tx1"/>
                  </w14:solidFill>
                </w14:textFill>
              </w:rPr>
              <w:t>截流、排放口</w:t>
            </w:r>
          </w:p>
        </w:tc>
        <w:tc>
          <w:tcPr>
            <w:tcW w:w="3335" w:type="pct"/>
            <w:shd w:val="clear" w:color="auto" w:fill="auto"/>
            <w:vAlign w:val="center"/>
          </w:tcPr>
          <w:p w14:paraId="0943B49C">
            <w:pPr>
              <w:pStyle w:val="476"/>
              <w:rPr>
                <w:color w:val="000000" w:themeColor="text1"/>
                <w14:textFill>
                  <w14:solidFill>
                    <w14:schemeClr w14:val="tx1"/>
                  </w14:solidFill>
                </w14:textFill>
              </w:rPr>
            </w:pPr>
            <w:r>
              <w:rPr>
                <w:color w:val="000000" w:themeColor="text1"/>
                <w14:textFill>
                  <w14:solidFill>
                    <w14:schemeClr w14:val="tx1"/>
                  </w14:solidFill>
                </w14:textFill>
              </w:rPr>
              <w:t>应定期巡视和维护，发现和制止在接放口附近堆物、搭逢、倾倒垃圾等情况，截流并不因截污管堵塞而造成污水外溢。</w:t>
            </w:r>
          </w:p>
        </w:tc>
        <w:tc>
          <w:tcPr>
            <w:tcW w:w="305" w:type="pct"/>
            <w:shd w:val="clear" w:color="auto" w:fill="auto"/>
            <w:noWrap/>
            <w:vAlign w:val="center"/>
          </w:tcPr>
          <w:p w14:paraId="487130BA">
            <w:pPr>
              <w:pStyle w:val="476"/>
              <w:rPr>
                <w:color w:val="000000" w:themeColor="text1"/>
                <w14:textFill>
                  <w14:solidFill>
                    <w14:schemeClr w14:val="tx1"/>
                  </w14:solidFill>
                </w14:textFill>
              </w:rPr>
            </w:pPr>
            <w:r>
              <w:rPr>
                <w:color w:val="000000" w:themeColor="text1"/>
                <w14:textFill>
                  <w14:solidFill>
                    <w14:schemeClr w14:val="tx1"/>
                  </w14:solidFill>
                </w14:textFill>
              </w:rPr>
              <w:t>10</w:t>
            </w:r>
          </w:p>
        </w:tc>
      </w:tr>
      <w:tr w14:paraId="5C1CDC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263AC29E">
            <w:pPr>
              <w:pStyle w:val="476"/>
              <w:rPr>
                <w:color w:val="000000" w:themeColor="text1"/>
                <w14:textFill>
                  <w14:solidFill>
                    <w14:schemeClr w14:val="tx1"/>
                  </w14:solidFill>
                </w14:textFill>
              </w:rPr>
            </w:pPr>
          </w:p>
        </w:tc>
        <w:tc>
          <w:tcPr>
            <w:tcW w:w="359" w:type="pct"/>
            <w:vMerge w:val="continue"/>
            <w:vAlign w:val="center"/>
          </w:tcPr>
          <w:p w14:paraId="50316D3C">
            <w:pPr>
              <w:pStyle w:val="476"/>
              <w:rPr>
                <w:color w:val="000000" w:themeColor="text1"/>
                <w14:textFill>
                  <w14:solidFill>
                    <w14:schemeClr w14:val="tx1"/>
                  </w14:solidFill>
                </w14:textFill>
              </w:rPr>
            </w:pPr>
          </w:p>
        </w:tc>
        <w:tc>
          <w:tcPr>
            <w:tcW w:w="786" w:type="pct"/>
            <w:shd w:val="clear" w:color="auto" w:fill="auto"/>
            <w:noWrap/>
            <w:vAlign w:val="center"/>
          </w:tcPr>
          <w:p w14:paraId="4B8523FF">
            <w:pPr>
              <w:pStyle w:val="476"/>
              <w:rPr>
                <w:color w:val="000000" w:themeColor="text1"/>
                <w14:textFill>
                  <w14:solidFill>
                    <w14:schemeClr w14:val="tx1"/>
                  </w14:solidFill>
                </w14:textFill>
              </w:rPr>
            </w:pPr>
            <w:r>
              <w:rPr>
                <w:color w:val="000000" w:themeColor="text1"/>
                <w14:textFill>
                  <w14:solidFill>
                    <w14:schemeClr w14:val="tx1"/>
                  </w14:solidFill>
                </w14:textFill>
              </w:rPr>
              <w:t>管道疏通、清捞</w:t>
            </w:r>
          </w:p>
        </w:tc>
        <w:tc>
          <w:tcPr>
            <w:tcW w:w="3335" w:type="pct"/>
            <w:shd w:val="clear" w:color="auto" w:fill="auto"/>
            <w:vAlign w:val="center"/>
          </w:tcPr>
          <w:p w14:paraId="56778E40">
            <w:pPr>
              <w:pStyle w:val="476"/>
              <w:rPr>
                <w:color w:val="000000" w:themeColor="text1"/>
                <w14:textFill>
                  <w14:solidFill>
                    <w14:schemeClr w14:val="tx1"/>
                  </w14:solidFill>
                </w14:textFill>
              </w:rPr>
            </w:pPr>
            <w:r>
              <w:rPr>
                <w:color w:val="000000" w:themeColor="text1"/>
                <w14:textFill>
                  <w14:solidFill>
                    <w14:schemeClr w14:val="tx1"/>
                  </w14:solidFill>
                </w14:textFill>
              </w:rPr>
              <w:t>检查并差无硬块厚泥，四璧清洁、无结垢、盖框不动摇、无缺角，冲水检验通畅，污泥不落地、落地要冲洗，硬头不随便乱扔。</w:t>
            </w:r>
          </w:p>
        </w:tc>
        <w:tc>
          <w:tcPr>
            <w:tcW w:w="305" w:type="pct"/>
            <w:shd w:val="clear" w:color="auto" w:fill="auto"/>
            <w:noWrap/>
            <w:vAlign w:val="center"/>
          </w:tcPr>
          <w:p w14:paraId="4D5A2A88">
            <w:pPr>
              <w:pStyle w:val="476"/>
              <w:rPr>
                <w:color w:val="000000" w:themeColor="text1"/>
                <w14:textFill>
                  <w14:solidFill>
                    <w14:schemeClr w14:val="tx1"/>
                  </w14:solidFill>
                </w14:textFill>
              </w:rPr>
            </w:pPr>
            <w:r>
              <w:rPr>
                <w:color w:val="000000" w:themeColor="text1"/>
                <w14:textFill>
                  <w14:solidFill>
                    <w14:schemeClr w14:val="tx1"/>
                  </w14:solidFill>
                </w14:textFill>
              </w:rPr>
              <w:t>15</w:t>
            </w:r>
          </w:p>
        </w:tc>
      </w:tr>
      <w:tr w14:paraId="4DC127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restart"/>
            <w:vAlign w:val="center"/>
          </w:tcPr>
          <w:p w14:paraId="2A3FFDEF">
            <w:pPr>
              <w:pStyle w:val="476"/>
              <w:rPr>
                <w:color w:val="000000" w:themeColor="text1"/>
                <w14:textFill>
                  <w14:solidFill>
                    <w14:schemeClr w14:val="tx1"/>
                  </w14:solidFill>
                </w14:textFill>
              </w:rPr>
            </w:pPr>
            <w:r>
              <w:rPr>
                <w:color w:val="000000" w:themeColor="text1"/>
                <w14:textFill>
                  <w14:solidFill>
                    <w14:schemeClr w14:val="tx1"/>
                  </w14:solidFill>
                </w14:textFill>
              </w:rPr>
              <w:t>2</w:t>
            </w:r>
          </w:p>
        </w:tc>
        <w:tc>
          <w:tcPr>
            <w:tcW w:w="359" w:type="pct"/>
            <w:vMerge w:val="restart"/>
            <w:vAlign w:val="center"/>
          </w:tcPr>
          <w:p w14:paraId="3DF6F80E">
            <w:pPr>
              <w:pStyle w:val="476"/>
              <w:rPr>
                <w:color w:val="000000" w:themeColor="text1"/>
                <w14:textFill>
                  <w14:solidFill>
                    <w14:schemeClr w14:val="tx1"/>
                  </w14:solidFill>
                </w14:textFill>
              </w:rPr>
            </w:pPr>
            <w:r>
              <w:rPr>
                <w:color w:val="000000" w:themeColor="text1"/>
                <w14:textFill>
                  <w14:solidFill>
                    <w14:schemeClr w14:val="tx1"/>
                  </w14:solidFill>
                </w14:textFill>
              </w:rPr>
              <w:t>其他运营维护</w:t>
            </w:r>
          </w:p>
          <w:p w14:paraId="77609E3F">
            <w:pPr>
              <w:pStyle w:val="476"/>
              <w:rPr>
                <w:color w:val="000000" w:themeColor="text1"/>
                <w14:textFill>
                  <w14:solidFill>
                    <w14:schemeClr w14:val="tx1"/>
                  </w14:solidFill>
                </w14:textFill>
              </w:rPr>
            </w:pPr>
            <w:r>
              <w:rPr>
                <w:color w:val="000000" w:themeColor="text1"/>
                <w14:textFill>
                  <w14:solidFill>
                    <w14:schemeClr w14:val="tx1"/>
                  </w14:solidFill>
                </w14:textFill>
              </w:rPr>
              <w:t>（40分）</w:t>
            </w:r>
          </w:p>
        </w:tc>
        <w:tc>
          <w:tcPr>
            <w:tcW w:w="786" w:type="pct"/>
            <w:shd w:val="clear" w:color="auto" w:fill="auto"/>
            <w:noWrap/>
            <w:vAlign w:val="center"/>
          </w:tcPr>
          <w:p w14:paraId="324B7D9E">
            <w:pPr>
              <w:pStyle w:val="476"/>
              <w:rPr>
                <w:color w:val="000000" w:themeColor="text1"/>
                <w14:textFill>
                  <w14:solidFill>
                    <w14:schemeClr w14:val="tx1"/>
                  </w14:solidFill>
                </w14:textFill>
              </w:rPr>
            </w:pPr>
            <w:r>
              <w:rPr>
                <w:color w:val="000000" w:themeColor="text1"/>
                <w14:textFill>
                  <w14:solidFill>
                    <w14:schemeClr w14:val="tx1"/>
                  </w14:solidFill>
                </w14:textFill>
              </w:rPr>
              <w:t>组织管理</w:t>
            </w:r>
          </w:p>
        </w:tc>
        <w:tc>
          <w:tcPr>
            <w:tcW w:w="3335" w:type="pct"/>
            <w:shd w:val="clear" w:color="auto" w:fill="auto"/>
            <w:vAlign w:val="center"/>
          </w:tcPr>
          <w:p w14:paraId="0B8F61AE">
            <w:pPr>
              <w:pStyle w:val="476"/>
              <w:rPr>
                <w:color w:val="000000" w:themeColor="text1"/>
                <w14:textFill>
                  <w14:solidFill>
                    <w14:schemeClr w14:val="tx1"/>
                  </w14:solidFill>
                </w14:textFill>
              </w:rPr>
            </w:pPr>
            <w:r>
              <w:rPr>
                <w:color w:val="000000" w:themeColor="text1"/>
                <w14:textFill>
                  <w14:solidFill>
                    <w14:schemeClr w14:val="tx1"/>
                  </w14:solidFill>
                </w14:textFill>
              </w:rPr>
              <w:t>从队伍逢设、巡查机械设备投入和标准化管菱方面综合打分。</w:t>
            </w:r>
          </w:p>
        </w:tc>
        <w:tc>
          <w:tcPr>
            <w:tcW w:w="305" w:type="pct"/>
            <w:shd w:val="clear" w:color="auto" w:fill="auto"/>
            <w:noWrap/>
            <w:vAlign w:val="center"/>
          </w:tcPr>
          <w:p w14:paraId="469B21B2">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r>
      <w:tr w14:paraId="414356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1E715032">
            <w:pPr>
              <w:pStyle w:val="476"/>
              <w:rPr>
                <w:color w:val="000000" w:themeColor="text1"/>
                <w14:textFill>
                  <w14:solidFill>
                    <w14:schemeClr w14:val="tx1"/>
                  </w14:solidFill>
                </w14:textFill>
              </w:rPr>
            </w:pPr>
          </w:p>
        </w:tc>
        <w:tc>
          <w:tcPr>
            <w:tcW w:w="359" w:type="pct"/>
            <w:vMerge w:val="continue"/>
            <w:vAlign w:val="center"/>
          </w:tcPr>
          <w:p w14:paraId="2AF8440E">
            <w:pPr>
              <w:pStyle w:val="476"/>
              <w:rPr>
                <w:color w:val="000000" w:themeColor="text1"/>
                <w14:textFill>
                  <w14:solidFill>
                    <w14:schemeClr w14:val="tx1"/>
                  </w14:solidFill>
                </w14:textFill>
              </w:rPr>
            </w:pPr>
          </w:p>
        </w:tc>
        <w:tc>
          <w:tcPr>
            <w:tcW w:w="786" w:type="pct"/>
            <w:shd w:val="clear" w:color="auto" w:fill="auto"/>
            <w:noWrap/>
            <w:vAlign w:val="center"/>
          </w:tcPr>
          <w:p w14:paraId="08B69087">
            <w:pPr>
              <w:pStyle w:val="476"/>
              <w:rPr>
                <w:color w:val="000000" w:themeColor="text1"/>
                <w14:textFill>
                  <w14:solidFill>
                    <w14:schemeClr w14:val="tx1"/>
                  </w14:solidFill>
                </w14:textFill>
              </w:rPr>
            </w:pPr>
            <w:r>
              <w:rPr>
                <w:color w:val="000000" w:themeColor="text1"/>
                <w14:textFill>
                  <w14:solidFill>
                    <w14:schemeClr w14:val="tx1"/>
                  </w14:solidFill>
                </w14:textFill>
              </w:rPr>
              <w:t>排污设施</w:t>
            </w:r>
          </w:p>
        </w:tc>
        <w:tc>
          <w:tcPr>
            <w:tcW w:w="3335" w:type="pct"/>
            <w:shd w:val="clear" w:color="auto" w:fill="auto"/>
            <w:vAlign w:val="center"/>
          </w:tcPr>
          <w:p w14:paraId="3E12ED8A">
            <w:pPr>
              <w:pStyle w:val="476"/>
              <w:rPr>
                <w:color w:val="000000" w:themeColor="text1"/>
                <w14:textFill>
                  <w14:solidFill>
                    <w14:schemeClr w14:val="tx1"/>
                  </w14:solidFill>
                </w14:textFill>
              </w:rPr>
            </w:pPr>
            <w:r>
              <w:rPr>
                <w:color w:val="000000" w:themeColor="text1"/>
                <w14:textFill>
                  <w14:solidFill>
                    <w14:schemeClr w14:val="tx1"/>
                  </w14:solidFill>
                </w14:textFill>
              </w:rPr>
              <w:t>排污设施应有完整，准确、清断的建设工程文件档案（包括工程准备阶毁文件、施工（监理）资料、工程竣工文件和竣工图）工程竣工验收后，污水管网维护、监理单位应对建设单位移交的建设工程文件按有关规定及时归档。</w:t>
            </w:r>
          </w:p>
        </w:tc>
        <w:tc>
          <w:tcPr>
            <w:tcW w:w="305" w:type="pct"/>
            <w:shd w:val="clear" w:color="auto" w:fill="auto"/>
            <w:noWrap/>
            <w:vAlign w:val="center"/>
          </w:tcPr>
          <w:p w14:paraId="06701B6F">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r>
      <w:tr w14:paraId="6FED41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45ECE62B">
            <w:pPr>
              <w:pStyle w:val="476"/>
              <w:rPr>
                <w:color w:val="000000" w:themeColor="text1"/>
                <w14:textFill>
                  <w14:solidFill>
                    <w14:schemeClr w14:val="tx1"/>
                  </w14:solidFill>
                </w14:textFill>
              </w:rPr>
            </w:pPr>
          </w:p>
        </w:tc>
        <w:tc>
          <w:tcPr>
            <w:tcW w:w="359" w:type="pct"/>
            <w:vMerge w:val="continue"/>
            <w:vAlign w:val="center"/>
          </w:tcPr>
          <w:p w14:paraId="007B1819">
            <w:pPr>
              <w:pStyle w:val="476"/>
              <w:rPr>
                <w:color w:val="000000" w:themeColor="text1"/>
                <w14:textFill>
                  <w14:solidFill>
                    <w14:schemeClr w14:val="tx1"/>
                  </w14:solidFill>
                </w14:textFill>
              </w:rPr>
            </w:pPr>
          </w:p>
        </w:tc>
        <w:tc>
          <w:tcPr>
            <w:tcW w:w="786" w:type="pct"/>
            <w:shd w:val="clear" w:color="auto" w:fill="auto"/>
            <w:noWrap/>
            <w:vAlign w:val="center"/>
          </w:tcPr>
          <w:p w14:paraId="0899D40A">
            <w:pPr>
              <w:pStyle w:val="476"/>
              <w:rPr>
                <w:color w:val="000000" w:themeColor="text1"/>
                <w14:textFill>
                  <w14:solidFill>
                    <w14:schemeClr w14:val="tx1"/>
                  </w14:solidFill>
                </w14:textFill>
              </w:rPr>
            </w:pPr>
            <w:r>
              <w:rPr>
                <w:color w:val="000000" w:themeColor="text1"/>
                <w14:textFill>
                  <w14:solidFill>
                    <w14:schemeClr w14:val="tx1"/>
                  </w14:solidFill>
                </w14:textFill>
              </w:rPr>
              <w:t>设施维护更新改造</w:t>
            </w:r>
          </w:p>
        </w:tc>
        <w:tc>
          <w:tcPr>
            <w:tcW w:w="3335" w:type="pct"/>
            <w:shd w:val="clear" w:color="auto" w:fill="auto"/>
            <w:vAlign w:val="center"/>
          </w:tcPr>
          <w:p w14:paraId="2D2D603A">
            <w:pPr>
              <w:pStyle w:val="476"/>
              <w:rPr>
                <w:color w:val="000000" w:themeColor="text1"/>
                <w14:textFill>
                  <w14:solidFill>
                    <w14:schemeClr w14:val="tx1"/>
                  </w14:solidFill>
                </w14:textFill>
              </w:rPr>
            </w:pPr>
            <w:r>
              <w:rPr>
                <w:color w:val="000000" w:themeColor="text1"/>
                <w14:textFill>
                  <w14:solidFill>
                    <w14:schemeClr w14:val="tx1"/>
                  </w14:solidFill>
                </w14:textFill>
              </w:rPr>
              <w:t>排污设施的维护资料应正确、及时、清晰，排污设施的更新、改造、补缺、配套的资料应及时归档保存，实行计算机管理的维护资料应有备份，对排水设施的突发事故或设施严重损坏情况必须及时做好记录，并应连同分析处理资料一起归档俣存。</w:t>
            </w:r>
          </w:p>
        </w:tc>
        <w:tc>
          <w:tcPr>
            <w:tcW w:w="305" w:type="pct"/>
            <w:shd w:val="clear" w:color="auto" w:fill="auto"/>
            <w:noWrap/>
            <w:vAlign w:val="center"/>
          </w:tcPr>
          <w:p w14:paraId="0B67B74F">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r>
      <w:tr w14:paraId="357A7F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3D59D5AF">
            <w:pPr>
              <w:pStyle w:val="476"/>
              <w:rPr>
                <w:color w:val="000000" w:themeColor="text1"/>
                <w14:textFill>
                  <w14:solidFill>
                    <w14:schemeClr w14:val="tx1"/>
                  </w14:solidFill>
                </w14:textFill>
              </w:rPr>
            </w:pPr>
          </w:p>
        </w:tc>
        <w:tc>
          <w:tcPr>
            <w:tcW w:w="359" w:type="pct"/>
            <w:vMerge w:val="continue"/>
            <w:vAlign w:val="center"/>
          </w:tcPr>
          <w:p w14:paraId="32089CB2">
            <w:pPr>
              <w:pStyle w:val="476"/>
              <w:rPr>
                <w:color w:val="000000" w:themeColor="text1"/>
                <w14:textFill>
                  <w14:solidFill>
                    <w14:schemeClr w14:val="tx1"/>
                  </w14:solidFill>
                </w14:textFill>
              </w:rPr>
            </w:pPr>
          </w:p>
        </w:tc>
        <w:tc>
          <w:tcPr>
            <w:tcW w:w="786" w:type="pct"/>
            <w:shd w:val="clear" w:color="auto" w:fill="auto"/>
            <w:noWrap/>
            <w:vAlign w:val="center"/>
          </w:tcPr>
          <w:p w14:paraId="1D0B0877">
            <w:pPr>
              <w:pStyle w:val="476"/>
              <w:rPr>
                <w:color w:val="000000" w:themeColor="text1"/>
                <w14:textFill>
                  <w14:solidFill>
                    <w14:schemeClr w14:val="tx1"/>
                  </w14:solidFill>
                </w14:textFill>
              </w:rPr>
            </w:pPr>
            <w:r>
              <w:rPr>
                <w:color w:val="000000" w:themeColor="text1"/>
                <w14:textFill>
                  <w14:solidFill>
                    <w14:schemeClr w14:val="tx1"/>
                  </w14:solidFill>
                </w14:textFill>
              </w:rPr>
              <w:t>泵站维护管理纪录</w:t>
            </w:r>
          </w:p>
        </w:tc>
        <w:tc>
          <w:tcPr>
            <w:tcW w:w="3335" w:type="pct"/>
            <w:shd w:val="clear" w:color="auto" w:fill="auto"/>
            <w:vAlign w:val="center"/>
          </w:tcPr>
          <w:p w14:paraId="648F8331">
            <w:pPr>
              <w:pStyle w:val="476"/>
              <w:rPr>
                <w:color w:val="000000" w:themeColor="text1"/>
                <w14:textFill>
                  <w14:solidFill>
                    <w14:schemeClr w14:val="tx1"/>
                  </w14:solidFill>
                </w14:textFill>
              </w:rPr>
            </w:pPr>
            <w:r>
              <w:rPr>
                <w:color w:val="000000" w:themeColor="text1"/>
                <w14:textFill>
                  <w14:solidFill>
                    <w14:schemeClr w14:val="tx1"/>
                  </w14:solidFill>
                </w14:textFill>
              </w:rPr>
              <w:t>泵站单位应建立、健全泵站和相关设施的档案制度，泵站工程档案，应包括工程逢设前期、竣工验收、更新改造等资料。泵站主管单位应编制排水泵站设施量统计年报、泵站运行技术经济指标线统计年报，污水泵站设施的维修资料应准确、及时归档，污水泵站突发事故或设施产至损坏的资料、处理结果应及时归档，泵站运行资料准确、规范、及时汇编成册。</w:t>
            </w:r>
          </w:p>
        </w:tc>
        <w:tc>
          <w:tcPr>
            <w:tcW w:w="305" w:type="pct"/>
            <w:shd w:val="clear" w:color="auto" w:fill="auto"/>
            <w:noWrap/>
            <w:vAlign w:val="center"/>
          </w:tcPr>
          <w:p w14:paraId="436D4E62">
            <w:pPr>
              <w:pStyle w:val="476"/>
              <w:rPr>
                <w:color w:val="000000" w:themeColor="text1"/>
                <w14:textFill>
                  <w14:solidFill>
                    <w14:schemeClr w14:val="tx1"/>
                  </w14:solidFill>
                </w14:textFill>
              </w:rPr>
            </w:pPr>
            <w:r>
              <w:rPr>
                <w:color w:val="000000" w:themeColor="text1"/>
                <w14:textFill>
                  <w14:solidFill>
                    <w14:schemeClr w14:val="tx1"/>
                  </w14:solidFill>
                </w14:textFill>
              </w:rPr>
              <w:t>10</w:t>
            </w:r>
          </w:p>
        </w:tc>
      </w:tr>
      <w:tr w14:paraId="130F3C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40B0C05E">
            <w:pPr>
              <w:pStyle w:val="476"/>
              <w:rPr>
                <w:color w:val="000000" w:themeColor="text1"/>
                <w14:textFill>
                  <w14:solidFill>
                    <w14:schemeClr w14:val="tx1"/>
                  </w14:solidFill>
                </w14:textFill>
              </w:rPr>
            </w:pPr>
          </w:p>
        </w:tc>
        <w:tc>
          <w:tcPr>
            <w:tcW w:w="359" w:type="pct"/>
            <w:vMerge w:val="continue"/>
            <w:vAlign w:val="center"/>
          </w:tcPr>
          <w:p w14:paraId="639B45F7">
            <w:pPr>
              <w:pStyle w:val="476"/>
              <w:rPr>
                <w:color w:val="000000" w:themeColor="text1"/>
                <w14:textFill>
                  <w14:solidFill>
                    <w14:schemeClr w14:val="tx1"/>
                  </w14:solidFill>
                </w14:textFill>
              </w:rPr>
            </w:pPr>
          </w:p>
        </w:tc>
        <w:tc>
          <w:tcPr>
            <w:tcW w:w="786" w:type="pct"/>
            <w:shd w:val="clear" w:color="auto" w:fill="auto"/>
            <w:noWrap/>
            <w:vAlign w:val="center"/>
          </w:tcPr>
          <w:p w14:paraId="19CAE2C0">
            <w:pPr>
              <w:pStyle w:val="476"/>
              <w:rPr>
                <w:color w:val="000000" w:themeColor="text1"/>
                <w14:textFill>
                  <w14:solidFill>
                    <w14:schemeClr w14:val="tx1"/>
                  </w14:solidFill>
                </w14:textFill>
              </w:rPr>
            </w:pPr>
            <w:r>
              <w:rPr>
                <w:color w:val="000000" w:themeColor="text1"/>
                <w14:textFill>
                  <w14:solidFill>
                    <w14:schemeClr w14:val="tx1"/>
                  </w14:solidFill>
                </w14:textFill>
              </w:rPr>
              <w:t>环境保护</w:t>
            </w:r>
          </w:p>
        </w:tc>
        <w:tc>
          <w:tcPr>
            <w:tcW w:w="3335" w:type="pct"/>
            <w:shd w:val="clear" w:color="auto" w:fill="auto"/>
            <w:vAlign w:val="center"/>
          </w:tcPr>
          <w:p w14:paraId="62B99258">
            <w:pPr>
              <w:pStyle w:val="476"/>
              <w:rPr>
                <w:color w:val="000000" w:themeColor="text1"/>
                <w14:textFill>
                  <w14:solidFill>
                    <w14:schemeClr w14:val="tx1"/>
                  </w14:solidFill>
                </w14:textFill>
              </w:rPr>
            </w:pPr>
            <w:r>
              <w:rPr>
                <w:color w:val="000000" w:themeColor="text1"/>
                <w14:textFill>
                  <w14:solidFill>
                    <w14:schemeClr w14:val="tx1"/>
                  </w14:solidFill>
                </w14:textFill>
              </w:rPr>
              <w:t>晴天（停雨3天后），截流井不因截污管堵塞而造成污水外泄。</w:t>
            </w:r>
          </w:p>
        </w:tc>
        <w:tc>
          <w:tcPr>
            <w:tcW w:w="305" w:type="pct"/>
            <w:shd w:val="clear" w:color="auto" w:fill="auto"/>
            <w:noWrap/>
            <w:vAlign w:val="center"/>
          </w:tcPr>
          <w:p w14:paraId="48162101">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r>
      <w:tr w14:paraId="630F52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4C83D60B">
            <w:pPr>
              <w:pStyle w:val="476"/>
              <w:rPr>
                <w:color w:val="000000" w:themeColor="text1"/>
                <w14:textFill>
                  <w14:solidFill>
                    <w14:schemeClr w14:val="tx1"/>
                  </w14:solidFill>
                </w14:textFill>
              </w:rPr>
            </w:pPr>
          </w:p>
        </w:tc>
        <w:tc>
          <w:tcPr>
            <w:tcW w:w="359" w:type="pct"/>
            <w:vMerge w:val="continue"/>
            <w:vAlign w:val="center"/>
          </w:tcPr>
          <w:p w14:paraId="76BA9D67">
            <w:pPr>
              <w:pStyle w:val="476"/>
              <w:rPr>
                <w:color w:val="000000" w:themeColor="text1"/>
                <w14:textFill>
                  <w14:solidFill>
                    <w14:schemeClr w14:val="tx1"/>
                  </w14:solidFill>
                </w14:textFill>
              </w:rPr>
            </w:pPr>
          </w:p>
        </w:tc>
        <w:tc>
          <w:tcPr>
            <w:tcW w:w="786" w:type="pct"/>
            <w:shd w:val="clear" w:color="auto" w:fill="auto"/>
            <w:noWrap/>
            <w:vAlign w:val="center"/>
          </w:tcPr>
          <w:p w14:paraId="4620D7B0">
            <w:pPr>
              <w:pStyle w:val="476"/>
              <w:rPr>
                <w:color w:val="000000" w:themeColor="text1"/>
                <w14:textFill>
                  <w14:solidFill>
                    <w14:schemeClr w14:val="tx1"/>
                  </w14:solidFill>
                </w14:textFill>
              </w:rPr>
            </w:pPr>
            <w:r>
              <w:rPr>
                <w:color w:val="000000" w:themeColor="text1"/>
                <w14:textFill>
                  <w14:solidFill>
                    <w14:schemeClr w14:val="tx1"/>
                  </w14:solidFill>
                </w14:textFill>
              </w:rPr>
              <w:t>承诺沟通</w:t>
            </w:r>
          </w:p>
        </w:tc>
        <w:tc>
          <w:tcPr>
            <w:tcW w:w="3335" w:type="pct"/>
            <w:shd w:val="clear" w:color="auto" w:fill="auto"/>
            <w:vAlign w:val="center"/>
          </w:tcPr>
          <w:p w14:paraId="1C3C1EA0">
            <w:pPr>
              <w:pStyle w:val="476"/>
              <w:rPr>
                <w:color w:val="000000" w:themeColor="text1"/>
                <w14:textFill>
                  <w14:solidFill>
                    <w14:schemeClr w14:val="tx1"/>
                  </w14:solidFill>
                </w14:textFill>
              </w:rPr>
            </w:pPr>
            <w:r>
              <w:rPr>
                <w:color w:val="000000" w:themeColor="text1"/>
                <w14:textFill>
                  <w14:solidFill>
                    <w14:schemeClr w14:val="tx1"/>
                  </w14:solidFill>
                </w14:textFill>
              </w:rPr>
              <w:t>污水管网维护、管护单位应向社会公布服务承诺，投诉电话和电子信箱，投诉渠道应保持24小时畅通。</w:t>
            </w:r>
          </w:p>
        </w:tc>
        <w:tc>
          <w:tcPr>
            <w:tcW w:w="305" w:type="pct"/>
            <w:shd w:val="clear" w:color="auto" w:fill="auto"/>
            <w:noWrap/>
            <w:vAlign w:val="center"/>
          </w:tcPr>
          <w:p w14:paraId="00B8A515">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r>
      <w:tr w14:paraId="097032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454" w:hRule="atLeast"/>
        </w:trPr>
        <w:tc>
          <w:tcPr>
            <w:tcW w:w="215" w:type="pct"/>
            <w:vMerge w:val="continue"/>
            <w:vAlign w:val="center"/>
          </w:tcPr>
          <w:p w14:paraId="448AA00B">
            <w:pPr>
              <w:pStyle w:val="476"/>
              <w:rPr>
                <w:color w:val="000000" w:themeColor="text1"/>
                <w14:textFill>
                  <w14:solidFill>
                    <w14:schemeClr w14:val="tx1"/>
                  </w14:solidFill>
                </w14:textFill>
              </w:rPr>
            </w:pPr>
          </w:p>
        </w:tc>
        <w:tc>
          <w:tcPr>
            <w:tcW w:w="359" w:type="pct"/>
            <w:vMerge w:val="continue"/>
            <w:vAlign w:val="center"/>
          </w:tcPr>
          <w:p w14:paraId="21436096">
            <w:pPr>
              <w:pStyle w:val="476"/>
              <w:rPr>
                <w:color w:val="000000" w:themeColor="text1"/>
                <w14:textFill>
                  <w14:solidFill>
                    <w14:schemeClr w14:val="tx1"/>
                  </w14:solidFill>
                </w14:textFill>
              </w:rPr>
            </w:pPr>
          </w:p>
        </w:tc>
        <w:tc>
          <w:tcPr>
            <w:tcW w:w="786" w:type="pct"/>
            <w:shd w:val="clear" w:color="auto" w:fill="auto"/>
            <w:noWrap/>
            <w:vAlign w:val="center"/>
          </w:tcPr>
          <w:p w14:paraId="77F0922E">
            <w:pPr>
              <w:pStyle w:val="476"/>
              <w:rPr>
                <w:color w:val="000000" w:themeColor="text1"/>
                <w14:textFill>
                  <w14:solidFill>
                    <w14:schemeClr w14:val="tx1"/>
                  </w14:solidFill>
                </w14:textFill>
              </w:rPr>
            </w:pPr>
            <w:r>
              <w:rPr>
                <w:color w:val="000000" w:themeColor="text1"/>
                <w14:textFill>
                  <w14:solidFill>
                    <w14:schemeClr w14:val="tx1"/>
                  </w14:solidFill>
                </w14:textFill>
              </w:rPr>
              <w:t>社会影响</w:t>
            </w:r>
          </w:p>
        </w:tc>
        <w:tc>
          <w:tcPr>
            <w:tcW w:w="3335" w:type="pct"/>
            <w:shd w:val="clear" w:color="auto" w:fill="auto"/>
            <w:vAlign w:val="center"/>
          </w:tcPr>
          <w:p w14:paraId="6521D683">
            <w:pPr>
              <w:pStyle w:val="476"/>
              <w:rPr>
                <w:color w:val="000000" w:themeColor="text1"/>
                <w14:textFill>
                  <w14:solidFill>
                    <w14:schemeClr w14:val="tx1"/>
                  </w14:solidFill>
                </w14:textFill>
              </w:rPr>
            </w:pPr>
            <w:r>
              <w:rPr>
                <w:color w:val="000000" w:themeColor="text1"/>
                <w14:textFill>
                  <w14:solidFill>
                    <w14:schemeClr w14:val="tx1"/>
                  </w14:solidFill>
                </w14:textFill>
              </w:rPr>
              <w:t>每年被政府部门行政处罚、补社会有效行政投诉或公众媒体有效负面接道次数应少于3次。</w:t>
            </w:r>
          </w:p>
        </w:tc>
        <w:tc>
          <w:tcPr>
            <w:tcW w:w="305" w:type="pct"/>
            <w:shd w:val="clear" w:color="auto" w:fill="auto"/>
            <w:noWrap/>
            <w:vAlign w:val="center"/>
          </w:tcPr>
          <w:p w14:paraId="2BC062A0">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r>
    </w:tbl>
    <w:p w14:paraId="1984929C">
      <w:pPr>
        <w:pStyle w:val="52"/>
        <w:ind w:firstLine="0" w:firstLineChars="0"/>
        <w:rPr>
          <w:color w:val="000000" w:themeColor="text1"/>
          <w:lang w:val="zh-CN"/>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2A2E699C">
      <w:pPr>
        <w:pStyle w:val="442"/>
        <w:rPr>
          <w:color w:val="000000" w:themeColor="text1"/>
          <w14:textFill>
            <w14:solidFill>
              <w14:schemeClr w14:val="tx1"/>
            </w14:solidFill>
          </w14:textFill>
        </w:rPr>
      </w:pPr>
      <w:r>
        <w:rPr>
          <w:color w:val="000000" w:themeColor="text1"/>
          <w14:textFill>
            <w14:solidFill>
              <w14:schemeClr w14:val="tx1"/>
            </w14:solidFill>
          </w14:textFill>
        </w:rPr>
        <w:t>表7.3-2污水处理设施运维考核</w:t>
      </w:r>
    </w:p>
    <w:tbl>
      <w:tblPr>
        <w:tblStyle w:val="55"/>
        <w:tblW w:w="5000" w:type="pct"/>
        <w:tblInd w:w="0" w:type="dxa"/>
        <w:tblLayout w:type="autofit"/>
        <w:tblCellMar>
          <w:top w:w="0" w:type="dxa"/>
          <w:left w:w="108" w:type="dxa"/>
          <w:bottom w:w="0" w:type="dxa"/>
          <w:right w:w="108" w:type="dxa"/>
        </w:tblCellMar>
      </w:tblPr>
      <w:tblGrid>
        <w:gridCol w:w="638"/>
        <w:gridCol w:w="1535"/>
        <w:gridCol w:w="1266"/>
        <w:gridCol w:w="4773"/>
        <w:gridCol w:w="4459"/>
        <w:gridCol w:w="981"/>
      </w:tblGrid>
      <w:tr w14:paraId="57B38012">
        <w:tblPrEx>
          <w:tblCellMar>
            <w:top w:w="0" w:type="dxa"/>
            <w:left w:w="108" w:type="dxa"/>
            <w:bottom w:w="0" w:type="dxa"/>
            <w:right w:w="108" w:type="dxa"/>
          </w:tblCellMar>
        </w:tblPrEx>
        <w:trPr>
          <w:trHeight w:val="454" w:hRule="atLeast"/>
          <w:tblHeader/>
        </w:trPr>
        <w:tc>
          <w:tcPr>
            <w:tcW w:w="201"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49D0F3EB">
            <w:pPr>
              <w:pStyle w:val="476"/>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017" w:type="pct"/>
            <w:gridSpan w:val="2"/>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0F7F3294">
            <w:pPr>
              <w:pStyle w:val="476"/>
              <w:rPr>
                <w:b/>
                <w:color w:val="000000" w:themeColor="text1"/>
                <w14:textFill>
                  <w14:solidFill>
                    <w14:schemeClr w14:val="tx1"/>
                  </w14:solidFill>
                </w14:textFill>
              </w:rPr>
            </w:pPr>
            <w:r>
              <w:rPr>
                <w:b/>
                <w:color w:val="000000" w:themeColor="text1"/>
                <w14:textFill>
                  <w14:solidFill>
                    <w14:schemeClr w14:val="tx1"/>
                  </w14:solidFill>
                </w14:textFill>
              </w:rPr>
              <w:t>内容</w:t>
            </w:r>
          </w:p>
        </w:tc>
        <w:tc>
          <w:tcPr>
            <w:tcW w:w="3409" w:type="pct"/>
            <w:gridSpan w:val="2"/>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69418B9A">
            <w:pPr>
              <w:pStyle w:val="476"/>
              <w:rPr>
                <w:b/>
                <w:color w:val="000000" w:themeColor="text1"/>
                <w14:textFill>
                  <w14:solidFill>
                    <w14:schemeClr w14:val="tx1"/>
                  </w14:solidFill>
                </w14:textFill>
              </w:rPr>
            </w:pPr>
            <w:r>
              <w:rPr>
                <w:b/>
                <w:color w:val="000000" w:themeColor="text1"/>
                <w14:textFill>
                  <w14:solidFill>
                    <w14:schemeClr w14:val="tx1"/>
                  </w14:solidFill>
                </w14:textFill>
              </w:rPr>
              <w:t>考核标准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7E259852">
            <w:pPr>
              <w:pStyle w:val="476"/>
              <w:rPr>
                <w:b/>
                <w:color w:val="000000" w:themeColor="text1"/>
                <w14:textFill>
                  <w14:solidFill>
                    <w14:schemeClr w14:val="tx1"/>
                  </w14:solidFill>
                </w14:textFill>
              </w:rPr>
            </w:pPr>
            <w:r>
              <w:rPr>
                <w:b/>
                <w:color w:val="000000" w:themeColor="text1"/>
                <w14:textFill>
                  <w14:solidFill>
                    <w14:schemeClr w14:val="tx1"/>
                  </w14:solidFill>
                </w14:textFill>
              </w:rPr>
              <w:t>满分</w:t>
            </w:r>
          </w:p>
        </w:tc>
      </w:tr>
      <w:tr w14:paraId="0A2406AA">
        <w:tblPrEx>
          <w:tblCellMar>
            <w:top w:w="0" w:type="dxa"/>
            <w:left w:w="108" w:type="dxa"/>
            <w:bottom w:w="0" w:type="dxa"/>
            <w:right w:w="108" w:type="dxa"/>
          </w:tblCellMar>
        </w:tblPrEx>
        <w:trPr>
          <w:trHeight w:val="454" w:hRule="atLeast"/>
        </w:trPr>
        <w:tc>
          <w:tcPr>
            <w:tcW w:w="201"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05321A4E">
            <w:pPr>
              <w:pStyle w:val="476"/>
              <w:rPr>
                <w:color w:val="000000" w:themeColor="text1"/>
                <w14:textFill>
                  <w14:solidFill>
                    <w14:schemeClr w14:val="tx1"/>
                  </w14:solidFill>
                </w14:textFill>
              </w:rPr>
            </w:pPr>
            <w:r>
              <w:rPr>
                <w:color w:val="000000" w:themeColor="text1"/>
                <w14:textFill>
                  <w14:solidFill>
                    <w14:schemeClr w14:val="tx1"/>
                  </w14:solidFill>
                </w14:textFill>
              </w:rPr>
              <w:t>1</w:t>
            </w:r>
          </w:p>
        </w:tc>
        <w:tc>
          <w:tcPr>
            <w:tcW w:w="576"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55A1B923">
            <w:pPr>
              <w:pStyle w:val="476"/>
              <w:rPr>
                <w:color w:val="000000" w:themeColor="text1"/>
                <w14:textFill>
                  <w14:solidFill>
                    <w14:schemeClr w14:val="tx1"/>
                  </w14:solidFill>
                </w14:textFill>
              </w:rPr>
            </w:pPr>
            <w:r>
              <w:rPr>
                <w:color w:val="000000" w:themeColor="text1"/>
                <w14:textFill>
                  <w14:solidFill>
                    <w14:schemeClr w14:val="tx1"/>
                  </w14:solidFill>
                </w14:textFill>
              </w:rPr>
              <w:t>污水处理质量</w:t>
            </w:r>
          </w:p>
        </w:tc>
        <w:tc>
          <w:tcPr>
            <w:tcW w:w="441"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7EE612E9">
            <w:pPr>
              <w:pStyle w:val="476"/>
              <w:rPr>
                <w:color w:val="000000" w:themeColor="text1"/>
                <w14:textFill>
                  <w14:solidFill>
                    <w14:schemeClr w14:val="tx1"/>
                  </w14:solidFill>
                </w14:textFill>
              </w:rPr>
            </w:pPr>
            <w:r>
              <w:rPr>
                <w:color w:val="000000" w:themeColor="text1"/>
                <w14:textFill>
                  <w14:solidFill>
                    <w14:schemeClr w14:val="tx1"/>
                  </w14:solidFill>
                </w14:textFill>
              </w:rPr>
              <w:t>污水收集率</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655BFC59">
            <w:pPr>
              <w:pStyle w:val="476"/>
              <w:rPr>
                <w:color w:val="000000" w:themeColor="text1"/>
                <w14:textFill>
                  <w14:solidFill>
                    <w14:schemeClr w14:val="tx1"/>
                  </w14:solidFill>
                </w14:textFill>
              </w:rPr>
            </w:pPr>
            <w:r>
              <w:rPr>
                <w:color w:val="000000" w:themeColor="text1"/>
                <w14:textFill>
                  <w14:solidFill>
                    <w14:schemeClr w14:val="tx1"/>
                  </w14:solidFill>
                </w14:textFill>
              </w:rPr>
              <w:t>逢议管网接户档案.新建污水处理设施服务区范范内不少于90%污水被收集处理。</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bottom"/>
          </w:tcPr>
          <w:p w14:paraId="24D8FB6E">
            <w:pPr>
              <w:pStyle w:val="476"/>
              <w:rPr>
                <w:color w:val="000000" w:themeColor="text1"/>
                <w14:textFill>
                  <w14:solidFill>
                    <w14:schemeClr w14:val="tx1"/>
                  </w14:solidFill>
                </w14:textFill>
              </w:rPr>
            </w:pPr>
            <w:r>
              <w:rPr>
                <w:color w:val="000000" w:themeColor="text1"/>
                <w14:textFill>
                  <w14:solidFill>
                    <w14:schemeClr w14:val="tx1"/>
                  </w14:solidFill>
                </w14:textFill>
              </w:rPr>
              <w:t>若污水收集处理率90%以上时，不扣分；若污水收集处理率90%以下时：得分=15X（污水收集率/90%，其中污水收集率=实际污水处理量，设计污水处理量。</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56036933">
            <w:pPr>
              <w:pStyle w:val="476"/>
              <w:rPr>
                <w:color w:val="000000" w:themeColor="text1"/>
                <w14:textFill>
                  <w14:solidFill>
                    <w14:schemeClr w14:val="tx1"/>
                  </w14:solidFill>
                </w14:textFill>
              </w:rPr>
            </w:pPr>
            <w:r>
              <w:rPr>
                <w:color w:val="000000" w:themeColor="text1"/>
                <w14:textFill>
                  <w14:solidFill>
                    <w14:schemeClr w14:val="tx1"/>
                  </w14:solidFill>
                </w14:textFill>
              </w:rPr>
              <w:t>15</w:t>
            </w:r>
          </w:p>
        </w:tc>
      </w:tr>
      <w:tr w14:paraId="7F6746D6">
        <w:tblPrEx>
          <w:tblCellMar>
            <w:top w:w="0" w:type="dxa"/>
            <w:left w:w="108" w:type="dxa"/>
            <w:bottom w:w="0" w:type="dxa"/>
            <w:right w:w="108" w:type="dxa"/>
          </w:tblCellMar>
        </w:tblPrEx>
        <w:trPr>
          <w:trHeight w:val="454" w:hRule="atLeast"/>
        </w:trPr>
        <w:tc>
          <w:tcPr>
            <w:tcW w:w="201" w:type="pct"/>
            <w:vMerge w:val="restar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7EBDC2A4">
            <w:pPr>
              <w:pStyle w:val="476"/>
              <w:rPr>
                <w:color w:val="000000" w:themeColor="text1"/>
                <w14:textFill>
                  <w14:solidFill>
                    <w14:schemeClr w14:val="tx1"/>
                  </w14:solidFill>
                </w14:textFill>
              </w:rPr>
            </w:pPr>
            <w:r>
              <w:rPr>
                <w:color w:val="000000" w:themeColor="text1"/>
                <w14:textFill>
                  <w14:solidFill>
                    <w14:schemeClr w14:val="tx1"/>
                  </w14:solidFill>
                </w14:textFill>
              </w:rPr>
              <w:t>2</w:t>
            </w:r>
          </w:p>
        </w:tc>
        <w:tc>
          <w:tcPr>
            <w:tcW w:w="576" w:type="pct"/>
            <w:vMerge w:val="restar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0C1FB687">
            <w:pPr>
              <w:pStyle w:val="476"/>
              <w:rPr>
                <w:color w:val="000000" w:themeColor="text1"/>
                <w14:textFill>
                  <w14:solidFill>
                    <w14:schemeClr w14:val="tx1"/>
                  </w14:solidFill>
                </w14:textFill>
              </w:rPr>
            </w:pPr>
            <w:r>
              <w:rPr>
                <w:color w:val="000000" w:themeColor="text1"/>
                <w14:textFill>
                  <w14:solidFill>
                    <w14:schemeClr w14:val="tx1"/>
                  </w14:solidFill>
                </w14:textFill>
              </w:rPr>
              <w:t>污水预处理设施</w:t>
            </w:r>
          </w:p>
        </w:tc>
        <w:tc>
          <w:tcPr>
            <w:tcW w:w="441"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3F4C5D10">
            <w:pPr>
              <w:pStyle w:val="476"/>
              <w:rPr>
                <w:color w:val="000000" w:themeColor="text1"/>
                <w14:textFill>
                  <w14:solidFill>
                    <w14:schemeClr w14:val="tx1"/>
                  </w14:solidFill>
                </w14:textFill>
              </w:rPr>
            </w:pPr>
            <w:r>
              <w:rPr>
                <w:color w:val="000000" w:themeColor="text1"/>
                <w14:textFill>
                  <w14:solidFill>
                    <w14:schemeClr w14:val="tx1"/>
                  </w14:solidFill>
                </w14:textFill>
              </w:rPr>
              <w:t>格栅</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tcPr>
          <w:p w14:paraId="150B9682">
            <w:pPr>
              <w:pStyle w:val="476"/>
              <w:rPr>
                <w:color w:val="000000" w:themeColor="text1"/>
                <w14:textFill>
                  <w14:solidFill>
                    <w14:schemeClr w14:val="tx1"/>
                  </w14:solidFill>
                </w14:textFill>
              </w:rPr>
            </w:pPr>
            <w:r>
              <w:rPr>
                <w:color w:val="000000" w:themeColor="text1"/>
                <w14:textFill>
                  <w14:solidFill>
                    <w14:schemeClr w14:val="tx1"/>
                  </w14:solidFill>
                </w14:textFill>
              </w:rPr>
              <w:t>定期检查格栅池，清理垃圾，更换或改造已损坏或不规范的格栅，防止垃圾送入泵井和厌氧池，损坏设施。</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tcPr>
          <w:p w14:paraId="397E6E32">
            <w:pPr>
              <w:pStyle w:val="476"/>
              <w:rPr>
                <w:color w:val="000000" w:themeColor="text1"/>
                <w14:textFill>
                  <w14:solidFill>
                    <w14:schemeClr w14:val="tx1"/>
                  </w14:solidFill>
                </w14:textFill>
              </w:rPr>
            </w:pPr>
            <w:r>
              <w:rPr>
                <w:color w:val="000000" w:themeColor="text1"/>
                <w14:textFill>
                  <w14:solidFill>
                    <w14:schemeClr w14:val="tx1"/>
                  </w14:solidFill>
                </w14:textFill>
              </w:rPr>
              <w:t>格栅池未设置络栅、格栅失效（被淹没、安装方错误）、栅距过大（超过25mm），未清理垃圾的，发现1项扣2分。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5A7EB4E6">
            <w:pPr>
              <w:pStyle w:val="476"/>
              <w:rPr>
                <w:color w:val="000000" w:themeColor="text1"/>
                <w14:textFill>
                  <w14:solidFill>
                    <w14:schemeClr w14:val="tx1"/>
                  </w14:solidFill>
                </w14:textFill>
              </w:rPr>
            </w:pPr>
            <w:r>
              <w:rPr>
                <w:color w:val="000000" w:themeColor="text1"/>
                <w14:textFill>
                  <w14:solidFill>
                    <w14:schemeClr w14:val="tx1"/>
                  </w14:solidFill>
                </w14:textFill>
              </w:rPr>
              <w:t>10</w:t>
            </w:r>
          </w:p>
        </w:tc>
      </w:tr>
      <w:tr w14:paraId="4D857A79">
        <w:tblPrEx>
          <w:tblCellMar>
            <w:top w:w="0" w:type="dxa"/>
            <w:left w:w="108" w:type="dxa"/>
            <w:bottom w:w="0" w:type="dxa"/>
            <w:right w:w="108" w:type="dxa"/>
          </w:tblCellMar>
        </w:tblPrEx>
        <w:trPr>
          <w:trHeight w:val="454" w:hRule="atLeast"/>
        </w:trPr>
        <w:tc>
          <w:tcPr>
            <w:tcW w:w="201" w:type="pct"/>
            <w:vMerge w:val="continue"/>
            <w:tcBorders>
              <w:top w:val="single" w:color="000000" w:sz="8" w:space="0"/>
              <w:left w:val="single" w:color="000000" w:sz="8" w:space="0"/>
              <w:bottom w:val="single" w:color="000000" w:sz="8" w:space="0"/>
              <w:right w:val="single" w:color="000000" w:sz="8" w:space="0"/>
            </w:tcBorders>
            <w:tcMar>
              <w:top w:w="57" w:type="dxa"/>
              <w:bottom w:w="57" w:type="dxa"/>
            </w:tcMar>
            <w:vAlign w:val="center"/>
          </w:tcPr>
          <w:p w14:paraId="19BE86C4">
            <w:pPr>
              <w:pStyle w:val="476"/>
              <w:rPr>
                <w:color w:val="000000" w:themeColor="text1"/>
                <w14:textFill>
                  <w14:solidFill>
                    <w14:schemeClr w14:val="tx1"/>
                  </w14:solidFill>
                </w14:textFill>
              </w:rPr>
            </w:pPr>
          </w:p>
        </w:tc>
        <w:tc>
          <w:tcPr>
            <w:tcW w:w="576" w:type="pct"/>
            <w:vMerge w:val="continue"/>
            <w:tcBorders>
              <w:top w:val="single" w:color="000000" w:sz="8" w:space="0"/>
              <w:left w:val="single" w:color="000000" w:sz="8" w:space="0"/>
              <w:bottom w:val="single" w:color="000000" w:sz="8" w:space="0"/>
              <w:right w:val="single" w:color="000000" w:sz="8" w:space="0"/>
            </w:tcBorders>
            <w:tcMar>
              <w:top w:w="57" w:type="dxa"/>
              <w:bottom w:w="57" w:type="dxa"/>
            </w:tcMar>
            <w:vAlign w:val="center"/>
          </w:tcPr>
          <w:p w14:paraId="65441C01">
            <w:pPr>
              <w:pStyle w:val="476"/>
              <w:rPr>
                <w:color w:val="000000" w:themeColor="text1"/>
                <w14:textFill>
                  <w14:solidFill>
                    <w14:schemeClr w14:val="tx1"/>
                  </w14:solidFill>
                </w14:textFill>
              </w:rPr>
            </w:pPr>
          </w:p>
        </w:tc>
        <w:tc>
          <w:tcPr>
            <w:tcW w:w="441"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0B886CCB">
            <w:pPr>
              <w:pStyle w:val="476"/>
              <w:rPr>
                <w:color w:val="000000" w:themeColor="text1"/>
                <w14:textFill>
                  <w14:solidFill>
                    <w14:schemeClr w14:val="tx1"/>
                  </w14:solidFill>
                </w14:textFill>
              </w:rPr>
            </w:pPr>
            <w:r>
              <w:rPr>
                <w:color w:val="000000" w:themeColor="text1"/>
                <w14:textFill>
                  <w14:solidFill>
                    <w14:schemeClr w14:val="tx1"/>
                  </w14:solidFill>
                </w14:textFill>
              </w:rPr>
              <w:t>集水井</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038623D0">
            <w:pPr>
              <w:pStyle w:val="476"/>
              <w:rPr>
                <w:color w:val="000000" w:themeColor="text1"/>
                <w14:textFill>
                  <w14:solidFill>
                    <w14:schemeClr w14:val="tx1"/>
                  </w14:solidFill>
                </w14:textFill>
              </w:rPr>
            </w:pPr>
            <w:r>
              <w:rPr>
                <w:color w:val="000000" w:themeColor="text1"/>
                <w14:textFill>
                  <w14:solidFill>
                    <w14:schemeClr w14:val="tx1"/>
                  </w14:solidFill>
                </w14:textFill>
              </w:rPr>
              <w:t>定期清理，防止泥沙淤积影响设施正常运作：</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249C02AA">
            <w:pPr>
              <w:pStyle w:val="476"/>
              <w:rPr>
                <w:color w:val="000000" w:themeColor="text1"/>
                <w14:textFill>
                  <w14:solidFill>
                    <w14:schemeClr w14:val="tx1"/>
                  </w14:solidFill>
                </w14:textFill>
              </w:rPr>
            </w:pPr>
            <w:r>
              <w:rPr>
                <w:color w:val="000000" w:themeColor="text1"/>
                <w14:textFill>
                  <w14:solidFill>
                    <w14:schemeClr w14:val="tx1"/>
                  </w14:solidFill>
                </w14:textFill>
              </w:rPr>
              <w:t>井内有明显淤积、有垃圾或悬浮物未定期清理，发现1项扣2分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0E668046">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r>
      <w:tr w14:paraId="1215E8A4">
        <w:tblPrEx>
          <w:tblCellMar>
            <w:top w:w="0" w:type="dxa"/>
            <w:left w:w="108" w:type="dxa"/>
            <w:bottom w:w="0" w:type="dxa"/>
            <w:right w:w="108" w:type="dxa"/>
          </w:tblCellMar>
        </w:tblPrEx>
        <w:trPr>
          <w:trHeight w:val="454" w:hRule="atLeast"/>
        </w:trPr>
        <w:tc>
          <w:tcPr>
            <w:tcW w:w="201" w:type="pct"/>
            <w:vMerge w:val="continue"/>
            <w:tcBorders>
              <w:top w:val="single" w:color="000000" w:sz="8" w:space="0"/>
              <w:left w:val="single" w:color="000000" w:sz="8" w:space="0"/>
              <w:bottom w:val="single" w:color="000000" w:sz="8" w:space="0"/>
              <w:right w:val="single" w:color="000000" w:sz="8" w:space="0"/>
            </w:tcBorders>
            <w:tcMar>
              <w:top w:w="57" w:type="dxa"/>
              <w:bottom w:w="57" w:type="dxa"/>
            </w:tcMar>
            <w:vAlign w:val="center"/>
          </w:tcPr>
          <w:p w14:paraId="27121B45">
            <w:pPr>
              <w:pStyle w:val="476"/>
              <w:rPr>
                <w:color w:val="000000" w:themeColor="text1"/>
                <w14:textFill>
                  <w14:solidFill>
                    <w14:schemeClr w14:val="tx1"/>
                  </w14:solidFill>
                </w14:textFill>
              </w:rPr>
            </w:pPr>
          </w:p>
        </w:tc>
        <w:tc>
          <w:tcPr>
            <w:tcW w:w="576" w:type="pct"/>
            <w:vMerge w:val="continue"/>
            <w:tcBorders>
              <w:top w:val="single" w:color="000000" w:sz="8" w:space="0"/>
              <w:left w:val="single" w:color="000000" w:sz="8" w:space="0"/>
              <w:bottom w:val="single" w:color="000000" w:sz="8" w:space="0"/>
              <w:right w:val="single" w:color="000000" w:sz="8" w:space="0"/>
            </w:tcBorders>
            <w:tcMar>
              <w:top w:w="57" w:type="dxa"/>
              <w:bottom w:w="57" w:type="dxa"/>
            </w:tcMar>
            <w:vAlign w:val="center"/>
          </w:tcPr>
          <w:p w14:paraId="081B239A">
            <w:pPr>
              <w:pStyle w:val="476"/>
              <w:rPr>
                <w:color w:val="000000" w:themeColor="text1"/>
                <w14:textFill>
                  <w14:solidFill>
                    <w14:schemeClr w14:val="tx1"/>
                  </w14:solidFill>
                </w14:textFill>
              </w:rPr>
            </w:pPr>
          </w:p>
        </w:tc>
        <w:tc>
          <w:tcPr>
            <w:tcW w:w="441"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6B11BC6A">
            <w:pPr>
              <w:pStyle w:val="476"/>
              <w:rPr>
                <w:color w:val="000000" w:themeColor="text1"/>
                <w14:textFill>
                  <w14:solidFill>
                    <w14:schemeClr w14:val="tx1"/>
                  </w14:solidFill>
                </w14:textFill>
              </w:rPr>
            </w:pPr>
            <w:r>
              <w:rPr>
                <w:color w:val="000000" w:themeColor="text1"/>
                <w14:textFill>
                  <w14:solidFill>
                    <w14:schemeClr w14:val="tx1"/>
                  </w14:solidFill>
                </w14:textFill>
              </w:rPr>
              <w:t>厌氧水解池</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3C939E56">
            <w:pPr>
              <w:pStyle w:val="476"/>
              <w:rPr>
                <w:color w:val="000000" w:themeColor="text1"/>
                <w14:textFill>
                  <w14:solidFill>
                    <w14:schemeClr w14:val="tx1"/>
                  </w14:solidFill>
                </w14:textFill>
              </w:rPr>
            </w:pPr>
            <w:r>
              <w:rPr>
                <w:color w:val="000000" w:themeColor="text1"/>
                <w14:textFill>
                  <w14:solidFill>
                    <w14:schemeClr w14:val="tx1"/>
                  </w14:solidFill>
                </w14:textFill>
              </w:rPr>
              <w:t>每年清理一次以上，防止污泥淤积；定期检查维修厌氧池填料。</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tcPr>
          <w:p w14:paraId="73E2E516">
            <w:pPr>
              <w:pStyle w:val="476"/>
              <w:rPr>
                <w:color w:val="000000" w:themeColor="text1"/>
                <w14:textFill>
                  <w14:solidFill>
                    <w14:schemeClr w14:val="tx1"/>
                  </w14:solidFill>
                </w14:textFill>
              </w:rPr>
            </w:pPr>
            <w:r>
              <w:rPr>
                <w:color w:val="000000" w:themeColor="text1"/>
                <w14:textFill>
                  <w14:solidFill>
                    <w14:schemeClr w14:val="tx1"/>
                  </w14:solidFill>
                </w14:textFill>
              </w:rPr>
              <w:t>（1）池内有明显淤积、有垃圾或漂浮物未定期清理，扣2分；（2）未及时维修填料和框架、未按要求更换填料的，扣2分；（3）通风设施（通气口或检查口）失效的，扣1分。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1811086B">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r>
      <w:tr w14:paraId="297F3C8A">
        <w:tblPrEx>
          <w:tblCellMar>
            <w:top w:w="0" w:type="dxa"/>
            <w:left w:w="108" w:type="dxa"/>
            <w:bottom w:w="0" w:type="dxa"/>
            <w:right w:w="108" w:type="dxa"/>
          </w:tblCellMar>
        </w:tblPrEx>
        <w:trPr>
          <w:trHeight w:val="454" w:hRule="atLeast"/>
        </w:trPr>
        <w:tc>
          <w:tcPr>
            <w:tcW w:w="201"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75435416">
            <w:pPr>
              <w:pStyle w:val="476"/>
              <w:rPr>
                <w:color w:val="000000" w:themeColor="text1"/>
                <w14:textFill>
                  <w14:solidFill>
                    <w14:schemeClr w14:val="tx1"/>
                  </w14:solidFill>
                </w14:textFill>
              </w:rPr>
            </w:pPr>
            <w:r>
              <w:rPr>
                <w:color w:val="000000" w:themeColor="text1"/>
                <w14:textFill>
                  <w14:solidFill>
                    <w14:schemeClr w14:val="tx1"/>
                  </w14:solidFill>
                </w14:textFill>
              </w:rPr>
              <w:t>3</w:t>
            </w:r>
          </w:p>
        </w:tc>
        <w:tc>
          <w:tcPr>
            <w:tcW w:w="576"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6D25D546">
            <w:pPr>
              <w:pStyle w:val="476"/>
              <w:rPr>
                <w:color w:val="000000" w:themeColor="text1"/>
                <w14:textFill>
                  <w14:solidFill>
                    <w14:schemeClr w14:val="tx1"/>
                  </w14:solidFill>
                </w14:textFill>
              </w:rPr>
            </w:pPr>
            <w:r>
              <w:rPr>
                <w:color w:val="000000" w:themeColor="text1"/>
                <w14:textFill>
                  <w14:solidFill>
                    <w14:schemeClr w14:val="tx1"/>
                  </w14:solidFill>
                </w14:textFill>
              </w:rPr>
              <w:t>设备运行和维护</w:t>
            </w:r>
          </w:p>
        </w:tc>
        <w:tc>
          <w:tcPr>
            <w:tcW w:w="441"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7C8B0F56">
            <w:pPr>
              <w:pStyle w:val="476"/>
              <w:rPr>
                <w:color w:val="000000" w:themeColor="text1"/>
                <w14:textFill>
                  <w14:solidFill>
                    <w14:schemeClr w14:val="tx1"/>
                  </w14:solidFill>
                </w14:textFill>
              </w:rPr>
            </w:pPr>
            <w:r>
              <w:rPr>
                <w:color w:val="000000" w:themeColor="text1"/>
                <w14:textFill>
                  <w14:solidFill>
                    <w14:schemeClr w14:val="tx1"/>
                  </w14:solidFill>
                </w14:textFill>
              </w:rPr>
              <w:t>水泵、鼓风系统等机电设备</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tcPr>
          <w:p w14:paraId="4BD5C60D">
            <w:pPr>
              <w:pStyle w:val="476"/>
              <w:rPr>
                <w:color w:val="000000" w:themeColor="text1"/>
                <w14:textFill>
                  <w14:solidFill>
                    <w14:schemeClr w14:val="tx1"/>
                  </w14:solidFill>
                </w14:textFill>
              </w:rPr>
            </w:pPr>
            <w:r>
              <w:rPr>
                <w:color w:val="000000" w:themeColor="text1"/>
                <w14:textFill>
                  <w14:solidFill>
                    <w14:schemeClr w14:val="tx1"/>
                  </w14:solidFill>
                </w14:textFill>
              </w:rPr>
              <w:t>定期检查、保养，运行和维护.应产格按照厂家提供的操作规程执行，及时更换零配件等。</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tcPr>
          <w:p w14:paraId="6998A467">
            <w:pPr>
              <w:pStyle w:val="476"/>
              <w:rPr>
                <w:color w:val="000000" w:themeColor="text1"/>
                <w14:textFill>
                  <w14:solidFill>
                    <w14:schemeClr w14:val="tx1"/>
                  </w14:solidFill>
                </w14:textFill>
              </w:rPr>
            </w:pPr>
            <w:r>
              <w:rPr>
                <w:color w:val="000000" w:themeColor="text1"/>
                <w14:textFill>
                  <w14:solidFill>
                    <w14:schemeClr w14:val="tx1"/>
                  </w14:solidFill>
                </w14:textFill>
              </w:rPr>
              <w:t>（1）水泵、鼓风机及其附属没备缺失、被盗的，扣5分；&lt;2）水泵、鼓风机运行异常；控制回路设置不合理的，扣5分。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3CC4C4C9">
            <w:pPr>
              <w:pStyle w:val="476"/>
              <w:rPr>
                <w:color w:val="000000" w:themeColor="text1"/>
                <w14:textFill>
                  <w14:solidFill>
                    <w14:schemeClr w14:val="tx1"/>
                  </w14:solidFill>
                </w14:textFill>
              </w:rPr>
            </w:pPr>
            <w:r>
              <w:rPr>
                <w:color w:val="000000" w:themeColor="text1"/>
                <w14:textFill>
                  <w14:solidFill>
                    <w14:schemeClr w14:val="tx1"/>
                  </w14:solidFill>
                </w14:textFill>
              </w:rPr>
              <w:t>10</w:t>
            </w:r>
          </w:p>
        </w:tc>
      </w:tr>
      <w:tr w14:paraId="2B1CFA2E">
        <w:tblPrEx>
          <w:tblCellMar>
            <w:top w:w="0" w:type="dxa"/>
            <w:left w:w="108" w:type="dxa"/>
            <w:bottom w:w="0" w:type="dxa"/>
            <w:right w:w="108" w:type="dxa"/>
          </w:tblCellMar>
        </w:tblPrEx>
        <w:trPr>
          <w:trHeight w:val="454" w:hRule="atLeast"/>
        </w:trPr>
        <w:tc>
          <w:tcPr>
            <w:tcW w:w="201" w:type="pct"/>
            <w:vMerge w:val="restart"/>
            <w:tcBorders>
              <w:top w:val="single" w:color="000000" w:sz="8" w:space="0"/>
              <w:left w:val="single" w:color="000000" w:sz="8" w:space="0"/>
              <w:right w:val="single" w:color="000000" w:sz="8" w:space="0"/>
            </w:tcBorders>
            <w:shd w:val="clear" w:color="auto" w:fill="auto"/>
            <w:noWrap/>
            <w:tcMar>
              <w:top w:w="57" w:type="dxa"/>
              <w:bottom w:w="57" w:type="dxa"/>
            </w:tcMar>
            <w:vAlign w:val="center"/>
          </w:tcPr>
          <w:p w14:paraId="2F880587">
            <w:pPr>
              <w:pStyle w:val="476"/>
              <w:rPr>
                <w:color w:val="000000" w:themeColor="text1"/>
                <w14:textFill>
                  <w14:solidFill>
                    <w14:schemeClr w14:val="tx1"/>
                  </w14:solidFill>
                </w14:textFill>
              </w:rPr>
            </w:pPr>
            <w:r>
              <w:rPr>
                <w:color w:val="000000" w:themeColor="text1"/>
                <w14:textFill>
                  <w14:solidFill>
                    <w14:schemeClr w14:val="tx1"/>
                  </w14:solidFill>
                </w14:textFill>
              </w:rPr>
              <w:t>4</w:t>
            </w:r>
          </w:p>
        </w:tc>
        <w:tc>
          <w:tcPr>
            <w:tcW w:w="576" w:type="pct"/>
            <w:vMerge w:val="restart"/>
            <w:tcBorders>
              <w:top w:val="single" w:color="000000" w:sz="8" w:space="0"/>
              <w:left w:val="single" w:color="000000" w:sz="8" w:space="0"/>
              <w:right w:val="single" w:color="000000" w:sz="8" w:space="0"/>
            </w:tcBorders>
            <w:shd w:val="clear" w:color="auto" w:fill="auto"/>
            <w:tcMar>
              <w:top w:w="57" w:type="dxa"/>
              <w:bottom w:w="57" w:type="dxa"/>
            </w:tcMar>
            <w:vAlign w:val="center"/>
          </w:tcPr>
          <w:p w14:paraId="707A7572">
            <w:pPr>
              <w:pStyle w:val="476"/>
              <w:rPr>
                <w:color w:val="000000" w:themeColor="text1"/>
                <w14:textFill>
                  <w14:solidFill>
                    <w14:schemeClr w14:val="tx1"/>
                  </w14:solidFill>
                </w14:textFill>
              </w:rPr>
            </w:pPr>
            <w:r>
              <w:rPr>
                <w:color w:val="000000" w:themeColor="text1"/>
                <w14:textFill>
                  <w14:solidFill>
                    <w14:schemeClr w14:val="tx1"/>
                  </w14:solidFill>
                </w14:textFill>
              </w:rPr>
              <w:t>污泥运输与处置</w:t>
            </w:r>
          </w:p>
        </w:tc>
        <w:tc>
          <w:tcPr>
            <w:tcW w:w="441"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7F1923AE">
            <w:pPr>
              <w:pStyle w:val="476"/>
              <w:rPr>
                <w:color w:val="000000" w:themeColor="text1"/>
                <w14:textFill>
                  <w14:solidFill>
                    <w14:schemeClr w14:val="tx1"/>
                  </w14:solidFill>
                </w14:textFill>
              </w:rPr>
            </w:pPr>
            <w:r>
              <w:rPr>
                <w:color w:val="000000" w:themeColor="text1"/>
                <w14:textFill>
                  <w14:solidFill>
                    <w14:schemeClr w14:val="tx1"/>
                  </w14:solidFill>
                </w14:textFill>
              </w:rPr>
              <w:t>运输</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266B2FFA">
            <w:pPr>
              <w:pStyle w:val="476"/>
              <w:rPr>
                <w:color w:val="000000" w:themeColor="text1"/>
                <w14:textFill>
                  <w14:solidFill>
                    <w14:schemeClr w14:val="tx1"/>
                  </w14:solidFill>
                </w14:textFill>
              </w:rPr>
            </w:pPr>
            <w:r>
              <w:rPr>
                <w:color w:val="000000" w:themeColor="text1"/>
                <w14:textFill>
                  <w14:solidFill>
                    <w14:schemeClr w14:val="tx1"/>
                  </w14:solidFill>
                </w14:textFill>
              </w:rPr>
              <w:t>污泥运输车辆应加盖，并定期清洗，保持清洁，在运输过程中污泥不落地，沿途不洒落。</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bottom"/>
          </w:tcPr>
          <w:p w14:paraId="61B035A2">
            <w:pPr>
              <w:pStyle w:val="476"/>
              <w:rPr>
                <w:color w:val="000000" w:themeColor="text1"/>
                <w14:textFill>
                  <w14:solidFill>
                    <w14:schemeClr w14:val="tx1"/>
                  </w14:solidFill>
                </w14:textFill>
              </w:rPr>
            </w:pPr>
            <w:r>
              <w:rPr>
                <w:color w:val="000000" w:themeColor="text1"/>
                <w14:textFill>
                  <w14:solidFill>
                    <w14:schemeClr w14:val="tx1"/>
                  </w14:solidFill>
                </w14:textFill>
              </w:rPr>
              <w:t>污泥运输车辆无盖扣1分；车辆未清洗扣1分:污泥运输洒落1处扣1分。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673B3459">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r>
      <w:tr w14:paraId="5EAA3A1B">
        <w:tblPrEx>
          <w:tblCellMar>
            <w:top w:w="0" w:type="dxa"/>
            <w:left w:w="108" w:type="dxa"/>
            <w:bottom w:w="0" w:type="dxa"/>
            <w:right w:w="108" w:type="dxa"/>
          </w:tblCellMar>
        </w:tblPrEx>
        <w:trPr>
          <w:trHeight w:val="454" w:hRule="atLeast"/>
        </w:trPr>
        <w:tc>
          <w:tcPr>
            <w:tcW w:w="201" w:type="pct"/>
            <w:vMerge w:val="continue"/>
            <w:tcBorders>
              <w:left w:val="single" w:color="000000" w:sz="8" w:space="0"/>
              <w:right w:val="single" w:color="000000" w:sz="8" w:space="0"/>
            </w:tcBorders>
            <w:shd w:val="clear" w:color="auto" w:fill="auto"/>
            <w:noWrap/>
            <w:tcMar>
              <w:top w:w="57" w:type="dxa"/>
              <w:bottom w:w="57" w:type="dxa"/>
            </w:tcMar>
            <w:vAlign w:val="center"/>
          </w:tcPr>
          <w:p w14:paraId="7B9F6A75">
            <w:pPr>
              <w:pStyle w:val="476"/>
              <w:rPr>
                <w:color w:val="000000" w:themeColor="text1"/>
                <w14:textFill>
                  <w14:solidFill>
                    <w14:schemeClr w14:val="tx1"/>
                  </w14:solidFill>
                </w14:textFill>
              </w:rPr>
            </w:pPr>
          </w:p>
        </w:tc>
        <w:tc>
          <w:tcPr>
            <w:tcW w:w="576" w:type="pct"/>
            <w:vMerge w:val="continue"/>
            <w:tcBorders>
              <w:left w:val="single" w:color="000000" w:sz="8" w:space="0"/>
              <w:right w:val="single" w:color="000000" w:sz="8" w:space="0"/>
            </w:tcBorders>
            <w:shd w:val="clear" w:color="auto" w:fill="auto"/>
            <w:tcMar>
              <w:top w:w="57" w:type="dxa"/>
              <w:bottom w:w="57" w:type="dxa"/>
            </w:tcMar>
            <w:vAlign w:val="center"/>
          </w:tcPr>
          <w:p w14:paraId="0F72F7BC">
            <w:pPr>
              <w:pStyle w:val="476"/>
              <w:rPr>
                <w:color w:val="000000" w:themeColor="text1"/>
                <w14:textFill>
                  <w14:solidFill>
                    <w14:schemeClr w14:val="tx1"/>
                  </w14:solidFill>
                </w14:textFill>
              </w:rPr>
            </w:pPr>
          </w:p>
        </w:tc>
        <w:tc>
          <w:tcPr>
            <w:tcW w:w="441"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36AB6C85">
            <w:pPr>
              <w:pStyle w:val="476"/>
              <w:rPr>
                <w:color w:val="000000" w:themeColor="text1"/>
                <w14:textFill>
                  <w14:solidFill>
                    <w14:schemeClr w14:val="tx1"/>
                  </w14:solidFill>
                </w14:textFill>
              </w:rPr>
            </w:pPr>
            <w:r>
              <w:rPr>
                <w:color w:val="000000" w:themeColor="text1"/>
                <w14:textFill>
                  <w14:solidFill>
                    <w14:schemeClr w14:val="tx1"/>
                  </w14:solidFill>
                </w14:textFill>
              </w:rPr>
              <w:t>安全</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746EB9B0">
            <w:pPr>
              <w:pStyle w:val="476"/>
              <w:rPr>
                <w:color w:val="000000" w:themeColor="text1"/>
                <w14:textFill>
                  <w14:solidFill>
                    <w14:schemeClr w14:val="tx1"/>
                  </w14:solidFill>
                </w14:textFill>
              </w:rPr>
            </w:pPr>
            <w:r>
              <w:rPr>
                <w:color w:val="000000" w:themeColor="text1"/>
                <w14:textFill>
                  <w14:solidFill>
                    <w14:schemeClr w14:val="tx1"/>
                  </w14:solidFill>
                </w14:textFill>
              </w:rPr>
              <w:t>污泥盛器和车辆在街道上停放应设置安全标志，夜间应悬挂警示灯。</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169B7947">
            <w:pPr>
              <w:pStyle w:val="476"/>
              <w:rPr>
                <w:color w:val="000000" w:themeColor="text1"/>
                <w14:textFill>
                  <w14:solidFill>
                    <w14:schemeClr w14:val="tx1"/>
                  </w14:solidFill>
                </w14:textFill>
              </w:rPr>
            </w:pPr>
            <w:r>
              <w:rPr>
                <w:color w:val="000000" w:themeColor="text1"/>
                <w14:textFill>
                  <w14:solidFill>
                    <w14:schemeClr w14:val="tx1"/>
                  </w14:solidFill>
                </w14:textFill>
              </w:rPr>
              <w:t>无配套作业安全标志、警示灯每项扣1分。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44632DA9">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r>
      <w:tr w14:paraId="76EBDA57">
        <w:tblPrEx>
          <w:tblCellMar>
            <w:top w:w="0" w:type="dxa"/>
            <w:left w:w="108" w:type="dxa"/>
            <w:bottom w:w="0" w:type="dxa"/>
            <w:right w:w="108" w:type="dxa"/>
          </w:tblCellMar>
        </w:tblPrEx>
        <w:trPr>
          <w:trHeight w:val="454" w:hRule="atLeast"/>
        </w:trPr>
        <w:tc>
          <w:tcPr>
            <w:tcW w:w="201" w:type="pct"/>
            <w:vMerge w:val="continue"/>
            <w:tcBorders>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67A1F391">
            <w:pPr>
              <w:pStyle w:val="476"/>
              <w:rPr>
                <w:color w:val="000000" w:themeColor="text1"/>
                <w14:textFill>
                  <w14:solidFill>
                    <w14:schemeClr w14:val="tx1"/>
                  </w14:solidFill>
                </w14:textFill>
              </w:rPr>
            </w:pPr>
          </w:p>
        </w:tc>
        <w:tc>
          <w:tcPr>
            <w:tcW w:w="576" w:type="pct"/>
            <w:vMerge w:val="continue"/>
            <w:tcBorders>
              <w:left w:val="single" w:color="000000" w:sz="8" w:space="0"/>
              <w:bottom w:val="single" w:color="000000" w:sz="8" w:space="0"/>
              <w:right w:val="single" w:color="000000" w:sz="8" w:space="0"/>
            </w:tcBorders>
            <w:shd w:val="clear" w:color="auto" w:fill="auto"/>
            <w:tcMar>
              <w:top w:w="57" w:type="dxa"/>
              <w:bottom w:w="57" w:type="dxa"/>
            </w:tcMar>
            <w:vAlign w:val="center"/>
          </w:tcPr>
          <w:p w14:paraId="583871FE">
            <w:pPr>
              <w:pStyle w:val="476"/>
              <w:rPr>
                <w:color w:val="000000" w:themeColor="text1"/>
                <w14:textFill>
                  <w14:solidFill>
                    <w14:schemeClr w14:val="tx1"/>
                  </w14:solidFill>
                </w14:textFill>
              </w:rPr>
            </w:pPr>
          </w:p>
        </w:tc>
        <w:tc>
          <w:tcPr>
            <w:tcW w:w="441"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376A7BD1">
            <w:pPr>
              <w:pStyle w:val="476"/>
              <w:rPr>
                <w:color w:val="000000" w:themeColor="text1"/>
                <w14:textFill>
                  <w14:solidFill>
                    <w14:schemeClr w14:val="tx1"/>
                  </w14:solidFill>
                </w14:textFill>
              </w:rPr>
            </w:pPr>
            <w:r>
              <w:rPr>
                <w:color w:val="000000" w:themeColor="text1"/>
                <w14:textFill>
                  <w14:solidFill>
                    <w14:schemeClr w14:val="tx1"/>
                  </w14:solidFill>
                </w14:textFill>
              </w:rPr>
              <w:t>污泥处置</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tcPr>
          <w:p w14:paraId="35C9EB04">
            <w:pPr>
              <w:pStyle w:val="476"/>
              <w:rPr>
                <w:color w:val="000000" w:themeColor="text1"/>
                <w14:textFill>
                  <w14:solidFill>
                    <w14:schemeClr w14:val="tx1"/>
                  </w14:solidFill>
                </w14:textFill>
              </w:rPr>
            </w:pPr>
            <w:r>
              <w:rPr>
                <w:color w:val="000000" w:themeColor="text1"/>
                <w14:textFill>
                  <w14:solidFill>
                    <w14:schemeClr w14:val="tx1"/>
                  </w14:solidFill>
                </w14:textFill>
              </w:rPr>
              <w:t>污泥处置可采用自然干化、堆肥，也可送入市政系统与市玫污泥一并处理，但不得对环流造成污染。</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6AFF7109">
            <w:pPr>
              <w:pStyle w:val="476"/>
              <w:rPr>
                <w:color w:val="000000" w:themeColor="text1"/>
                <w14:textFill>
                  <w14:solidFill>
                    <w14:schemeClr w14:val="tx1"/>
                  </w14:solidFill>
                </w14:textFill>
              </w:rPr>
            </w:pPr>
            <w:r>
              <w:rPr>
                <w:color w:val="000000" w:themeColor="text1"/>
                <w14:textFill>
                  <w14:solidFill>
                    <w14:schemeClr w14:val="tx1"/>
                  </w14:solidFill>
                </w14:textFill>
              </w:rPr>
              <w:t>污泥未得到妥者处置发现1次扣5分。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6ECB3CFF">
            <w:pPr>
              <w:pStyle w:val="476"/>
              <w:rPr>
                <w:color w:val="000000" w:themeColor="text1"/>
                <w14:textFill>
                  <w14:solidFill>
                    <w14:schemeClr w14:val="tx1"/>
                  </w14:solidFill>
                </w14:textFill>
              </w:rPr>
            </w:pPr>
            <w:r>
              <w:rPr>
                <w:color w:val="000000" w:themeColor="text1"/>
                <w14:textFill>
                  <w14:solidFill>
                    <w14:schemeClr w14:val="tx1"/>
                  </w14:solidFill>
                </w14:textFill>
              </w:rPr>
              <w:t>10</w:t>
            </w:r>
          </w:p>
        </w:tc>
      </w:tr>
      <w:tr w14:paraId="280BC585">
        <w:tblPrEx>
          <w:tblCellMar>
            <w:top w:w="0" w:type="dxa"/>
            <w:left w:w="108" w:type="dxa"/>
            <w:bottom w:w="0" w:type="dxa"/>
            <w:right w:w="108" w:type="dxa"/>
          </w:tblCellMar>
        </w:tblPrEx>
        <w:trPr>
          <w:trHeight w:val="454" w:hRule="atLeast"/>
        </w:trPr>
        <w:tc>
          <w:tcPr>
            <w:tcW w:w="201"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0411C785">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c>
          <w:tcPr>
            <w:tcW w:w="576"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721CBFF1">
            <w:pPr>
              <w:pStyle w:val="476"/>
              <w:rPr>
                <w:color w:val="000000" w:themeColor="text1"/>
                <w14:textFill>
                  <w14:solidFill>
                    <w14:schemeClr w14:val="tx1"/>
                  </w14:solidFill>
                </w14:textFill>
              </w:rPr>
            </w:pPr>
            <w:r>
              <w:rPr>
                <w:color w:val="000000" w:themeColor="text1"/>
                <w14:textFill>
                  <w14:solidFill>
                    <w14:schemeClr w14:val="tx1"/>
                  </w14:solidFill>
                </w14:textFill>
              </w:rPr>
              <w:t>安全管理</w:t>
            </w:r>
          </w:p>
        </w:tc>
        <w:tc>
          <w:tcPr>
            <w:tcW w:w="441"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3518D339">
            <w:pPr>
              <w:pStyle w:val="476"/>
              <w:rPr>
                <w:color w:val="000000" w:themeColor="text1"/>
                <w14:textFill>
                  <w14:solidFill>
                    <w14:schemeClr w14:val="tx1"/>
                  </w14:solidFill>
                </w14:textFill>
              </w:rPr>
            </w:pPr>
            <w:r>
              <w:rPr>
                <w:color w:val="000000" w:themeColor="text1"/>
                <w14:textFill>
                  <w14:solidFill>
                    <w14:schemeClr w14:val="tx1"/>
                  </w14:solidFill>
                </w14:textFill>
              </w:rPr>
              <w:t>安全管理措施</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587FFD6B">
            <w:pPr>
              <w:pStyle w:val="476"/>
              <w:rPr>
                <w:color w:val="000000" w:themeColor="text1"/>
                <w14:textFill>
                  <w14:solidFill>
                    <w14:schemeClr w14:val="tx1"/>
                  </w14:solidFill>
                </w14:textFill>
              </w:rPr>
            </w:pPr>
            <w:r>
              <w:rPr>
                <w:color w:val="000000" w:themeColor="text1"/>
                <w14:textFill>
                  <w14:solidFill>
                    <w14:schemeClr w14:val="tx1"/>
                  </w14:solidFill>
                </w14:textFill>
              </w:rPr>
              <w:t>设施是否设置了相关的安全维护设掩以及分隔维护措施,各种附件等要保持清洁完好，金属构件无明显锈性。</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3F6B3BE1">
            <w:pPr>
              <w:pStyle w:val="476"/>
              <w:rPr>
                <w:color w:val="000000" w:themeColor="text1"/>
                <w14:textFill>
                  <w14:solidFill>
                    <w14:schemeClr w14:val="tx1"/>
                  </w14:solidFill>
                </w14:textFill>
              </w:rPr>
            </w:pPr>
            <w:r>
              <w:rPr>
                <w:color w:val="000000" w:themeColor="text1"/>
                <w14:textFill>
                  <w14:solidFill>
                    <w14:schemeClr w14:val="tx1"/>
                  </w14:solidFill>
                </w14:textFill>
              </w:rPr>
              <w:t>（1）现场未设置安全警示标志的，扣1分；（2）构筑物及附件有明显破损、裂缝的；金属构件有明显锈蚀影响安全使用的，扣2分；（3）必须敞露的设施未设置符合安全要求的格网、栏杆等的，扣1分；（4）供配宅设施有缺损；机电设施配电不符合规范，影响安全用电的，扣1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19EFF7DA">
            <w:pPr>
              <w:pStyle w:val="476"/>
              <w:rPr>
                <w:color w:val="000000" w:themeColor="text1"/>
                <w14:textFill>
                  <w14:solidFill>
                    <w14:schemeClr w14:val="tx1"/>
                  </w14:solidFill>
                </w14:textFill>
              </w:rPr>
            </w:pPr>
            <w:r>
              <w:rPr>
                <w:color w:val="000000" w:themeColor="text1"/>
                <w14:textFill>
                  <w14:solidFill>
                    <w14:schemeClr w14:val="tx1"/>
                  </w14:solidFill>
                </w14:textFill>
              </w:rPr>
              <w:t>10</w:t>
            </w:r>
          </w:p>
        </w:tc>
      </w:tr>
      <w:tr w14:paraId="34B0916D">
        <w:tblPrEx>
          <w:tblCellMar>
            <w:top w:w="0" w:type="dxa"/>
            <w:left w:w="108" w:type="dxa"/>
            <w:bottom w:w="0" w:type="dxa"/>
            <w:right w:w="108" w:type="dxa"/>
          </w:tblCellMar>
        </w:tblPrEx>
        <w:trPr>
          <w:trHeight w:val="454" w:hRule="atLeast"/>
        </w:trPr>
        <w:tc>
          <w:tcPr>
            <w:tcW w:w="201"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5E6D8B33">
            <w:pPr>
              <w:pStyle w:val="476"/>
              <w:rPr>
                <w:color w:val="000000" w:themeColor="text1"/>
                <w14:textFill>
                  <w14:solidFill>
                    <w14:schemeClr w14:val="tx1"/>
                  </w14:solidFill>
                </w14:textFill>
              </w:rPr>
            </w:pPr>
            <w:r>
              <w:rPr>
                <w:color w:val="000000" w:themeColor="text1"/>
                <w14:textFill>
                  <w14:solidFill>
                    <w14:schemeClr w14:val="tx1"/>
                  </w14:solidFill>
                </w14:textFill>
              </w:rPr>
              <w:t>6</w:t>
            </w:r>
          </w:p>
        </w:tc>
        <w:tc>
          <w:tcPr>
            <w:tcW w:w="576"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7002425F">
            <w:pPr>
              <w:pStyle w:val="476"/>
              <w:rPr>
                <w:color w:val="000000" w:themeColor="text1"/>
                <w14:textFill>
                  <w14:solidFill>
                    <w14:schemeClr w14:val="tx1"/>
                  </w14:solidFill>
                </w14:textFill>
              </w:rPr>
            </w:pPr>
            <w:r>
              <w:rPr>
                <w:color w:val="000000" w:themeColor="text1"/>
                <w14:textFill>
                  <w14:solidFill>
                    <w14:schemeClr w14:val="tx1"/>
                  </w14:solidFill>
                </w14:textFill>
              </w:rPr>
              <w:t>资料管理</w:t>
            </w:r>
          </w:p>
        </w:tc>
        <w:tc>
          <w:tcPr>
            <w:tcW w:w="441"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bottom"/>
          </w:tcPr>
          <w:p w14:paraId="24F48728">
            <w:pPr>
              <w:pStyle w:val="476"/>
              <w:rPr>
                <w:color w:val="000000" w:themeColor="text1"/>
                <w14:textFill>
                  <w14:solidFill>
                    <w14:schemeClr w14:val="tx1"/>
                  </w14:solidFill>
                </w14:textFill>
              </w:rPr>
            </w:pPr>
            <w:r>
              <w:rPr>
                <w:color w:val="000000" w:themeColor="text1"/>
                <w14:textFill>
                  <w14:solidFill>
                    <w14:schemeClr w14:val="tx1"/>
                  </w14:solidFill>
                </w14:textFill>
              </w:rPr>
              <w:t>设施运行缱护管建资料</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6A6E3335">
            <w:pPr>
              <w:pStyle w:val="476"/>
              <w:rPr>
                <w:color w:val="000000" w:themeColor="text1"/>
                <w14:textFill>
                  <w14:solidFill>
                    <w14:schemeClr w14:val="tx1"/>
                  </w14:solidFill>
                </w14:textFill>
              </w:rPr>
            </w:pPr>
            <w:r>
              <w:rPr>
                <w:color w:val="000000" w:themeColor="text1"/>
                <w14:textFill>
                  <w14:solidFill>
                    <w14:schemeClr w14:val="tx1"/>
                  </w14:solidFill>
                </w14:textFill>
              </w:rPr>
              <w:t>建立并落实日常巡查、定期检查和报告制度。</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3C77A20D">
            <w:pPr>
              <w:pStyle w:val="476"/>
              <w:rPr>
                <w:color w:val="000000" w:themeColor="text1"/>
                <w14:textFill>
                  <w14:solidFill>
                    <w14:schemeClr w14:val="tx1"/>
                  </w14:solidFill>
                </w14:textFill>
              </w:rPr>
            </w:pPr>
            <w:r>
              <w:rPr>
                <w:color w:val="000000" w:themeColor="text1"/>
                <w14:textFill>
                  <w14:solidFill>
                    <w14:schemeClr w14:val="tx1"/>
                  </w14:solidFill>
                </w14:textFill>
              </w:rPr>
              <w:t>未提供设施日常巡</w:t>
            </w:r>
            <w:r>
              <w:rPr>
                <w:rFonts w:hint="eastAsia"/>
                <w:color w:val="000000" w:themeColor="text1"/>
                <w:lang w:eastAsia="zh-CN"/>
                <w14:textFill>
                  <w14:solidFill>
                    <w14:schemeClr w14:val="tx1"/>
                  </w14:solidFill>
                </w14:textFill>
              </w:rPr>
              <w:t>查</w:t>
            </w:r>
            <w:r>
              <w:rPr>
                <w:color w:val="000000" w:themeColor="text1"/>
                <w14:textFill>
                  <w14:solidFill>
                    <w14:schemeClr w14:val="tx1"/>
                  </w14:solidFill>
                </w14:textFill>
              </w:rPr>
              <w:t>、定期检查记录，每出现1顼扣1分。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5252879F">
            <w:pPr>
              <w:pStyle w:val="476"/>
              <w:rPr>
                <w:color w:val="000000" w:themeColor="text1"/>
                <w14:textFill>
                  <w14:solidFill>
                    <w14:schemeClr w14:val="tx1"/>
                  </w14:solidFill>
                </w14:textFill>
              </w:rPr>
            </w:pPr>
            <w:r>
              <w:rPr>
                <w:color w:val="000000" w:themeColor="text1"/>
                <w14:textFill>
                  <w14:solidFill>
                    <w14:schemeClr w14:val="tx1"/>
                  </w14:solidFill>
                </w14:textFill>
              </w:rPr>
              <w:t>10</w:t>
            </w:r>
          </w:p>
        </w:tc>
      </w:tr>
      <w:tr w14:paraId="05775997">
        <w:tblPrEx>
          <w:tblCellMar>
            <w:top w:w="0" w:type="dxa"/>
            <w:left w:w="108" w:type="dxa"/>
            <w:bottom w:w="0" w:type="dxa"/>
            <w:right w:w="108" w:type="dxa"/>
          </w:tblCellMar>
        </w:tblPrEx>
        <w:trPr>
          <w:trHeight w:val="454" w:hRule="atLeast"/>
        </w:trPr>
        <w:tc>
          <w:tcPr>
            <w:tcW w:w="201" w:type="pct"/>
            <w:vMerge w:val="restart"/>
            <w:tcBorders>
              <w:top w:val="single" w:color="000000" w:sz="8" w:space="0"/>
              <w:left w:val="single" w:color="000000" w:sz="8" w:space="0"/>
              <w:right w:val="single" w:color="000000" w:sz="8" w:space="0"/>
            </w:tcBorders>
            <w:shd w:val="clear" w:color="auto" w:fill="auto"/>
            <w:noWrap/>
            <w:tcMar>
              <w:top w:w="57" w:type="dxa"/>
              <w:bottom w:w="57" w:type="dxa"/>
            </w:tcMar>
            <w:vAlign w:val="center"/>
          </w:tcPr>
          <w:p w14:paraId="2B4B7ED2">
            <w:pPr>
              <w:pStyle w:val="476"/>
              <w:rPr>
                <w:color w:val="000000" w:themeColor="text1"/>
                <w14:textFill>
                  <w14:solidFill>
                    <w14:schemeClr w14:val="tx1"/>
                  </w14:solidFill>
                </w14:textFill>
              </w:rPr>
            </w:pPr>
            <w:r>
              <w:rPr>
                <w:color w:val="000000" w:themeColor="text1"/>
                <w14:textFill>
                  <w14:solidFill>
                    <w14:schemeClr w14:val="tx1"/>
                  </w14:solidFill>
                </w14:textFill>
              </w:rPr>
              <w:t>7</w:t>
            </w:r>
          </w:p>
        </w:tc>
        <w:tc>
          <w:tcPr>
            <w:tcW w:w="576" w:type="pct"/>
            <w:vMerge w:val="restart"/>
            <w:tcBorders>
              <w:top w:val="single" w:color="000000" w:sz="8" w:space="0"/>
              <w:left w:val="single" w:color="000000" w:sz="8" w:space="0"/>
              <w:right w:val="single" w:color="000000" w:sz="8" w:space="0"/>
            </w:tcBorders>
            <w:shd w:val="clear" w:color="auto" w:fill="auto"/>
            <w:tcMar>
              <w:top w:w="57" w:type="dxa"/>
              <w:bottom w:w="57" w:type="dxa"/>
            </w:tcMar>
            <w:vAlign w:val="center"/>
          </w:tcPr>
          <w:p w14:paraId="3A6315B1">
            <w:pPr>
              <w:pStyle w:val="476"/>
              <w:rPr>
                <w:color w:val="000000" w:themeColor="text1"/>
                <w14:textFill>
                  <w14:solidFill>
                    <w14:schemeClr w14:val="tx1"/>
                  </w14:solidFill>
                </w14:textFill>
              </w:rPr>
            </w:pPr>
            <w:r>
              <w:rPr>
                <w:color w:val="000000" w:themeColor="text1"/>
                <w14:textFill>
                  <w14:solidFill>
                    <w14:schemeClr w14:val="tx1"/>
                  </w14:solidFill>
                </w14:textFill>
              </w:rPr>
              <w:t>社会影响</w:t>
            </w:r>
          </w:p>
        </w:tc>
        <w:tc>
          <w:tcPr>
            <w:tcW w:w="441"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76419C18">
            <w:pPr>
              <w:pStyle w:val="476"/>
              <w:rPr>
                <w:color w:val="000000" w:themeColor="text1"/>
                <w14:textFill>
                  <w14:solidFill>
                    <w14:schemeClr w14:val="tx1"/>
                  </w14:solidFill>
                </w14:textFill>
              </w:rPr>
            </w:pPr>
            <w:r>
              <w:rPr>
                <w:color w:val="000000" w:themeColor="text1"/>
                <w14:textFill>
                  <w14:solidFill>
                    <w14:schemeClr w14:val="tx1"/>
                  </w14:solidFill>
                </w14:textFill>
              </w:rPr>
              <w:t>有效投诉</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bottom"/>
          </w:tcPr>
          <w:p w14:paraId="459C6784">
            <w:pPr>
              <w:pStyle w:val="476"/>
              <w:rPr>
                <w:color w:val="000000" w:themeColor="text1"/>
                <w14:textFill>
                  <w14:solidFill>
                    <w14:schemeClr w14:val="tx1"/>
                  </w14:solidFill>
                </w14:textFill>
              </w:rPr>
            </w:pPr>
            <w:r>
              <w:rPr>
                <w:color w:val="000000" w:themeColor="text1"/>
                <w14:textFill>
                  <w14:solidFill>
                    <w14:schemeClr w14:val="tx1"/>
                  </w14:solidFill>
                </w14:textFill>
              </w:rPr>
              <w:t>不被政府部门处罚；不被社会被公众媒体负面报道；不被居民投诉。</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6CD1628B">
            <w:pPr>
              <w:pStyle w:val="476"/>
              <w:rPr>
                <w:color w:val="000000" w:themeColor="text1"/>
                <w14:textFill>
                  <w14:solidFill>
                    <w14:schemeClr w14:val="tx1"/>
                  </w14:solidFill>
                </w14:textFill>
              </w:rPr>
            </w:pPr>
            <w:r>
              <w:rPr>
                <w:color w:val="000000" w:themeColor="text1"/>
                <w14:textFill>
                  <w14:solidFill>
                    <w14:schemeClr w14:val="tx1"/>
                  </w14:solidFill>
                </w14:textFill>
              </w:rPr>
              <w:t>发生</w:t>
            </w:r>
            <w:r>
              <w:rPr>
                <w:bCs/>
                <w:color w:val="000000" w:themeColor="text1"/>
                <w14:textFill>
                  <w14:solidFill>
                    <w14:schemeClr w14:val="tx1"/>
                  </w14:solidFill>
                </w14:textFill>
              </w:rPr>
              <w:t>1</w:t>
            </w:r>
            <w:r>
              <w:rPr>
                <w:color w:val="000000" w:themeColor="text1"/>
                <w14:textFill>
                  <w14:solidFill>
                    <w14:schemeClr w14:val="tx1"/>
                  </w14:solidFill>
                </w14:textFill>
              </w:rPr>
              <w:t>起投诉事件扣</w:t>
            </w:r>
            <w:r>
              <w:rPr>
                <w:bCs/>
                <w:color w:val="000000" w:themeColor="text1"/>
                <w14:textFill>
                  <w14:solidFill>
                    <w14:schemeClr w14:val="tx1"/>
                  </w14:solidFill>
                </w14:textFill>
              </w:rPr>
              <w:t>3</w:t>
            </w:r>
            <w:r>
              <w:rPr>
                <w:color w:val="000000" w:themeColor="text1"/>
                <w14:textFill>
                  <w14:solidFill>
                    <w14:schemeClr w14:val="tx1"/>
                  </w14:solidFill>
                </w14:textFill>
              </w:rPr>
              <w:t>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67672E5F">
            <w:pPr>
              <w:pStyle w:val="476"/>
              <w:rPr>
                <w:color w:val="000000" w:themeColor="text1"/>
                <w14:textFill>
                  <w14:solidFill>
                    <w14:schemeClr w14:val="tx1"/>
                  </w14:solidFill>
                </w14:textFill>
              </w:rPr>
            </w:pPr>
            <w:r>
              <w:rPr>
                <w:color w:val="000000" w:themeColor="text1"/>
                <w14:textFill>
                  <w14:solidFill>
                    <w14:schemeClr w14:val="tx1"/>
                  </w14:solidFill>
                </w14:textFill>
              </w:rPr>
              <w:t>3</w:t>
            </w:r>
          </w:p>
        </w:tc>
      </w:tr>
      <w:tr w14:paraId="46454852">
        <w:tblPrEx>
          <w:tblCellMar>
            <w:top w:w="0" w:type="dxa"/>
            <w:left w:w="108" w:type="dxa"/>
            <w:bottom w:w="0" w:type="dxa"/>
            <w:right w:w="108" w:type="dxa"/>
          </w:tblCellMar>
        </w:tblPrEx>
        <w:trPr>
          <w:trHeight w:val="454" w:hRule="atLeast"/>
        </w:trPr>
        <w:tc>
          <w:tcPr>
            <w:tcW w:w="201" w:type="pct"/>
            <w:vMerge w:val="continue"/>
            <w:tcBorders>
              <w:left w:val="single" w:color="000000" w:sz="8" w:space="0"/>
              <w:right w:val="single" w:color="000000" w:sz="8" w:space="0"/>
            </w:tcBorders>
            <w:shd w:val="clear" w:color="auto" w:fill="auto"/>
            <w:noWrap/>
            <w:tcMar>
              <w:top w:w="57" w:type="dxa"/>
              <w:bottom w:w="57" w:type="dxa"/>
            </w:tcMar>
            <w:vAlign w:val="center"/>
          </w:tcPr>
          <w:p w14:paraId="61CFA978">
            <w:pPr>
              <w:pStyle w:val="476"/>
              <w:rPr>
                <w:color w:val="000000" w:themeColor="text1"/>
                <w14:textFill>
                  <w14:solidFill>
                    <w14:schemeClr w14:val="tx1"/>
                  </w14:solidFill>
                </w14:textFill>
              </w:rPr>
            </w:pPr>
          </w:p>
        </w:tc>
        <w:tc>
          <w:tcPr>
            <w:tcW w:w="576" w:type="pct"/>
            <w:vMerge w:val="continue"/>
            <w:tcBorders>
              <w:left w:val="single" w:color="000000" w:sz="8" w:space="0"/>
              <w:right w:val="single" w:color="000000" w:sz="8" w:space="0"/>
            </w:tcBorders>
            <w:shd w:val="clear" w:color="auto" w:fill="auto"/>
            <w:tcMar>
              <w:top w:w="57" w:type="dxa"/>
              <w:bottom w:w="57" w:type="dxa"/>
            </w:tcMar>
            <w:vAlign w:val="center"/>
          </w:tcPr>
          <w:p w14:paraId="0F18ACFC">
            <w:pPr>
              <w:pStyle w:val="476"/>
              <w:rPr>
                <w:color w:val="000000" w:themeColor="text1"/>
                <w14:textFill>
                  <w14:solidFill>
                    <w14:schemeClr w14:val="tx1"/>
                  </w14:solidFill>
                </w14:textFill>
              </w:rPr>
            </w:pPr>
          </w:p>
        </w:tc>
        <w:tc>
          <w:tcPr>
            <w:tcW w:w="441"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47F03002">
            <w:pPr>
              <w:pStyle w:val="476"/>
              <w:rPr>
                <w:color w:val="000000" w:themeColor="text1"/>
                <w14:textFill>
                  <w14:solidFill>
                    <w14:schemeClr w14:val="tx1"/>
                  </w14:solidFill>
                </w14:textFill>
              </w:rPr>
            </w:pPr>
            <w:r>
              <w:rPr>
                <w:color w:val="000000" w:themeColor="text1"/>
                <w14:textFill>
                  <w14:solidFill>
                    <w14:schemeClr w14:val="tx1"/>
                  </w14:solidFill>
                </w14:textFill>
              </w:rPr>
              <w:t>投诉渠道</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6BE07158">
            <w:pPr>
              <w:pStyle w:val="476"/>
              <w:rPr>
                <w:color w:val="000000" w:themeColor="text1"/>
                <w14:textFill>
                  <w14:solidFill>
                    <w14:schemeClr w14:val="tx1"/>
                  </w14:solidFill>
                </w14:textFill>
              </w:rPr>
            </w:pPr>
            <w:r>
              <w:rPr>
                <w:color w:val="000000" w:themeColor="text1"/>
                <w14:textFill>
                  <w14:solidFill>
                    <w14:schemeClr w14:val="tx1"/>
                  </w14:solidFill>
                </w14:textFill>
              </w:rPr>
              <w:t>鼓励居民对运行管理工作进行监督，应建议相关投诉渠道并保持有效。</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53A0415A">
            <w:pPr>
              <w:pStyle w:val="476"/>
              <w:rPr>
                <w:color w:val="000000" w:themeColor="text1"/>
                <w14:textFill>
                  <w14:solidFill>
                    <w14:schemeClr w14:val="tx1"/>
                  </w14:solidFill>
                </w14:textFill>
              </w:rPr>
            </w:pPr>
            <w:r>
              <w:rPr>
                <w:color w:val="000000" w:themeColor="text1"/>
                <w14:textFill>
                  <w14:solidFill>
                    <w14:schemeClr w14:val="tx1"/>
                  </w14:solidFill>
                </w14:textFill>
              </w:rPr>
              <w:t>未建立投诉渠道扣</w:t>
            </w:r>
            <w:r>
              <w:rPr>
                <w:bCs/>
                <w:color w:val="000000" w:themeColor="text1"/>
                <w14:textFill>
                  <w14:solidFill>
                    <w14:schemeClr w14:val="tx1"/>
                  </w14:solidFill>
                </w14:textFill>
              </w:rPr>
              <w:t>2</w:t>
            </w:r>
            <w:r>
              <w:rPr>
                <w:color w:val="000000" w:themeColor="text1"/>
                <w14:textFill>
                  <w14:solidFill>
                    <w14:schemeClr w14:val="tx1"/>
                  </w14:solidFill>
                </w14:textFill>
              </w:rPr>
              <w:t>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5AAD11B6">
            <w:pPr>
              <w:pStyle w:val="476"/>
              <w:rPr>
                <w:color w:val="000000" w:themeColor="text1"/>
                <w14:textFill>
                  <w14:solidFill>
                    <w14:schemeClr w14:val="tx1"/>
                  </w14:solidFill>
                </w14:textFill>
              </w:rPr>
            </w:pPr>
            <w:r>
              <w:rPr>
                <w:color w:val="000000" w:themeColor="text1"/>
                <w14:textFill>
                  <w14:solidFill>
                    <w14:schemeClr w14:val="tx1"/>
                  </w14:solidFill>
                </w14:textFill>
              </w:rPr>
              <w:t>2</w:t>
            </w:r>
          </w:p>
        </w:tc>
      </w:tr>
      <w:tr w14:paraId="68057C33">
        <w:tblPrEx>
          <w:tblCellMar>
            <w:top w:w="0" w:type="dxa"/>
            <w:left w:w="108" w:type="dxa"/>
            <w:bottom w:w="0" w:type="dxa"/>
            <w:right w:w="108" w:type="dxa"/>
          </w:tblCellMar>
        </w:tblPrEx>
        <w:trPr>
          <w:trHeight w:val="454" w:hRule="atLeast"/>
        </w:trPr>
        <w:tc>
          <w:tcPr>
            <w:tcW w:w="201" w:type="pct"/>
            <w:vMerge w:val="continue"/>
            <w:tcBorders>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26CE63E4">
            <w:pPr>
              <w:pStyle w:val="476"/>
              <w:rPr>
                <w:color w:val="000000" w:themeColor="text1"/>
                <w14:textFill>
                  <w14:solidFill>
                    <w14:schemeClr w14:val="tx1"/>
                  </w14:solidFill>
                </w14:textFill>
              </w:rPr>
            </w:pPr>
          </w:p>
        </w:tc>
        <w:tc>
          <w:tcPr>
            <w:tcW w:w="576" w:type="pct"/>
            <w:vMerge w:val="continue"/>
            <w:tcBorders>
              <w:left w:val="single" w:color="000000" w:sz="8" w:space="0"/>
              <w:bottom w:val="single" w:color="000000" w:sz="8" w:space="0"/>
              <w:right w:val="single" w:color="000000" w:sz="8" w:space="0"/>
            </w:tcBorders>
            <w:shd w:val="clear" w:color="auto" w:fill="auto"/>
            <w:tcMar>
              <w:top w:w="57" w:type="dxa"/>
              <w:bottom w:w="57" w:type="dxa"/>
            </w:tcMar>
            <w:vAlign w:val="center"/>
          </w:tcPr>
          <w:p w14:paraId="0594F659">
            <w:pPr>
              <w:pStyle w:val="476"/>
              <w:rPr>
                <w:color w:val="000000" w:themeColor="text1"/>
                <w14:textFill>
                  <w14:solidFill>
                    <w14:schemeClr w14:val="tx1"/>
                  </w14:solidFill>
                </w14:textFill>
              </w:rPr>
            </w:pPr>
          </w:p>
        </w:tc>
        <w:tc>
          <w:tcPr>
            <w:tcW w:w="441"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35E64DDF">
            <w:pPr>
              <w:pStyle w:val="476"/>
              <w:rPr>
                <w:color w:val="000000" w:themeColor="text1"/>
                <w14:textFill>
                  <w14:solidFill>
                    <w14:schemeClr w14:val="tx1"/>
                  </w14:solidFill>
                </w14:textFill>
              </w:rPr>
            </w:pPr>
            <w:r>
              <w:rPr>
                <w:color w:val="000000" w:themeColor="text1"/>
                <w14:textFill>
                  <w14:solidFill>
                    <w14:schemeClr w14:val="tx1"/>
                  </w14:solidFill>
                </w14:textFill>
              </w:rPr>
              <w:t>公众评价</w:t>
            </w:r>
          </w:p>
        </w:tc>
        <w:tc>
          <w:tcPr>
            <w:tcW w:w="1762"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171006D7">
            <w:pPr>
              <w:pStyle w:val="476"/>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政</w:t>
            </w:r>
            <w:r>
              <w:rPr>
                <w:color w:val="000000" w:themeColor="text1"/>
                <w14:textFill>
                  <w14:solidFill>
                    <w14:schemeClr w14:val="tx1"/>
                  </w14:solidFill>
                </w14:textFill>
              </w:rPr>
              <w:t>府或聘请三方机构向居民实施调查，编写公众评价报告。</w:t>
            </w:r>
          </w:p>
        </w:tc>
        <w:tc>
          <w:tcPr>
            <w:tcW w:w="1647" w:type="pct"/>
            <w:tcBorders>
              <w:top w:val="single" w:color="000000" w:sz="8" w:space="0"/>
              <w:left w:val="single" w:color="000000" w:sz="8" w:space="0"/>
              <w:bottom w:val="single" w:color="000000" w:sz="8" w:space="0"/>
              <w:right w:val="single" w:color="000000" w:sz="8" w:space="0"/>
            </w:tcBorders>
            <w:shd w:val="clear" w:color="auto" w:fill="auto"/>
            <w:tcMar>
              <w:top w:w="57" w:type="dxa"/>
              <w:bottom w:w="57" w:type="dxa"/>
            </w:tcMar>
            <w:vAlign w:val="center"/>
          </w:tcPr>
          <w:p w14:paraId="3612343A">
            <w:pPr>
              <w:pStyle w:val="476"/>
              <w:rPr>
                <w:color w:val="000000" w:themeColor="text1"/>
                <w14:textFill>
                  <w14:solidFill>
                    <w14:schemeClr w14:val="tx1"/>
                  </w14:solidFill>
                </w14:textFill>
              </w:rPr>
            </w:pPr>
            <w:r>
              <w:rPr>
                <w:color w:val="000000" w:themeColor="text1"/>
                <w14:textFill>
                  <w14:solidFill>
                    <w14:schemeClr w14:val="tx1"/>
                  </w14:solidFill>
                </w14:textFill>
              </w:rPr>
              <w:t>公众评价总体优良不扣分；公众评价总体一般扣</w:t>
            </w:r>
            <w:r>
              <w:rPr>
                <w:bCs/>
                <w:color w:val="000000" w:themeColor="text1"/>
                <w14:textFill>
                  <w14:solidFill>
                    <w14:schemeClr w14:val="tx1"/>
                  </w14:solidFill>
                </w14:textFill>
              </w:rPr>
              <w:t>5</w:t>
            </w:r>
            <w:r>
              <w:rPr>
                <w:color w:val="000000" w:themeColor="text1"/>
                <w14:textFill>
                  <w14:solidFill>
                    <w14:schemeClr w14:val="tx1"/>
                  </w14:solidFill>
                </w14:textFill>
              </w:rPr>
              <w:t>分；公众评价总体不合格扣</w:t>
            </w:r>
            <w:r>
              <w:rPr>
                <w:bCs/>
                <w:color w:val="000000" w:themeColor="text1"/>
                <w14:textFill>
                  <w14:solidFill>
                    <w14:schemeClr w14:val="tx1"/>
                  </w14:solidFill>
                </w14:textFill>
              </w:rPr>
              <w:t>10</w:t>
            </w:r>
            <w:r>
              <w:rPr>
                <w:color w:val="000000" w:themeColor="text1"/>
                <w14:textFill>
                  <w14:solidFill>
                    <w14:schemeClr w14:val="tx1"/>
                  </w14:solidFill>
                </w14:textFill>
              </w:rPr>
              <w:t>分。</w:t>
            </w:r>
          </w:p>
        </w:tc>
        <w:tc>
          <w:tcPr>
            <w:tcW w:w="373" w:type="pct"/>
            <w:tcBorders>
              <w:top w:val="single" w:color="000000" w:sz="8" w:space="0"/>
              <w:left w:val="single" w:color="000000" w:sz="8" w:space="0"/>
              <w:bottom w:val="single" w:color="000000" w:sz="8" w:space="0"/>
              <w:right w:val="single" w:color="000000" w:sz="8" w:space="0"/>
            </w:tcBorders>
            <w:shd w:val="clear" w:color="auto" w:fill="auto"/>
            <w:noWrap/>
            <w:tcMar>
              <w:top w:w="57" w:type="dxa"/>
              <w:bottom w:w="57" w:type="dxa"/>
            </w:tcMar>
            <w:vAlign w:val="center"/>
          </w:tcPr>
          <w:p w14:paraId="14349769">
            <w:pPr>
              <w:pStyle w:val="476"/>
              <w:rPr>
                <w:color w:val="000000" w:themeColor="text1"/>
                <w14:textFill>
                  <w14:solidFill>
                    <w14:schemeClr w14:val="tx1"/>
                  </w14:solidFill>
                </w14:textFill>
              </w:rPr>
            </w:pPr>
            <w:r>
              <w:rPr>
                <w:color w:val="000000" w:themeColor="text1"/>
                <w14:textFill>
                  <w14:solidFill>
                    <w14:schemeClr w14:val="tx1"/>
                  </w14:solidFill>
                </w14:textFill>
              </w:rPr>
              <w:t>10</w:t>
            </w:r>
          </w:p>
        </w:tc>
      </w:tr>
    </w:tbl>
    <w:p w14:paraId="7433877D">
      <w:pPr>
        <w:pStyle w:val="52"/>
        <w:ind w:firstLine="0" w:firstLineChars="0"/>
        <w:rPr>
          <w:color w:val="000000" w:themeColor="text1"/>
          <w:lang w:val="zh-CN"/>
          <w14:textFill>
            <w14:solidFill>
              <w14:schemeClr w14:val="tx1"/>
            </w14:solidFill>
          </w14:textFill>
        </w:rPr>
        <w:sectPr>
          <w:pgSz w:w="16838" w:h="11906" w:orient="landscape"/>
          <w:pgMar w:top="1701" w:right="1701" w:bottom="1701" w:left="1701" w:header="851" w:footer="992" w:gutter="0"/>
          <w:cols w:space="720" w:num="1"/>
          <w:docGrid w:type="linesAndChars" w:linePitch="312" w:charSpace="0"/>
        </w:sectPr>
      </w:pPr>
    </w:p>
    <w:p w14:paraId="1332C7D3">
      <w:pPr>
        <w:pStyle w:val="52"/>
        <w:rPr>
          <w:b/>
          <w:color w:val="000000" w:themeColor="text1"/>
          <w14:textFill>
            <w14:solidFill>
              <w14:schemeClr w14:val="tx1"/>
            </w14:solidFill>
          </w14:textFill>
        </w:rPr>
      </w:pPr>
      <w:r>
        <w:rPr>
          <w:color w:val="000000" w:themeColor="text1"/>
          <w14:textFill>
            <w14:solidFill>
              <w14:schemeClr w14:val="tx1"/>
            </w14:solidFill>
          </w14:textFill>
        </w:rPr>
        <w:t>（3）运维考核系数。运维考核系数根据期间的考核分数确定，考核分数和运维考核系数的关系详见表7.3-3。</w:t>
      </w:r>
    </w:p>
    <w:p w14:paraId="4778EC51">
      <w:pPr>
        <w:pStyle w:val="442"/>
        <w:rPr>
          <w:color w:val="000000" w:themeColor="text1"/>
          <w14:textFill>
            <w14:solidFill>
              <w14:schemeClr w14:val="tx1"/>
            </w14:solidFill>
          </w14:textFill>
        </w:rPr>
      </w:pPr>
      <w:r>
        <w:rPr>
          <w:color w:val="000000" w:themeColor="text1"/>
          <w14:textFill>
            <w14:solidFill>
              <w14:schemeClr w14:val="tx1"/>
            </w14:solidFill>
          </w14:textFill>
        </w:rPr>
        <w:t>表7.3-3考核分数和运行考核系数对应表</w:t>
      </w:r>
    </w:p>
    <w:tbl>
      <w:tblPr>
        <w:tblStyle w:val="55"/>
        <w:tblW w:w="5000" w:type="pct"/>
        <w:jc w:val="center"/>
        <w:tblLayout w:type="autofit"/>
        <w:tblCellMar>
          <w:top w:w="0" w:type="dxa"/>
          <w:left w:w="108" w:type="dxa"/>
          <w:bottom w:w="0" w:type="dxa"/>
          <w:right w:w="108" w:type="dxa"/>
        </w:tblCellMar>
      </w:tblPr>
      <w:tblGrid>
        <w:gridCol w:w="1891"/>
        <w:gridCol w:w="1316"/>
        <w:gridCol w:w="2046"/>
        <w:gridCol w:w="2046"/>
        <w:gridCol w:w="1421"/>
      </w:tblGrid>
      <w:tr w14:paraId="1AF3EE42">
        <w:tblPrEx>
          <w:tblCellMar>
            <w:top w:w="0" w:type="dxa"/>
            <w:left w:w="108" w:type="dxa"/>
            <w:bottom w:w="0" w:type="dxa"/>
            <w:right w:w="108" w:type="dxa"/>
          </w:tblCellMar>
        </w:tblPrEx>
        <w:trPr>
          <w:trHeight w:val="608" w:hRule="exact"/>
          <w:jc w:val="center"/>
        </w:trPr>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EE0142">
            <w:pPr>
              <w:pStyle w:val="476"/>
              <w:rPr>
                <w:b/>
                <w:color w:val="000000" w:themeColor="text1"/>
                <w14:textFill>
                  <w14:solidFill>
                    <w14:schemeClr w14:val="tx1"/>
                  </w14:solidFill>
                </w14:textFill>
              </w:rPr>
            </w:pPr>
            <w:r>
              <w:rPr>
                <w:b/>
                <w:color w:val="000000" w:themeColor="text1"/>
                <w14:textFill>
                  <w14:solidFill>
                    <w14:schemeClr w14:val="tx1"/>
                  </w14:solidFill>
                </w14:textFill>
              </w:rPr>
              <w:t>运维考核办法</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CE0796">
            <w:pPr>
              <w:pStyle w:val="476"/>
              <w:rPr>
                <w:b/>
                <w:color w:val="000000" w:themeColor="text1"/>
                <w14:textFill>
                  <w14:solidFill>
                    <w14:schemeClr w14:val="tx1"/>
                  </w14:solidFill>
                </w14:textFill>
              </w:rPr>
            </w:pPr>
            <w:r>
              <w:rPr>
                <w:b/>
                <w:color w:val="000000" w:themeColor="text1"/>
                <w14:textFill>
                  <w14:solidFill>
                    <w14:schemeClr w14:val="tx1"/>
                  </w14:solidFill>
                </w14:textFill>
              </w:rPr>
              <w:t>总分≥85分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B0DB43">
            <w:pPr>
              <w:pStyle w:val="476"/>
              <w:rPr>
                <w:b/>
                <w:color w:val="000000" w:themeColor="text1"/>
                <w14:textFill>
                  <w14:solidFill>
                    <w14:schemeClr w14:val="tx1"/>
                  </w14:solidFill>
                </w14:textFill>
              </w:rPr>
            </w:pPr>
            <w:r>
              <w:rPr>
                <w:b/>
                <w:color w:val="000000" w:themeColor="text1"/>
                <w14:textFill>
                  <w14:solidFill>
                    <w14:schemeClr w14:val="tx1"/>
                  </w14:solidFill>
                </w14:textFill>
              </w:rPr>
              <w:t>85分＞总分≥75分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1120FA">
            <w:pPr>
              <w:pStyle w:val="476"/>
              <w:rPr>
                <w:b/>
                <w:color w:val="000000" w:themeColor="text1"/>
                <w14:textFill>
                  <w14:solidFill>
                    <w14:schemeClr w14:val="tx1"/>
                  </w14:solidFill>
                </w14:textFill>
              </w:rPr>
            </w:pPr>
            <w:r>
              <w:rPr>
                <w:b/>
                <w:color w:val="000000" w:themeColor="text1"/>
                <w14:textFill>
                  <w14:solidFill>
                    <w14:schemeClr w14:val="tx1"/>
                  </w14:solidFill>
                </w14:textFill>
              </w:rPr>
              <w:t>75分＞总分≥60分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7F9492">
            <w:pPr>
              <w:pStyle w:val="476"/>
              <w:rPr>
                <w:b/>
                <w:color w:val="000000" w:themeColor="text1"/>
                <w14:textFill>
                  <w14:solidFill>
                    <w14:schemeClr w14:val="tx1"/>
                  </w14:solidFill>
                </w14:textFill>
              </w:rPr>
            </w:pPr>
            <w:r>
              <w:rPr>
                <w:b/>
                <w:color w:val="000000" w:themeColor="text1"/>
                <w14:textFill>
                  <w14:solidFill>
                    <w14:schemeClr w14:val="tx1"/>
                  </w14:solidFill>
                </w14:textFill>
              </w:rPr>
              <w:t>总分＜60分</w:t>
            </w:r>
          </w:p>
        </w:tc>
      </w:tr>
      <w:tr w14:paraId="27C1E4A7">
        <w:tblPrEx>
          <w:tblCellMar>
            <w:top w:w="0" w:type="dxa"/>
            <w:left w:w="108" w:type="dxa"/>
            <w:bottom w:w="0" w:type="dxa"/>
            <w:right w:w="108" w:type="dxa"/>
          </w:tblCellMar>
        </w:tblPrEx>
        <w:trPr>
          <w:trHeight w:val="716" w:hRule="exact"/>
          <w:jc w:val="center"/>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9A5F514">
            <w:pPr>
              <w:pStyle w:val="476"/>
              <w:rPr>
                <w:color w:val="000000" w:themeColor="text1"/>
                <w14:textFill>
                  <w14:solidFill>
                    <w14:schemeClr w14:val="tx1"/>
                  </w14:solidFill>
                </w14:textFill>
              </w:rPr>
            </w:pPr>
            <w:r>
              <w:rPr>
                <w:color w:val="000000" w:themeColor="text1"/>
                <w14:textFill>
                  <w14:solidFill>
                    <w14:schemeClr w14:val="tx1"/>
                  </w14:solidFill>
                </w14:textFill>
              </w:rPr>
              <w:t>运维考核系数S1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9F4B72">
            <w:pPr>
              <w:pStyle w:val="476"/>
              <w:rPr>
                <w:color w:val="000000" w:themeColor="text1"/>
                <w14:textFill>
                  <w14:solidFill>
                    <w14:schemeClr w14:val="tx1"/>
                  </w14:solidFill>
                </w14:textFill>
              </w:rPr>
            </w:pPr>
            <w:r>
              <w:rPr>
                <w:color w:val="000000" w:themeColor="text1"/>
                <w14:textFill>
                  <w14:solidFill>
                    <w14:schemeClr w14:val="tx1"/>
                  </w14:solidFill>
                </w14:textFill>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F6BEB8">
            <w:pPr>
              <w:pStyle w:val="476"/>
              <w:rPr>
                <w:color w:val="000000" w:themeColor="text1"/>
                <w14:textFill>
                  <w14:solidFill>
                    <w14:schemeClr w14:val="tx1"/>
                  </w14:solidFill>
                </w14:textFill>
              </w:rPr>
            </w:pPr>
            <w:r>
              <w:rPr>
                <w:color w:val="000000" w:themeColor="text1"/>
                <w14:textFill>
                  <w14:solidFill>
                    <w14:schemeClr w14:val="tx1"/>
                  </w14:solidFill>
                </w14:textFill>
              </w:rPr>
              <w:t>0.9</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A1345A">
            <w:pPr>
              <w:pStyle w:val="476"/>
              <w:rPr>
                <w:color w:val="000000" w:themeColor="text1"/>
                <w14:textFill>
                  <w14:solidFill>
                    <w14:schemeClr w14:val="tx1"/>
                  </w14:solidFill>
                </w14:textFill>
              </w:rPr>
            </w:pPr>
            <w:r>
              <w:rPr>
                <w:color w:val="000000" w:themeColor="text1"/>
                <w14:textFill>
                  <w14:solidFill>
                    <w14:schemeClr w14:val="tx1"/>
                  </w14:solidFill>
                </w14:textFill>
              </w:rPr>
              <w:t>考核得分/100x100%</w:t>
            </w:r>
          </w:p>
        </w:tc>
      </w:tr>
      <w:tr w14:paraId="3587B387">
        <w:tblPrEx>
          <w:tblCellMar>
            <w:top w:w="0" w:type="dxa"/>
            <w:left w:w="108" w:type="dxa"/>
            <w:bottom w:w="0" w:type="dxa"/>
            <w:right w:w="108" w:type="dxa"/>
          </w:tblCellMar>
        </w:tblPrEx>
        <w:trPr>
          <w:trHeight w:val="699" w:hRule="exact"/>
          <w:jc w:val="center"/>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7CEF118">
            <w:pPr>
              <w:pStyle w:val="476"/>
              <w:rPr>
                <w:color w:val="000000" w:themeColor="text1"/>
                <w14:textFill>
                  <w14:solidFill>
                    <w14:schemeClr w14:val="tx1"/>
                  </w14:solidFill>
                </w14:textFill>
              </w:rPr>
            </w:pPr>
            <w:r>
              <w:rPr>
                <w:color w:val="000000" w:themeColor="text1"/>
                <w14:textFill>
                  <w14:solidFill>
                    <w14:schemeClr w14:val="tx1"/>
                  </w14:solidFill>
                </w14:textFill>
              </w:rPr>
              <w:t>运维考核系数S2</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313C0F">
            <w:pPr>
              <w:pStyle w:val="476"/>
              <w:rPr>
                <w:color w:val="000000" w:themeColor="text1"/>
                <w14:textFill>
                  <w14:solidFill>
                    <w14:schemeClr w14:val="tx1"/>
                  </w14:solidFill>
                </w14:textFill>
              </w:rPr>
            </w:pPr>
            <w:r>
              <w:rPr>
                <w:color w:val="000000" w:themeColor="text1"/>
                <w14:textFill>
                  <w14:solidFill>
                    <w14:schemeClr w14:val="tx1"/>
                  </w14:solidFill>
                </w14:textFill>
              </w:rPr>
              <w:t>1</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EBE3EB">
            <w:pPr>
              <w:pStyle w:val="476"/>
              <w:rPr>
                <w:color w:val="000000" w:themeColor="text1"/>
                <w14:textFill>
                  <w14:solidFill>
                    <w14:schemeClr w14:val="tx1"/>
                  </w14:solidFill>
                </w14:textFill>
              </w:rPr>
            </w:pPr>
            <w:r>
              <w:rPr>
                <w:color w:val="000000" w:themeColor="text1"/>
                <w14:textFill>
                  <w14:solidFill>
                    <w14:schemeClr w14:val="tx1"/>
                  </w14:solidFill>
                </w14:textFill>
              </w:rPr>
              <w:t>运维考核分数/100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864D9B">
            <w:pPr>
              <w:pStyle w:val="476"/>
              <w:rPr>
                <w:color w:val="000000" w:themeColor="text1"/>
                <w14:textFill>
                  <w14:solidFill>
                    <w14:schemeClr w14:val="tx1"/>
                  </w14:solidFill>
                </w14:textFill>
              </w:rPr>
            </w:pPr>
            <w:r>
              <w:rPr>
                <w:color w:val="000000" w:themeColor="text1"/>
                <w14:textFill>
                  <w14:solidFill>
                    <w14:schemeClr w14:val="tx1"/>
                  </w14:solidFill>
                </w14:textFill>
              </w:rPr>
              <w:t>0</w:t>
            </w:r>
          </w:p>
        </w:tc>
      </w:tr>
    </w:tbl>
    <w:p w14:paraId="5C7EC629">
      <w:pPr>
        <w:pStyle w:val="4"/>
        <w:rPr>
          <w:rFonts w:ascii="Times New Roman" w:hAnsi="Times New Roman" w:eastAsiaTheme="minorEastAsia"/>
          <w:color w:val="000000" w:themeColor="text1"/>
          <w14:textFill>
            <w14:solidFill>
              <w14:schemeClr w14:val="tx1"/>
            </w14:solidFill>
          </w14:textFill>
        </w:rPr>
      </w:pPr>
      <w:bookmarkStart w:id="276" w:name="_Toc112693931"/>
      <w:bookmarkStart w:id="277" w:name="_Toc112694066"/>
      <w:bookmarkStart w:id="278" w:name="_Toc112861050"/>
      <w:r>
        <w:rPr>
          <w:rFonts w:hint="eastAsia" w:ascii="宋体" w:hAnsi="宋体" w:eastAsia="宋体" w:cs="宋体"/>
          <w:color w:val="000000" w:themeColor="text1"/>
          <w14:textFill>
            <w14:solidFill>
              <w14:schemeClr w14:val="tx1"/>
            </w14:solidFill>
          </w14:textFill>
        </w:rPr>
        <w:t>规范开展第三方运维绩效考核</w:t>
      </w:r>
      <w:bookmarkEnd w:id="276"/>
      <w:bookmarkEnd w:id="277"/>
      <w:bookmarkEnd w:id="278"/>
    </w:p>
    <w:p w14:paraId="3492493F">
      <w:pPr>
        <w:pStyle w:val="52"/>
        <w:rPr>
          <w:color w:val="000000" w:themeColor="text1"/>
          <w14:textFill>
            <w14:solidFill>
              <w14:schemeClr w14:val="tx1"/>
            </w14:solidFill>
          </w14:textFill>
        </w:rPr>
      </w:pPr>
      <w:r>
        <w:rPr>
          <w:color w:val="000000" w:themeColor="text1"/>
          <w14:textFill>
            <w14:solidFill>
              <w14:schemeClr w14:val="tx1"/>
            </w14:solidFill>
          </w14:textFill>
        </w:rPr>
        <w:t>晋安区北峰三个乡镇北峰山区乡镇生活污水处理设施由第三方专业化服务机构实施运维后，区相关职能部门、各乡镇政府能严格按照第三方运维考核办法的规定规范组织开展考核，重点考核设施出水水质、配套管网维护、设施运行维护、档案管理、公众测评等内容，截至目前，晋安区已开展三次考核，第三方基本能按规范开展运维，设施运维总体效果良好。</w:t>
      </w:r>
    </w:p>
    <w:p w14:paraId="373EE9C3">
      <w:pPr>
        <w:pStyle w:val="52"/>
        <w:rPr>
          <w:color w:val="000000" w:themeColor="text1"/>
          <w14:textFill>
            <w14:solidFill>
              <w14:schemeClr w14:val="tx1"/>
            </w14:solidFill>
          </w14:textFill>
        </w:rPr>
      </w:pPr>
      <w:r>
        <w:rPr>
          <w:color w:val="000000" w:themeColor="text1"/>
          <w14:textFill>
            <w14:solidFill>
              <w14:schemeClr w14:val="tx1"/>
            </w14:solidFill>
          </w14:textFill>
        </w:rPr>
        <w:t>2019年11月，晋安生态环境局、区建设投资发展中心、区财政局、区城乡建设局、宦溪镇、寿山乡、日溪乡组成考核小组与福建北峰海峡环保科技有限公司代表共同对新建的15个行政村、10个存量行政村和日总体溪污水处理厂污水处理设施及厂外管网运营维护情况进行现场抽查和档案材料检查。随机抽查检测的日溪乡日溪污水处理厂（集镇污水处理设施）、寿山乡长基村污水处理设施（新建），宦溪镇黄田村人工湿地（存量污水处理设施）水质良好，达到考核要求，不予扣分；对各抽查站点设施配套管网进行检查，发现四方面问题，根据考核要求，对配套管网运维绩效分扣11分；对各站点设施运行维护记录、日常水质监测报告、人工费、电费、药品费等方面开展检查，现场发现4方面问题，按规定扣绩效分10.6分。最终根据运维考核系统评出综合得分89.16分，考核分值高于85分可全额支付年度运营费用，晋安区根据考核办法按期支付第一年度运维服务费。</w:t>
      </w:r>
    </w:p>
    <w:p w14:paraId="6150D250">
      <w:pPr>
        <w:pStyle w:val="52"/>
        <w:rPr>
          <w:color w:val="000000" w:themeColor="text1"/>
          <w14:textFill>
            <w14:solidFill>
              <w14:schemeClr w14:val="tx1"/>
            </w14:solidFill>
          </w14:textFill>
        </w:rPr>
      </w:pPr>
      <w:r>
        <w:rPr>
          <w:color w:val="000000" w:themeColor="text1"/>
          <w14:textFill>
            <w14:solidFill>
              <w14:schemeClr w14:val="tx1"/>
            </w14:solidFill>
          </w14:textFill>
        </w:rPr>
        <w:t>2020年3月，根据区建设投资发展中心与福建北峰海峡环保科技有限公司签订的《晋安区北峰山区北峰山区乡镇生活污水处理工程PPP项目项目合同》附件“项目运行维护考核方案”有关规定，晋安生态环境局、区建设投资发展中心、区财政局、区城乡建设局、宦溪镇组成考核小组与福建北峰海峡环保科技有限公司代表共同对宦溪镇污水处理设施运营情况开展每一季度现场检查。现场抽查的宦溪镇集镇污水处理厂、亥由村污水处理站、峨嵋村污水处理站，出口水质均达到相应的出水水质标准，不予扣减绩效分；在抽查站点配套管网考核时发现2方面问题，扣绩效分2分；在抽查站点设施运维中发现6个方面问题扣绩效分9.6分。最终根据运维考核系统评出综合得分94.96分。</w:t>
      </w:r>
    </w:p>
    <w:p w14:paraId="762411CB">
      <w:pPr>
        <w:pStyle w:val="4"/>
        <w:rPr>
          <w:rFonts w:ascii="Times New Roman" w:hAnsi="Times New Roman" w:eastAsiaTheme="minorEastAsia"/>
          <w:color w:val="000000" w:themeColor="text1"/>
          <w14:textFill>
            <w14:solidFill>
              <w14:schemeClr w14:val="tx1"/>
            </w14:solidFill>
          </w14:textFill>
        </w:rPr>
      </w:pPr>
      <w:bookmarkStart w:id="279" w:name="_Toc112861051"/>
      <w:bookmarkStart w:id="280" w:name="_Toc112694067"/>
      <w:bookmarkStart w:id="281" w:name="_Toc112693932"/>
      <w:r>
        <w:rPr>
          <w:rFonts w:hint="eastAsia" w:ascii="宋体" w:hAnsi="宋体" w:eastAsia="宋体" w:cs="宋体"/>
          <w:color w:val="000000" w:themeColor="text1"/>
          <w14:textFill>
            <w14:solidFill>
              <w14:schemeClr w14:val="tx1"/>
            </w14:solidFill>
          </w14:textFill>
        </w:rPr>
        <w:t>设施运行维护存在的主要问题和完善建议</w:t>
      </w:r>
      <w:bookmarkEnd w:id="279"/>
      <w:bookmarkEnd w:id="280"/>
      <w:bookmarkEnd w:id="281"/>
    </w:p>
    <w:p w14:paraId="51305709">
      <w:pPr>
        <w:pStyle w:val="6"/>
        <w:rPr>
          <w:color w:val="000000" w:themeColor="text1"/>
          <w14:textFill>
            <w14:solidFill>
              <w14:schemeClr w14:val="tx1"/>
            </w14:solidFill>
          </w14:textFill>
        </w:rPr>
      </w:pPr>
      <w:bookmarkStart w:id="282" w:name="_Toc112694068"/>
      <w:bookmarkStart w:id="283" w:name="_Toc112692635"/>
      <w:bookmarkStart w:id="284" w:name="_Toc112693933"/>
      <w:r>
        <w:rPr>
          <w:color w:val="000000" w:themeColor="text1"/>
          <w14:textFill>
            <w14:solidFill>
              <w14:schemeClr w14:val="tx1"/>
            </w14:solidFill>
          </w14:textFill>
        </w:rPr>
        <w:t>存在主要问题</w:t>
      </w:r>
      <w:bookmarkEnd w:id="282"/>
      <w:bookmarkEnd w:id="283"/>
      <w:bookmarkEnd w:id="284"/>
    </w:p>
    <w:p w14:paraId="71B3A129">
      <w:pPr>
        <w:pStyle w:val="52"/>
        <w:rPr>
          <w:color w:val="000000" w:themeColor="text1"/>
          <w14:textFill>
            <w14:solidFill>
              <w14:schemeClr w14:val="tx1"/>
            </w14:solidFill>
          </w14:textFill>
        </w:rPr>
      </w:pPr>
      <w:r>
        <w:rPr>
          <w:color w:val="000000" w:themeColor="text1"/>
          <w14:textFill>
            <w14:solidFill>
              <w14:schemeClr w14:val="tx1"/>
            </w14:solidFill>
          </w14:textFill>
        </w:rPr>
        <w:t>（1）运维操作缺乏标准。运维人员虽能保证定期到站点巡检，但巡检内容仅是对站区绿化、设施设备运行状态进行维护，目前尚未制定运维公司内部系统化、标准化作业规范，运维台帐较为简单。</w:t>
      </w:r>
    </w:p>
    <w:p w14:paraId="136022A3">
      <w:pPr>
        <w:pStyle w:val="52"/>
        <w:rPr>
          <w:color w:val="000000" w:themeColor="text1"/>
          <w14:textFill>
            <w14:solidFill>
              <w14:schemeClr w14:val="tx1"/>
            </w14:solidFill>
          </w14:textFill>
        </w:rPr>
      </w:pPr>
      <w:r>
        <w:rPr>
          <w:color w:val="000000" w:themeColor="text1"/>
          <w14:textFill>
            <w14:solidFill>
              <w14:schemeClr w14:val="tx1"/>
            </w14:solidFill>
          </w14:textFill>
        </w:rPr>
        <w:t>（2）监测制度不够完善。目前运行管理考核主要分为定期考核和不定期考核，定期考核每季度开展一次并随机对抽查站点进出水水质进行检测，不定期抽查根据要求开展。考核制度中未根据站点设施处理规模规定运维单位自行监测频次的项目。</w:t>
      </w:r>
    </w:p>
    <w:p w14:paraId="429C125B">
      <w:pPr>
        <w:pStyle w:val="52"/>
        <w:rPr>
          <w:color w:val="000000" w:themeColor="text1"/>
          <w14:textFill>
            <w14:solidFill>
              <w14:schemeClr w14:val="tx1"/>
            </w14:solidFill>
          </w14:textFill>
        </w:rPr>
      </w:pPr>
      <w:r>
        <w:rPr>
          <w:color w:val="000000" w:themeColor="text1"/>
          <w14:textFill>
            <w14:solidFill>
              <w14:schemeClr w14:val="tx1"/>
            </w14:solidFill>
          </w14:textFill>
        </w:rPr>
        <w:t>（3）运维监管较为薄弱。现有的运维考核办法是采用监督机构组织人员不定期到现场考核的方式。考核的频率，站点覆盖率都较难保证。处理设施所在乡镇、</w:t>
      </w:r>
      <w:r>
        <w:rPr>
          <w:rFonts w:hint="eastAsia"/>
          <w:color w:val="000000" w:themeColor="text1"/>
          <w14:textFill>
            <w14:solidFill>
              <w14:schemeClr w14:val="tx1"/>
            </w14:solidFill>
          </w14:textFill>
        </w:rPr>
        <w:t>村民委员会</w:t>
      </w:r>
      <w:r>
        <w:rPr>
          <w:color w:val="000000" w:themeColor="text1"/>
          <w14:textFill>
            <w14:solidFill>
              <w14:schemeClr w14:val="tx1"/>
            </w14:solidFill>
          </w14:textFill>
        </w:rPr>
        <w:t>、农户对运维监督工作的参与度较低。</w:t>
      </w:r>
    </w:p>
    <w:p w14:paraId="499718F9">
      <w:pPr>
        <w:pStyle w:val="52"/>
        <w:rPr>
          <w:color w:val="000000" w:themeColor="text1"/>
          <w14:textFill>
            <w14:solidFill>
              <w14:schemeClr w14:val="tx1"/>
            </w14:solidFill>
          </w14:textFill>
        </w:rPr>
      </w:pPr>
      <w:r>
        <w:rPr>
          <w:color w:val="000000" w:themeColor="text1"/>
          <w14:textFill>
            <w14:solidFill>
              <w14:schemeClr w14:val="tx1"/>
            </w14:solidFill>
          </w14:textFill>
        </w:rPr>
        <w:t>（4）设施运维效率偏低。晋安区较早开始建设北峰山区乡镇生活污水处理设施，早期建设管网部分破损，进水水质深度较低；部分设施如人工湿地使用时间较多，湿地植物缺失，填料堵塞或存在渗漏问题，部分设施出水量与进水量不匹配。</w:t>
      </w:r>
    </w:p>
    <w:p w14:paraId="1315784D">
      <w:pPr>
        <w:pStyle w:val="6"/>
        <w:rPr>
          <w:color w:val="000000" w:themeColor="text1"/>
          <w14:textFill>
            <w14:solidFill>
              <w14:schemeClr w14:val="tx1"/>
            </w14:solidFill>
          </w14:textFill>
        </w:rPr>
      </w:pPr>
      <w:bookmarkStart w:id="285" w:name="_Toc112692636"/>
      <w:bookmarkStart w:id="286" w:name="_Toc112693934"/>
      <w:bookmarkStart w:id="287" w:name="_Toc112694069"/>
      <w:r>
        <w:rPr>
          <w:color w:val="000000" w:themeColor="text1"/>
          <w14:textFill>
            <w14:solidFill>
              <w14:schemeClr w14:val="tx1"/>
            </w14:solidFill>
          </w14:textFill>
        </w:rPr>
        <w:t>完善设施运维建议</w:t>
      </w:r>
      <w:bookmarkEnd w:id="285"/>
      <w:bookmarkEnd w:id="286"/>
      <w:bookmarkEnd w:id="287"/>
    </w:p>
    <w:p w14:paraId="15547806">
      <w:pPr>
        <w:pStyle w:val="52"/>
        <w:rPr>
          <w:color w:val="000000" w:themeColor="text1"/>
          <w14:textFill>
            <w14:solidFill>
              <w14:schemeClr w14:val="tx1"/>
            </w14:solidFill>
          </w14:textFill>
        </w:rPr>
      </w:pPr>
      <w:r>
        <w:rPr>
          <w:color w:val="000000" w:themeColor="text1"/>
          <w14:textFill>
            <w14:solidFill>
              <w14:schemeClr w14:val="tx1"/>
            </w14:solidFill>
          </w14:textFill>
        </w:rPr>
        <w:t>（1）完善运维管理制度。运维单位应建立内部管理体系，制度应齐全、有效，单项制度内容完整、具有针对性。建立运维管理平台，平台功能齐全，具备基础信息库、人员管理、内部规范、权限管理、设施信息管理、运维工作管理、政策导则、政府对接、报表管理等功能；平台应由专人负责管理，按照相关规定对数据库与电子台账进行维护。建立专业运维队伍，在合同项目所在区域设立运维服务站，按照半小时服务圈原则合理组建运维小组，配备一定数量的运维管理人员和技术人员，并按照运维小组进行人员分组。运维单位应配备运维车辆和工具，运维车辆和工具应满足半小时服务圈要求，满足日常运维和突发事件应急需要。</w:t>
      </w:r>
    </w:p>
    <w:p w14:paraId="624C89AE">
      <w:pPr>
        <w:pStyle w:val="52"/>
        <w:rPr>
          <w:color w:val="000000" w:themeColor="text1"/>
          <w14:textFill>
            <w14:solidFill>
              <w14:schemeClr w14:val="tx1"/>
            </w14:solidFill>
          </w14:textFill>
        </w:rPr>
      </w:pPr>
      <w:r>
        <w:rPr>
          <w:color w:val="000000" w:themeColor="text1"/>
          <w14:textFill>
            <w14:solidFill>
              <w14:schemeClr w14:val="tx1"/>
            </w14:solidFill>
          </w14:textFill>
        </w:rPr>
        <w:t>（2）完善设施监测制度。根据晋安区实际情况，对于北峰山区乡镇生活污水处理设施均应配备自动监控系统，对水量水质进行监测；集镇污水处理厂一个绩效周期内至少监督性监测1次，监测应委托第三方独立开展，监测数据作为运维绩效考核依据。监测项目根据城镇污水处理厂污染物排放标准确定。</w:t>
      </w:r>
    </w:p>
    <w:p w14:paraId="40B4C9C1">
      <w:pPr>
        <w:pStyle w:val="52"/>
        <w:rPr>
          <w:color w:val="000000" w:themeColor="text1"/>
          <w14:textFill>
            <w14:solidFill>
              <w14:schemeClr w14:val="tx1"/>
            </w14:solidFill>
          </w14:textFill>
        </w:rPr>
      </w:pPr>
      <w:r>
        <w:rPr>
          <w:color w:val="000000" w:themeColor="text1"/>
          <w14:textFill>
            <w14:solidFill>
              <w14:schemeClr w14:val="tx1"/>
            </w14:solidFill>
          </w14:textFill>
        </w:rPr>
        <w:t>（3）完善安全管理制度和应急预案。运维单位建立安全管理制度，运维作业范围区设置安全警示标识，有下井作业至少两人一组，且配备安全、照明及检测工具，运维现场严禁吸烟、随意动用明火，落实定岗定人安全监护责任，作业完成后将设施复位。</w:t>
      </w:r>
    </w:p>
    <w:p w14:paraId="36DDC592">
      <w:pPr>
        <w:pStyle w:val="52"/>
        <w:rPr>
          <w:color w:val="000000" w:themeColor="text1"/>
          <w14:textFill>
            <w14:solidFill>
              <w14:schemeClr w14:val="tx1"/>
            </w14:solidFill>
          </w14:textFill>
        </w:rPr>
      </w:pPr>
      <w:r>
        <w:rPr>
          <w:color w:val="000000" w:themeColor="text1"/>
          <w14:textFill>
            <w14:solidFill>
              <w14:schemeClr w14:val="tx1"/>
            </w14:solidFill>
          </w14:textFill>
        </w:rPr>
        <w:t>（4）完善污泥和废弃物处置方案。完善站站污泥处置方案，各站点应无污泥和废弃物堆积，对污泥和废弃物进行统一收集、合理处置，对污泥和废弃物的处置做好相关台帐记录。</w:t>
      </w:r>
    </w:p>
    <w:p w14:paraId="549AE583">
      <w:pPr>
        <w:pStyle w:val="52"/>
        <w:rPr>
          <w:color w:val="000000" w:themeColor="text1"/>
          <w14:textFill>
            <w14:solidFill>
              <w14:schemeClr w14:val="tx1"/>
            </w14:solidFill>
          </w14:textFill>
        </w:rPr>
      </w:pPr>
      <w:r>
        <w:rPr>
          <w:color w:val="000000" w:themeColor="text1"/>
          <w14:textFill>
            <w14:solidFill>
              <w14:schemeClr w14:val="tx1"/>
            </w14:solidFill>
          </w14:textFill>
        </w:rPr>
        <w:t>（5）完善管网和设施改造措施。鉴于部分设施进水浓度偏低，出水与进水量不匹配问题，建议开展进一步摸排，对损坏管网和设施安排专项资金进行修复、改造更新，对湿地进行翻砂，确保污水收集率和出水水质满足考核要求。</w:t>
      </w:r>
    </w:p>
    <w:p w14:paraId="0B72BBF5">
      <w:pPr>
        <w:rPr>
          <w:color w:val="000000" w:themeColor="text1"/>
          <w14:textFill>
            <w14:solidFill>
              <w14:schemeClr w14:val="tx1"/>
            </w14:solidFill>
          </w14:textFill>
        </w:rPr>
      </w:pPr>
      <w:r>
        <w:rPr>
          <w:color w:val="000000" w:themeColor="text1"/>
          <w14:textFill>
            <w14:solidFill>
              <w14:schemeClr w14:val="tx1"/>
            </w14:solidFill>
          </w14:textFill>
        </w:rPr>
        <w:br w:type="page"/>
      </w:r>
    </w:p>
    <w:p w14:paraId="533A9484">
      <w:pPr>
        <w:pStyle w:val="3"/>
        <w:rPr>
          <w:rFonts w:ascii="Times New Roman" w:hAnsi="Times New Roman"/>
          <w:color w:val="000000" w:themeColor="text1"/>
          <w14:textFill>
            <w14:solidFill>
              <w14:schemeClr w14:val="tx1"/>
            </w14:solidFill>
          </w14:textFill>
        </w:rPr>
      </w:pPr>
      <w:bookmarkStart w:id="288" w:name="_Toc112861052"/>
      <w:bookmarkStart w:id="289" w:name="_Toc112693935"/>
      <w:bookmarkStart w:id="290" w:name="_Toc112694070"/>
      <w:r>
        <w:rPr>
          <w:rFonts w:ascii="Times New Roman" w:hAnsi="Times New Roman"/>
          <w:color w:val="000000" w:themeColor="text1"/>
          <w14:textFill>
            <w14:solidFill>
              <w14:schemeClr w14:val="tx1"/>
            </w14:solidFill>
          </w14:textFill>
        </w:rPr>
        <w:t>运维管理方案</w:t>
      </w:r>
      <w:bookmarkEnd w:id="288"/>
      <w:bookmarkEnd w:id="289"/>
      <w:bookmarkEnd w:id="290"/>
    </w:p>
    <w:p w14:paraId="7A849C4E">
      <w:pPr>
        <w:pStyle w:val="4"/>
        <w:rPr>
          <w:rFonts w:ascii="Times New Roman" w:hAnsi="Times New Roman" w:eastAsiaTheme="minorEastAsia"/>
          <w:color w:val="000000" w:themeColor="text1"/>
          <w14:textFill>
            <w14:solidFill>
              <w14:schemeClr w14:val="tx1"/>
            </w14:solidFill>
          </w14:textFill>
        </w:rPr>
      </w:pPr>
      <w:bookmarkStart w:id="291" w:name="_Toc112693936"/>
      <w:bookmarkStart w:id="292" w:name="_Toc112694071"/>
      <w:bookmarkStart w:id="293" w:name="_Toc112861053"/>
      <w:r>
        <w:rPr>
          <w:rFonts w:hint="eastAsia" w:ascii="宋体" w:hAnsi="宋体" w:eastAsia="宋体" w:cs="宋体"/>
          <w:color w:val="000000" w:themeColor="text1"/>
          <w14:textFill>
            <w14:solidFill>
              <w14:schemeClr w14:val="tx1"/>
            </w14:solidFill>
          </w14:textFill>
        </w:rPr>
        <w:t>编制依据</w:t>
      </w:r>
      <w:bookmarkEnd w:id="291"/>
      <w:bookmarkEnd w:id="292"/>
      <w:bookmarkEnd w:id="293"/>
    </w:p>
    <w:p w14:paraId="6EB3D7D4">
      <w:pPr>
        <w:pStyle w:val="52"/>
        <w:rPr>
          <w:color w:val="000000" w:themeColor="text1"/>
          <w14:textFill>
            <w14:solidFill>
              <w14:schemeClr w14:val="tx1"/>
            </w14:solidFill>
          </w14:textFill>
        </w:rPr>
      </w:pPr>
      <w:r>
        <w:rPr>
          <w:color w:val="000000" w:themeColor="text1"/>
          <w14:textFill>
            <w14:solidFill>
              <w14:schemeClr w14:val="tx1"/>
            </w14:solidFill>
          </w14:textFill>
        </w:rPr>
        <w:t>（1）《福建省城镇污水处理厂运行管理标准》（DBJ/T13-88-2010）；</w:t>
      </w:r>
    </w:p>
    <w:p w14:paraId="64AD7B8A">
      <w:pPr>
        <w:pStyle w:val="52"/>
        <w:rPr>
          <w:color w:val="000000" w:themeColor="text1"/>
          <w14:textFill>
            <w14:solidFill>
              <w14:schemeClr w14:val="tx1"/>
            </w14:solidFill>
          </w14:textFill>
        </w:rPr>
      </w:pPr>
      <w:r>
        <w:rPr>
          <w:color w:val="000000" w:themeColor="text1"/>
          <w14:textFill>
            <w14:solidFill>
              <w14:schemeClr w14:val="tx1"/>
            </w14:solidFill>
          </w14:textFill>
        </w:rPr>
        <w:t>（2）《福建省农村生活污水提升治理设施及管网运维指引》（闽环保土〔2021〕11号）；</w:t>
      </w:r>
    </w:p>
    <w:p w14:paraId="33A46ABE">
      <w:pPr>
        <w:pStyle w:val="52"/>
        <w:rPr>
          <w:color w:val="000000" w:themeColor="text1"/>
          <w14:textFill>
            <w14:solidFill>
              <w14:schemeClr w14:val="tx1"/>
            </w14:solidFill>
          </w14:textFill>
        </w:rPr>
      </w:pPr>
      <w:r>
        <w:rPr>
          <w:color w:val="000000" w:themeColor="text1"/>
          <w14:textFill>
            <w14:solidFill>
              <w14:schemeClr w14:val="tx1"/>
            </w14:solidFill>
          </w14:textFill>
        </w:rPr>
        <w:t>（3）《城镇污水处理设施污染物排放标准》（GB18918-2002）；</w:t>
      </w:r>
    </w:p>
    <w:p w14:paraId="52B521F1">
      <w:pPr>
        <w:pStyle w:val="52"/>
        <w:rPr>
          <w:color w:val="000000" w:themeColor="text1"/>
          <w14:textFill>
            <w14:solidFill>
              <w14:schemeClr w14:val="tx1"/>
            </w14:solidFill>
          </w14:textFill>
        </w:rPr>
      </w:pPr>
      <w:r>
        <w:rPr>
          <w:color w:val="000000" w:themeColor="text1"/>
          <w14:textFill>
            <w14:solidFill>
              <w14:schemeClr w14:val="tx1"/>
            </w14:solidFill>
          </w14:textFill>
        </w:rPr>
        <w:t>（4）《给水排水管道工程施工及验收规范》（GB50268-2008）；</w:t>
      </w:r>
    </w:p>
    <w:p w14:paraId="2B2BE9DC">
      <w:pPr>
        <w:pStyle w:val="52"/>
        <w:rPr>
          <w:color w:val="000000" w:themeColor="text1"/>
          <w14:textFill>
            <w14:solidFill>
              <w14:schemeClr w14:val="tx1"/>
            </w14:solidFill>
          </w14:textFill>
        </w:rPr>
      </w:pPr>
      <w:r>
        <w:rPr>
          <w:color w:val="000000" w:themeColor="text1"/>
          <w14:textFill>
            <w14:solidFill>
              <w14:schemeClr w14:val="tx1"/>
            </w14:solidFill>
          </w14:textFill>
        </w:rPr>
        <w:t>（5）《城镇污水处理厂运行、维护及安全技术规程》（CJJ60-2011）；</w:t>
      </w:r>
    </w:p>
    <w:p w14:paraId="4684446E">
      <w:pPr>
        <w:pStyle w:val="52"/>
        <w:rPr>
          <w:color w:val="000000" w:themeColor="text1"/>
          <w14:textFill>
            <w14:solidFill>
              <w14:schemeClr w14:val="tx1"/>
            </w14:solidFill>
          </w14:textFill>
        </w:rPr>
      </w:pPr>
      <w:r>
        <w:rPr>
          <w:color w:val="000000" w:themeColor="text1"/>
          <w14:textFill>
            <w14:solidFill>
              <w14:schemeClr w14:val="tx1"/>
            </w14:solidFill>
          </w14:textFill>
        </w:rPr>
        <w:t>（6）《城镇排水管道维护安全技术规程》（CJJ6-2009）；</w:t>
      </w:r>
    </w:p>
    <w:p w14:paraId="5B17CC84">
      <w:pPr>
        <w:pStyle w:val="52"/>
        <w:rPr>
          <w:color w:val="000000" w:themeColor="text1"/>
          <w14:textFill>
            <w14:solidFill>
              <w14:schemeClr w14:val="tx1"/>
            </w14:solidFill>
          </w14:textFill>
        </w:rPr>
      </w:pPr>
      <w:r>
        <w:rPr>
          <w:color w:val="000000" w:themeColor="text1"/>
          <w14:textFill>
            <w14:solidFill>
              <w14:schemeClr w14:val="tx1"/>
            </w14:solidFill>
          </w14:textFill>
        </w:rPr>
        <w:t>（7）《城镇排水管渠与泵站运行、维护及安全技术规程》（CJJ68-2016）；</w:t>
      </w:r>
    </w:p>
    <w:p w14:paraId="47D4F411">
      <w:pPr>
        <w:pStyle w:val="52"/>
        <w:rPr>
          <w:color w:val="000000" w:themeColor="text1"/>
          <w14:textFill>
            <w14:solidFill>
              <w14:schemeClr w14:val="tx1"/>
            </w14:solidFill>
          </w14:textFill>
        </w:rPr>
      </w:pPr>
      <w:r>
        <w:rPr>
          <w:color w:val="000000" w:themeColor="text1"/>
          <w14:textFill>
            <w14:solidFill>
              <w14:schemeClr w14:val="tx1"/>
            </w14:solidFill>
          </w14:textFill>
        </w:rPr>
        <w:t>（8）《城镇排水管道非开挖修复更新工程技术规程》（CJJ/T210-2014）；</w:t>
      </w:r>
    </w:p>
    <w:p w14:paraId="5A365E98">
      <w:pPr>
        <w:pStyle w:val="52"/>
        <w:rPr>
          <w:color w:val="000000" w:themeColor="text1"/>
          <w14:textFill>
            <w14:solidFill>
              <w14:schemeClr w14:val="tx1"/>
            </w14:solidFill>
          </w14:textFill>
        </w:rPr>
      </w:pPr>
      <w:r>
        <w:rPr>
          <w:color w:val="000000" w:themeColor="text1"/>
          <w14:textFill>
            <w14:solidFill>
              <w14:schemeClr w14:val="tx1"/>
            </w14:solidFill>
          </w14:textFill>
        </w:rPr>
        <w:t>（9）《城镇排水管渠与泵站运行、维护及安全技术规程》（CJJ68-2016）；</w:t>
      </w:r>
    </w:p>
    <w:p w14:paraId="1829A43F">
      <w:pPr>
        <w:pStyle w:val="52"/>
        <w:rPr>
          <w:color w:val="000000" w:themeColor="text1"/>
          <w14:textFill>
            <w14:solidFill>
              <w14:schemeClr w14:val="tx1"/>
            </w14:solidFill>
          </w14:textFill>
        </w:rPr>
      </w:pPr>
      <w:r>
        <w:rPr>
          <w:color w:val="000000" w:themeColor="text1"/>
          <w14:textFill>
            <w14:solidFill>
              <w14:schemeClr w14:val="tx1"/>
            </w14:solidFill>
          </w14:textFill>
        </w:rPr>
        <w:t>（10）《关于生产性建设项目职业安全卫生监察的暂行规定》的通知（劳动部劳字</w:t>
      </w:r>
      <w:r>
        <w:rPr>
          <w:color w:val="000000" w:themeColor="text1"/>
          <w:szCs w:val="22"/>
          <w14:textFill>
            <w14:solidFill>
              <w14:schemeClr w14:val="tx1"/>
            </w14:solidFill>
          </w14:textFill>
        </w:rPr>
        <w:br w:type="textWrapping"/>
      </w:r>
      <w:r>
        <w:rPr>
          <w:color w:val="000000" w:themeColor="text1"/>
          <w14:textFill>
            <w14:solidFill>
              <w14:schemeClr w14:val="tx1"/>
            </w14:solidFill>
          </w14:textFill>
        </w:rPr>
        <w:t>[88]48号文）；</w:t>
      </w:r>
    </w:p>
    <w:p w14:paraId="7470297D">
      <w:pPr>
        <w:pStyle w:val="52"/>
        <w:rPr>
          <w:color w:val="000000" w:themeColor="text1"/>
          <w14:textFill>
            <w14:solidFill>
              <w14:schemeClr w14:val="tx1"/>
            </w14:solidFill>
          </w14:textFill>
        </w:rPr>
      </w:pPr>
      <w:r>
        <w:rPr>
          <w:color w:val="000000" w:themeColor="text1"/>
          <w14:textFill>
            <w14:solidFill>
              <w14:schemeClr w14:val="tx1"/>
            </w14:solidFill>
          </w14:textFill>
        </w:rPr>
        <w:t>（11）《城镇给水排水技术规范》（GB50788-2012）。</w:t>
      </w:r>
    </w:p>
    <w:p w14:paraId="17FA56AE">
      <w:pPr>
        <w:pStyle w:val="4"/>
        <w:rPr>
          <w:rFonts w:ascii="Times New Roman" w:hAnsi="Times New Roman" w:eastAsiaTheme="minorEastAsia"/>
          <w:color w:val="000000" w:themeColor="text1"/>
          <w14:textFill>
            <w14:solidFill>
              <w14:schemeClr w14:val="tx1"/>
            </w14:solidFill>
          </w14:textFill>
        </w:rPr>
      </w:pPr>
      <w:bookmarkStart w:id="294" w:name="_Toc112694072"/>
      <w:bookmarkStart w:id="295" w:name="_Toc112693937"/>
      <w:bookmarkStart w:id="296" w:name="_Toc112861054"/>
      <w:r>
        <w:rPr>
          <w:rFonts w:hint="eastAsia" w:ascii="宋体" w:hAnsi="宋体" w:eastAsia="宋体" w:cs="宋体"/>
          <w:color w:val="000000" w:themeColor="text1"/>
          <w14:textFill>
            <w14:solidFill>
              <w14:schemeClr w14:val="tx1"/>
            </w14:solidFill>
          </w14:textFill>
        </w:rPr>
        <w:t>总体要求</w:t>
      </w:r>
      <w:bookmarkEnd w:id="294"/>
      <w:bookmarkEnd w:id="295"/>
      <w:bookmarkEnd w:id="296"/>
    </w:p>
    <w:p w14:paraId="2CAA374E">
      <w:pPr>
        <w:pStyle w:val="6"/>
        <w:rPr>
          <w:color w:val="000000" w:themeColor="text1"/>
          <w14:textFill>
            <w14:solidFill>
              <w14:schemeClr w14:val="tx1"/>
            </w14:solidFill>
          </w14:textFill>
        </w:rPr>
      </w:pPr>
      <w:bookmarkStart w:id="297" w:name="_Toc112692640"/>
      <w:bookmarkStart w:id="298" w:name="_Toc112693938"/>
      <w:bookmarkStart w:id="299" w:name="_Toc112694073"/>
      <w:r>
        <w:rPr>
          <w:color w:val="000000" w:themeColor="text1"/>
          <w14:textFill>
            <w14:solidFill>
              <w14:schemeClr w14:val="tx1"/>
            </w14:solidFill>
          </w14:textFill>
        </w:rPr>
        <w:t>管护对象与目标</w:t>
      </w:r>
      <w:bookmarkEnd w:id="297"/>
      <w:bookmarkEnd w:id="298"/>
      <w:bookmarkEnd w:id="299"/>
    </w:p>
    <w:p w14:paraId="7E18F0A5">
      <w:pPr>
        <w:pStyle w:val="7"/>
        <w:rPr>
          <w:color w:val="000000" w:themeColor="text1"/>
          <w14:textFill>
            <w14:solidFill>
              <w14:schemeClr w14:val="tx1"/>
            </w14:solidFill>
          </w14:textFill>
        </w:rPr>
      </w:pPr>
      <w:r>
        <w:rPr>
          <w:color w:val="000000" w:themeColor="text1"/>
          <w14:textFill>
            <w14:solidFill>
              <w14:schemeClr w14:val="tx1"/>
            </w14:solidFill>
          </w14:textFill>
        </w:rPr>
        <w:t>管护对象</w:t>
      </w:r>
    </w:p>
    <w:p w14:paraId="23608694">
      <w:pPr>
        <w:pStyle w:val="52"/>
        <w:rPr>
          <w:color w:val="000000" w:themeColor="text1"/>
          <w14:textFill>
            <w14:solidFill>
              <w14:schemeClr w14:val="tx1"/>
            </w14:solidFill>
          </w14:textFill>
        </w:rPr>
      </w:pPr>
      <w:r>
        <w:rPr>
          <w:color w:val="000000" w:themeColor="text1"/>
          <w14:textFill>
            <w14:solidFill>
              <w14:schemeClr w14:val="tx1"/>
            </w14:solidFill>
          </w14:textFill>
        </w:rPr>
        <w:t>管护对象为乡镇政府所在集镇生活污水处理设施及污水管网。</w:t>
      </w:r>
    </w:p>
    <w:p w14:paraId="3D222740">
      <w:pPr>
        <w:pStyle w:val="52"/>
        <w:rPr>
          <w:color w:val="000000" w:themeColor="text1"/>
          <w14:textFill>
            <w14:solidFill>
              <w14:schemeClr w14:val="tx1"/>
            </w14:solidFill>
          </w14:textFill>
        </w:rPr>
      </w:pPr>
      <w:r>
        <w:rPr>
          <w:color w:val="000000" w:themeColor="text1"/>
          <w14:textFill>
            <w14:solidFill>
              <w14:schemeClr w14:val="tx1"/>
            </w14:solidFill>
          </w14:textFill>
        </w:rPr>
        <w:t>乡镇生活污水处理设施指的是将乡镇生活污水收集系统传输来的污水进行水质净化的处理设施，包括预处理设施、主要处理设施、尾水排放设施和设备间等。</w:t>
      </w:r>
    </w:p>
    <w:p w14:paraId="7A999AF7">
      <w:pPr>
        <w:pStyle w:val="52"/>
        <w:rPr>
          <w:color w:val="000000" w:themeColor="text1"/>
          <w14:textFill>
            <w14:solidFill>
              <w14:schemeClr w14:val="tx1"/>
            </w14:solidFill>
          </w14:textFill>
        </w:rPr>
      </w:pPr>
      <w:r>
        <w:rPr>
          <w:color w:val="000000" w:themeColor="text1"/>
          <w14:textFill>
            <w14:solidFill>
              <w14:schemeClr w14:val="tx1"/>
            </w14:solidFill>
          </w14:textFill>
        </w:rPr>
        <w:t>乡镇生活污水管网指的是通过重力自排或提升泵站输送至终端处理设施的污水收集设施，主要包括接户管、污水支干管、检查井、截流井、跌水井、提升泵站等。</w:t>
      </w:r>
    </w:p>
    <w:p w14:paraId="7A02E5DD">
      <w:pPr>
        <w:pStyle w:val="7"/>
        <w:rPr>
          <w:color w:val="000000" w:themeColor="text1"/>
          <w14:textFill>
            <w14:solidFill>
              <w14:schemeClr w14:val="tx1"/>
            </w14:solidFill>
          </w14:textFill>
        </w:rPr>
      </w:pPr>
      <w:r>
        <w:rPr>
          <w:color w:val="000000" w:themeColor="text1"/>
          <w14:textFill>
            <w14:solidFill>
              <w14:schemeClr w14:val="tx1"/>
            </w14:solidFill>
          </w14:textFill>
        </w:rPr>
        <w:t>管护目标</w:t>
      </w:r>
    </w:p>
    <w:p w14:paraId="60FD1A74">
      <w:pPr>
        <w:pStyle w:val="52"/>
        <w:rPr>
          <w:color w:val="000000" w:themeColor="text1"/>
          <w14:textFill>
            <w14:solidFill>
              <w14:schemeClr w14:val="tx1"/>
            </w14:solidFill>
          </w14:textFill>
        </w:rPr>
      </w:pPr>
      <w:r>
        <w:rPr>
          <w:color w:val="000000" w:themeColor="text1"/>
          <w14:textFill>
            <w14:solidFill>
              <w14:schemeClr w14:val="tx1"/>
            </w14:solidFill>
          </w14:textFill>
        </w:rPr>
        <w:t>保障乡镇生活污水处理设施及管网运行正常，处理后的尾水水质达到规定的排放标准；确保污水管道通畅、杜绝污水外溢、检查井、进水井内无淤积物，污水井盖无缺失、无破损、无轧响，雨天少积水和内涝现象，保证各管网性能良好、运行正常、稳定。</w:t>
      </w:r>
    </w:p>
    <w:p w14:paraId="64A88B6A">
      <w:pPr>
        <w:pStyle w:val="6"/>
        <w:rPr>
          <w:color w:val="000000" w:themeColor="text1"/>
          <w14:textFill>
            <w14:solidFill>
              <w14:schemeClr w14:val="tx1"/>
            </w14:solidFill>
          </w14:textFill>
        </w:rPr>
      </w:pPr>
      <w:bookmarkStart w:id="300" w:name="_Toc112692641"/>
      <w:bookmarkStart w:id="301" w:name="_Toc112693939"/>
      <w:bookmarkStart w:id="302" w:name="_Toc112694074"/>
      <w:r>
        <w:rPr>
          <w:color w:val="000000" w:themeColor="text1"/>
          <w14:textFill>
            <w14:solidFill>
              <w14:schemeClr w14:val="tx1"/>
            </w14:solidFill>
          </w14:textFill>
        </w:rPr>
        <w:t>管护内容</w:t>
      </w:r>
      <w:bookmarkEnd w:id="300"/>
      <w:bookmarkEnd w:id="301"/>
      <w:bookmarkEnd w:id="302"/>
    </w:p>
    <w:p w14:paraId="78793680">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污水处理设施管护内容包括设备管护、出水定期检测、配套管网巡查、污泥无害化处置等。</w:t>
      </w:r>
    </w:p>
    <w:p w14:paraId="6A979507">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污水收集管网的管护包括管渠巡查、管渠养护、管渠清淤、污泥运输与处置、管渠检查与评估、管渠修理、管渠封堵与废除、纳管管理。</w:t>
      </w:r>
    </w:p>
    <w:p w14:paraId="5F18F340">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运维单位按照有关规定和运行维护服务合同约定，对污水收集系统和处理设施开展常态化养护、巡查，及时处理设施故障，并清理、处置污水处理产生的垃圾和污泥，同时将运行维护情况报有关部门备案。</w:t>
      </w:r>
    </w:p>
    <w:p w14:paraId="4C67274B">
      <w:pPr>
        <w:pStyle w:val="6"/>
        <w:rPr>
          <w:color w:val="000000" w:themeColor="text1"/>
          <w14:textFill>
            <w14:solidFill>
              <w14:schemeClr w14:val="tx1"/>
            </w14:solidFill>
          </w14:textFill>
        </w:rPr>
      </w:pPr>
      <w:bookmarkStart w:id="303" w:name="_Toc112692642"/>
      <w:bookmarkStart w:id="304" w:name="_Toc112693940"/>
      <w:bookmarkStart w:id="305" w:name="_Toc112694075"/>
      <w:r>
        <w:rPr>
          <w:color w:val="000000" w:themeColor="text1"/>
          <w14:textFill>
            <w14:solidFill>
              <w14:schemeClr w14:val="tx1"/>
            </w14:solidFill>
          </w14:textFill>
        </w:rPr>
        <w:t>管护主体</w:t>
      </w:r>
      <w:bookmarkEnd w:id="303"/>
      <w:bookmarkEnd w:id="304"/>
      <w:bookmarkEnd w:id="305"/>
    </w:p>
    <w:p w14:paraId="5A1B99CF">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平台公司负责、各镇配合对乡镇生活污水处理设施进行管理，督促运营单位做好设施设备的管护工作，保证项目正常运行，长期发挥效益；平台公司统一负责配套管网运维管理工作，保证各管网性能良好、运行正常、稳定。</w:t>
      </w:r>
    </w:p>
    <w:p w14:paraId="1B8F5AD7">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县级人民政府应推进以县域为单位捆绑打包乡镇生活污水建设运营市场化工作，提升乡镇生活污水设施运营管理专业化、规范化、智能化水平。</w:t>
      </w:r>
    </w:p>
    <w:p w14:paraId="42300446">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县级主管部门负责对乡镇生活污水设施管护落实情况进行监督检查，督促完善制度、落实责任。</w:t>
      </w:r>
    </w:p>
    <w:p w14:paraId="4E2DEF39">
      <w:pPr>
        <w:pStyle w:val="6"/>
        <w:rPr>
          <w:color w:val="000000" w:themeColor="text1"/>
          <w14:textFill>
            <w14:solidFill>
              <w14:schemeClr w14:val="tx1"/>
            </w14:solidFill>
          </w14:textFill>
        </w:rPr>
      </w:pPr>
      <w:bookmarkStart w:id="306" w:name="_Toc112692643"/>
      <w:bookmarkStart w:id="307" w:name="_Toc112693941"/>
      <w:bookmarkStart w:id="308" w:name="_Toc112694076"/>
      <w:r>
        <w:rPr>
          <w:color w:val="000000" w:themeColor="text1"/>
          <w14:textFill>
            <w14:solidFill>
              <w14:schemeClr w14:val="tx1"/>
            </w14:solidFill>
          </w14:textFill>
        </w:rPr>
        <w:t>管护制度</w:t>
      </w:r>
      <w:bookmarkEnd w:id="306"/>
      <w:bookmarkEnd w:id="307"/>
      <w:bookmarkEnd w:id="308"/>
    </w:p>
    <w:p w14:paraId="67996906">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乡镇生活污水处理设施运营单位应当制定乡镇生活污水处理设施运行管理制度，制定具体的运行维护计划，明确日常运行维护内容，落实专人进行维护管理，建立健全运行维护管理制度，做好运行维护管理记录。</w:t>
      </w:r>
    </w:p>
    <w:p w14:paraId="1B559F9D">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管理人员应定期接受污水处理设施专业知识、安全防护、紧急处理等理论和操作技能培训。</w:t>
      </w:r>
    </w:p>
    <w:p w14:paraId="337CCEFE">
      <w:pPr>
        <w:pStyle w:val="4"/>
        <w:rPr>
          <w:rFonts w:ascii="Times New Roman" w:hAnsi="Times New Roman" w:eastAsiaTheme="minorEastAsia"/>
          <w:color w:val="000000" w:themeColor="text1"/>
          <w14:textFill>
            <w14:solidFill>
              <w14:schemeClr w14:val="tx1"/>
            </w14:solidFill>
          </w14:textFill>
        </w:rPr>
      </w:pPr>
      <w:bookmarkStart w:id="309" w:name="_Toc112693942"/>
      <w:bookmarkStart w:id="310" w:name="_Toc112694077"/>
      <w:bookmarkStart w:id="311" w:name="_Toc112861055"/>
      <w:r>
        <w:rPr>
          <w:rFonts w:hint="eastAsia" w:ascii="宋体" w:hAnsi="宋体" w:eastAsia="宋体" w:cs="宋体"/>
          <w:color w:val="000000" w:themeColor="text1"/>
          <w14:textFill>
            <w14:solidFill>
              <w14:schemeClr w14:val="tx1"/>
            </w14:solidFill>
          </w14:textFill>
        </w:rPr>
        <w:t>设施运维</w:t>
      </w:r>
      <w:bookmarkEnd w:id="309"/>
      <w:bookmarkEnd w:id="310"/>
      <w:bookmarkEnd w:id="311"/>
    </w:p>
    <w:p w14:paraId="6ECB85C0">
      <w:pPr>
        <w:pStyle w:val="6"/>
        <w:rPr>
          <w:color w:val="000000" w:themeColor="text1"/>
          <w14:textFill>
            <w14:solidFill>
              <w14:schemeClr w14:val="tx1"/>
            </w14:solidFill>
          </w14:textFill>
        </w:rPr>
      </w:pPr>
      <w:bookmarkStart w:id="312" w:name="_Toc112692645"/>
      <w:bookmarkStart w:id="313" w:name="_Toc112693943"/>
      <w:bookmarkStart w:id="314" w:name="_Toc112694078"/>
      <w:r>
        <w:rPr>
          <w:color w:val="000000" w:themeColor="text1"/>
          <w14:textFill>
            <w14:solidFill>
              <w14:schemeClr w14:val="tx1"/>
            </w14:solidFill>
          </w14:textFill>
        </w:rPr>
        <w:t>总体规定</w:t>
      </w:r>
      <w:bookmarkEnd w:id="312"/>
      <w:bookmarkEnd w:id="313"/>
      <w:bookmarkEnd w:id="314"/>
    </w:p>
    <w:p w14:paraId="05414188">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1、乡镇生活污水处理设施运维主要包括预处理设施、生物反应池及二沉池、膜生物反应器、一体化生物转盘污水处理设施、人工湿地、深度处理设施、消毒设施、配套设施的运行、检查及维护。</w:t>
      </w:r>
    </w:p>
    <w:p w14:paraId="5E420967">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2、运维单位可依据本指导意见制定相应的运行维护管理制度体系，包括但不限于岗位责任、培训考核、工作流程、运维手册、记录评估、安全生产等规章制度，并应定期修订。</w:t>
      </w:r>
    </w:p>
    <w:p w14:paraId="6AEA13C9">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3、运维单位运行维护人员应经培训具备合格的运行维护技能后上岗。</w:t>
      </w:r>
    </w:p>
    <w:p w14:paraId="5B866EA6">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4、污水处理设施的出水水质应符合排放标准的规定。</w:t>
      </w:r>
    </w:p>
    <w:p w14:paraId="36AF5209">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5、各类污水处理设施、设备的运行维护应满足产品说明书中操作规范的要求。</w:t>
      </w:r>
    </w:p>
    <w:p w14:paraId="1076CE9D">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6、乡镇生活污水处理设施的运行维护直采用监控中心或区域集控中心视频监控、生产监视、自动化控制的方式，必要时进行现场巡视。对运行维护中发现的问题应立即采取调控、维护措施，避免影响污水处理设施正常运行。</w:t>
      </w:r>
    </w:p>
    <w:p w14:paraId="2E1A4489">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7、乡镇生活污水处理设施不得擅自停运。需停运或者部分停运时，应当事先制定临时污水达标排放组织方案并上报主管部门批准后才可实施，并应在规定的时限内恢复正常运行。</w:t>
      </w:r>
    </w:p>
    <w:p w14:paraId="674C4F7D">
      <w:pPr>
        <w:pStyle w:val="6"/>
        <w:rPr>
          <w:color w:val="000000" w:themeColor="text1"/>
          <w14:textFill>
            <w14:solidFill>
              <w14:schemeClr w14:val="tx1"/>
            </w14:solidFill>
          </w14:textFill>
        </w:rPr>
      </w:pPr>
      <w:bookmarkStart w:id="315" w:name="_Toc112692646"/>
      <w:bookmarkStart w:id="316" w:name="_Toc112693944"/>
      <w:bookmarkStart w:id="317" w:name="_Toc112694079"/>
      <w:r>
        <w:rPr>
          <w:color w:val="000000" w:themeColor="text1"/>
          <w14:textFill>
            <w14:solidFill>
              <w14:schemeClr w14:val="tx1"/>
            </w14:solidFill>
          </w14:textFill>
        </w:rPr>
        <w:t>设施运行维护要求</w:t>
      </w:r>
      <w:bookmarkEnd w:id="315"/>
      <w:bookmarkEnd w:id="316"/>
      <w:bookmarkEnd w:id="317"/>
    </w:p>
    <w:p w14:paraId="3BB2DC03">
      <w:pPr>
        <w:pStyle w:val="7"/>
        <w:rPr>
          <w:color w:val="000000" w:themeColor="text1"/>
          <w14:textFill>
            <w14:solidFill>
              <w14:schemeClr w14:val="tx1"/>
            </w14:solidFill>
          </w14:textFill>
        </w:rPr>
      </w:pPr>
      <w:r>
        <w:rPr>
          <w:color w:val="000000" w:themeColor="text1"/>
          <w14:textFill>
            <w14:solidFill>
              <w14:schemeClr w14:val="tx1"/>
            </w14:solidFill>
          </w14:textFill>
        </w:rPr>
        <w:t>污水处理质量</w:t>
      </w:r>
    </w:p>
    <w:p w14:paraId="2D444387">
      <w:pPr>
        <w:pStyle w:val="52"/>
        <w:rPr>
          <w:color w:val="000000" w:themeColor="text1"/>
          <w14:textFill>
            <w14:solidFill>
              <w14:schemeClr w14:val="tx1"/>
            </w14:solidFill>
          </w14:textFill>
        </w:rPr>
      </w:pPr>
      <w:r>
        <w:rPr>
          <w:color w:val="000000" w:themeColor="text1"/>
          <w14:textFill>
            <w14:solidFill>
              <w14:schemeClr w14:val="tx1"/>
            </w14:solidFill>
          </w14:textFill>
        </w:rPr>
        <w:t>建立管网接户档案。新建污水处理设施服务区范范内不少于90%污水被收集处理。</w:t>
      </w:r>
    </w:p>
    <w:p w14:paraId="0B33537E">
      <w:pPr>
        <w:pStyle w:val="7"/>
        <w:rPr>
          <w:color w:val="000000" w:themeColor="text1"/>
          <w14:textFill>
            <w14:solidFill>
              <w14:schemeClr w14:val="tx1"/>
            </w14:solidFill>
          </w14:textFill>
        </w:rPr>
      </w:pPr>
      <w:r>
        <w:rPr>
          <w:color w:val="000000" w:themeColor="text1"/>
          <w14:textFill>
            <w14:solidFill>
              <w14:schemeClr w14:val="tx1"/>
            </w14:solidFill>
          </w14:textFill>
        </w:rPr>
        <w:t>预处理设施的运行维护</w:t>
      </w:r>
    </w:p>
    <w:p w14:paraId="0A3F6EBD">
      <w:pPr>
        <w:pStyle w:val="52"/>
        <w:rPr>
          <w:color w:val="000000" w:themeColor="text1"/>
          <w14:textFill>
            <w14:solidFill>
              <w14:schemeClr w14:val="tx1"/>
            </w14:solidFill>
          </w14:textFill>
        </w:rPr>
      </w:pPr>
      <w:r>
        <w:rPr>
          <w:color w:val="000000" w:themeColor="text1"/>
          <w14:textFill>
            <w14:solidFill>
              <w14:schemeClr w14:val="tx1"/>
            </w14:solidFill>
          </w14:textFill>
        </w:rPr>
        <w:t>（1）格栅运行应符合下列规定</w:t>
      </w:r>
    </w:p>
    <w:p w14:paraId="4F905CEB">
      <w:pPr>
        <w:pStyle w:val="52"/>
        <w:rPr>
          <w:color w:val="000000" w:themeColor="text1"/>
          <w14:textFill>
            <w14:solidFill>
              <w14:schemeClr w14:val="tx1"/>
            </w14:solidFill>
          </w14:textFill>
        </w:rPr>
      </w:pPr>
      <w:r>
        <w:rPr>
          <w:color w:val="000000" w:themeColor="text1"/>
          <w14:textFill>
            <w14:solidFill>
              <w14:schemeClr w14:val="tx1"/>
            </w14:solidFill>
          </w14:textFill>
        </w:rPr>
        <w:t>1、格栅运行中应定时监控，发现设备异常应立即停机检修；</w:t>
      </w:r>
    </w:p>
    <w:p w14:paraId="5B4CD81E">
      <w:pPr>
        <w:pStyle w:val="52"/>
        <w:rPr>
          <w:color w:val="000000" w:themeColor="text1"/>
          <w14:textFill>
            <w14:solidFill>
              <w14:schemeClr w14:val="tx1"/>
            </w14:solidFill>
          </w14:textFill>
        </w:rPr>
      </w:pPr>
      <w:r>
        <w:rPr>
          <w:color w:val="000000" w:themeColor="text1"/>
          <w14:textFill>
            <w14:solidFill>
              <w14:schemeClr w14:val="tx1"/>
            </w14:solidFill>
          </w14:textFill>
        </w:rPr>
        <w:t>2、对传动机构应定期检查，并应保证设备处于良好的运行状态；</w:t>
      </w:r>
    </w:p>
    <w:p w14:paraId="6FD14376">
      <w:pPr>
        <w:pStyle w:val="52"/>
        <w:rPr>
          <w:color w:val="000000" w:themeColor="text1"/>
          <w14:textFill>
            <w14:solidFill>
              <w14:schemeClr w14:val="tx1"/>
            </w14:solidFill>
          </w14:textFill>
        </w:rPr>
      </w:pPr>
      <w:r>
        <w:rPr>
          <w:color w:val="000000" w:themeColor="text1"/>
          <w14:textFill>
            <w14:solidFill>
              <w14:schemeClr w14:val="tx1"/>
            </w14:solidFill>
          </w14:textFill>
        </w:rPr>
        <w:t>3、汛期应加强巡视，增加清污次数；</w:t>
      </w:r>
    </w:p>
    <w:p w14:paraId="1E1C9786">
      <w:pPr>
        <w:pStyle w:val="52"/>
        <w:rPr>
          <w:color w:val="000000" w:themeColor="text1"/>
          <w14:textFill>
            <w14:solidFill>
              <w14:schemeClr w14:val="tx1"/>
            </w14:solidFill>
          </w14:textFill>
        </w:rPr>
      </w:pPr>
      <w:r>
        <w:rPr>
          <w:color w:val="000000" w:themeColor="text1"/>
          <w14:textFill>
            <w14:solidFill>
              <w14:schemeClr w14:val="tx1"/>
            </w14:solidFill>
          </w14:textFill>
        </w:rPr>
        <w:t>4、运行中应避免以下情况的发生：1)金属构件被腐蚀、缺损；2)格栅井中栅渣过多未及时处理或存在大块杂物及漂浮物。</w:t>
      </w:r>
    </w:p>
    <w:p w14:paraId="46886250">
      <w:pPr>
        <w:pStyle w:val="52"/>
        <w:rPr>
          <w:color w:val="000000" w:themeColor="text1"/>
          <w14:textFill>
            <w14:solidFill>
              <w14:schemeClr w14:val="tx1"/>
            </w14:solidFill>
          </w14:textFill>
        </w:rPr>
      </w:pPr>
      <w:r>
        <w:rPr>
          <w:color w:val="000000" w:themeColor="text1"/>
          <w14:textFill>
            <w14:solidFill>
              <w14:schemeClr w14:val="tx1"/>
            </w14:solidFill>
          </w14:textFill>
        </w:rPr>
        <w:t>（2）格栅维护应符合下列规定</w:t>
      </w:r>
    </w:p>
    <w:p w14:paraId="02EC2847">
      <w:pPr>
        <w:pStyle w:val="52"/>
        <w:rPr>
          <w:color w:val="000000" w:themeColor="text1"/>
          <w14:textFill>
            <w14:solidFill>
              <w14:schemeClr w14:val="tx1"/>
            </w14:solidFill>
          </w14:textFill>
        </w:rPr>
      </w:pPr>
      <w:r>
        <w:rPr>
          <w:color w:val="000000" w:themeColor="text1"/>
          <w14:textFill>
            <w14:solidFill>
              <w14:schemeClr w14:val="tx1"/>
            </w14:solidFill>
          </w14:textFill>
        </w:rPr>
        <w:t>1、栅渣过多时，应及时采用栅渣清理工具（如清渣网、 储渣桶等） 清理；</w:t>
      </w:r>
    </w:p>
    <w:p w14:paraId="6C9E3287">
      <w:pPr>
        <w:pStyle w:val="52"/>
        <w:rPr>
          <w:color w:val="000000" w:themeColor="text1"/>
          <w14:textFill>
            <w14:solidFill>
              <w14:schemeClr w14:val="tx1"/>
            </w14:solidFill>
          </w14:textFill>
        </w:rPr>
      </w:pPr>
      <w:r>
        <w:rPr>
          <w:color w:val="000000" w:themeColor="text1"/>
          <w14:textFill>
            <w14:solidFill>
              <w14:schemeClr w14:val="tx1"/>
            </w14:solidFill>
          </w14:textFill>
        </w:rPr>
        <w:t>2、栅渣应定期清除和妥善处置，避免堆积产生恶臭、蚊虫等二次污染：</w:t>
      </w:r>
    </w:p>
    <w:p w14:paraId="604551F6">
      <w:pPr>
        <w:pStyle w:val="52"/>
        <w:rPr>
          <w:color w:val="000000" w:themeColor="text1"/>
          <w14:textFill>
            <w14:solidFill>
              <w14:schemeClr w14:val="tx1"/>
            </w14:solidFill>
          </w14:textFill>
        </w:rPr>
      </w:pPr>
      <w:r>
        <w:rPr>
          <w:color w:val="000000" w:themeColor="text1"/>
          <w14:textFill>
            <w14:solidFill>
              <w14:schemeClr w14:val="tx1"/>
            </w14:solidFill>
          </w14:textFill>
        </w:rPr>
        <w:t>3、长期停止运行的粉碎型格栅，应吊离污水池，不得长期浸泡在污水池中，并做好设备的清洁保养工作。</w:t>
      </w:r>
    </w:p>
    <w:p w14:paraId="696D6955">
      <w:pPr>
        <w:pStyle w:val="52"/>
        <w:rPr>
          <w:color w:val="000000" w:themeColor="text1"/>
          <w14:textFill>
            <w14:solidFill>
              <w14:schemeClr w14:val="tx1"/>
            </w14:solidFill>
          </w14:textFill>
        </w:rPr>
      </w:pPr>
      <w:r>
        <w:rPr>
          <w:color w:val="000000" w:themeColor="text1"/>
          <w14:textFill>
            <w14:solidFill>
              <w14:schemeClr w14:val="tx1"/>
            </w14:solidFill>
          </w14:textFill>
        </w:rPr>
        <w:t>（3）集水井、 泵井和调节池运行应符合下列规定</w:t>
      </w:r>
    </w:p>
    <w:p w14:paraId="0C2D9DB4">
      <w:pPr>
        <w:pStyle w:val="52"/>
        <w:rPr>
          <w:color w:val="000000" w:themeColor="text1"/>
          <w14:textFill>
            <w14:solidFill>
              <w14:schemeClr w14:val="tx1"/>
            </w14:solidFill>
          </w14:textFill>
        </w:rPr>
      </w:pPr>
      <w:r>
        <w:rPr>
          <w:color w:val="000000" w:themeColor="text1"/>
          <w14:textFill>
            <w14:solidFill>
              <w14:schemeClr w14:val="tx1"/>
            </w14:solidFill>
          </w14:textFill>
        </w:rPr>
        <w:t>1、多台水泵不得同时起动，应间隔起动；操作人员在水泵首次或长期停用后应先检查，后启动。 需至水泵运行稳定后，方可离开；</w:t>
      </w:r>
    </w:p>
    <w:p w14:paraId="230169F0">
      <w:pPr>
        <w:pStyle w:val="52"/>
        <w:rPr>
          <w:color w:val="000000" w:themeColor="text1"/>
          <w14:textFill>
            <w14:solidFill>
              <w14:schemeClr w14:val="tx1"/>
            </w14:solidFill>
          </w14:textFill>
        </w:rPr>
      </w:pPr>
      <w:r>
        <w:rPr>
          <w:color w:val="000000" w:themeColor="text1"/>
          <w14:textFill>
            <w14:solidFill>
              <w14:schemeClr w14:val="tx1"/>
            </w14:solidFill>
          </w14:textFill>
        </w:rPr>
        <w:t>2、集水井、泵井、调节池水位应定时监控，应设定在最高和最低水位范围内：</w:t>
      </w:r>
    </w:p>
    <w:p w14:paraId="6FE713F5">
      <w:pPr>
        <w:pStyle w:val="52"/>
        <w:rPr>
          <w:color w:val="000000" w:themeColor="text1"/>
          <w14:textFill>
            <w14:solidFill>
              <w14:schemeClr w14:val="tx1"/>
            </w14:solidFill>
          </w14:textFill>
        </w:rPr>
      </w:pPr>
      <w:r>
        <w:rPr>
          <w:color w:val="000000" w:themeColor="text1"/>
          <w14:textFill>
            <w14:solidFill>
              <w14:schemeClr w14:val="tx1"/>
            </w14:solidFill>
          </w14:textFill>
        </w:rPr>
        <w:t>3、水泵运行中发现异常情况，如突然发生异常声响或震动等，必须立即停机；</w:t>
      </w:r>
    </w:p>
    <w:p w14:paraId="79637DC5">
      <w:pPr>
        <w:pStyle w:val="52"/>
        <w:rPr>
          <w:color w:val="000000" w:themeColor="text1"/>
          <w14:textFill>
            <w14:solidFill>
              <w14:schemeClr w14:val="tx1"/>
            </w14:solidFill>
          </w14:textFill>
        </w:rPr>
      </w:pPr>
      <w:r>
        <w:rPr>
          <w:color w:val="000000" w:themeColor="text1"/>
          <w14:textFill>
            <w14:solidFill>
              <w14:schemeClr w14:val="tx1"/>
            </w14:solidFill>
          </w14:textFill>
        </w:rPr>
        <w:t>4、水泵在运行中，须严格执行巡检制度。应避免以下情况的发生：</w:t>
      </w:r>
    </w:p>
    <w:p w14:paraId="262AD79E">
      <w:pPr>
        <w:pStyle w:val="52"/>
        <w:rPr>
          <w:color w:val="000000" w:themeColor="text1"/>
          <w14:textFill>
            <w14:solidFill>
              <w14:schemeClr w14:val="tx1"/>
            </w14:solidFill>
          </w14:textFill>
        </w:rPr>
      </w:pPr>
      <w:r>
        <w:rPr>
          <w:color w:val="000000" w:themeColor="text1"/>
          <w14:textFill>
            <w14:solidFill>
              <w14:schemeClr w14:val="tx1"/>
            </w14:solidFill>
          </w14:textFill>
        </w:rPr>
        <w:t>1)各种仪表显示不正常、波动较大；</w:t>
      </w:r>
    </w:p>
    <w:p w14:paraId="10314540">
      <w:pPr>
        <w:pStyle w:val="52"/>
        <w:rPr>
          <w:color w:val="000000" w:themeColor="text1"/>
          <w14:textFill>
            <w14:solidFill>
              <w14:schemeClr w14:val="tx1"/>
            </w14:solidFill>
          </w14:textFill>
        </w:rPr>
      </w:pPr>
      <w:r>
        <w:rPr>
          <w:color w:val="000000" w:themeColor="text1"/>
          <w14:textFill>
            <w14:solidFill>
              <w14:schemeClr w14:val="tx1"/>
            </w14:solidFill>
          </w14:textFill>
        </w:rPr>
        <w:t>2)轴承温升超过环境温度35℃或设定的温度或总和温度超过产品要求的温度；</w:t>
      </w:r>
    </w:p>
    <w:p w14:paraId="3ED365BD">
      <w:pPr>
        <w:pStyle w:val="52"/>
        <w:rPr>
          <w:color w:val="000000" w:themeColor="text1"/>
          <w14:textFill>
            <w14:solidFill>
              <w14:schemeClr w14:val="tx1"/>
            </w14:solidFill>
          </w14:textFill>
        </w:rPr>
      </w:pPr>
      <w:r>
        <w:rPr>
          <w:color w:val="000000" w:themeColor="text1"/>
          <w14:textFill>
            <w14:solidFill>
              <w14:schemeClr w14:val="tx1"/>
            </w14:solidFill>
          </w14:textFill>
        </w:rPr>
        <w:t>3)水泵组件有缺失、机械损害、电缆破损：</w:t>
      </w:r>
    </w:p>
    <w:p w14:paraId="5B74EF90">
      <w:pPr>
        <w:pStyle w:val="52"/>
        <w:rPr>
          <w:color w:val="000000" w:themeColor="text1"/>
          <w14:textFill>
            <w14:solidFill>
              <w14:schemeClr w14:val="tx1"/>
            </w14:solidFill>
          </w14:textFill>
        </w:rPr>
      </w:pPr>
      <w:r>
        <w:rPr>
          <w:color w:val="000000" w:themeColor="text1"/>
          <w14:textFill>
            <w14:solidFill>
              <w14:schemeClr w14:val="tx1"/>
            </w14:solidFill>
          </w14:textFill>
        </w:rPr>
        <w:t>4)叶轮堵塞或变形、机械密封滴漏水：</w:t>
      </w:r>
    </w:p>
    <w:p w14:paraId="60404BE5">
      <w:pPr>
        <w:pStyle w:val="52"/>
        <w:rPr>
          <w:color w:val="000000" w:themeColor="text1"/>
          <w14:textFill>
            <w14:solidFill>
              <w14:schemeClr w14:val="tx1"/>
            </w14:solidFill>
          </w14:textFill>
        </w:rPr>
      </w:pPr>
      <w:r>
        <w:rPr>
          <w:color w:val="000000" w:themeColor="text1"/>
          <w14:textFill>
            <w14:solidFill>
              <w14:schemeClr w14:val="tx1"/>
            </w14:solidFill>
          </w14:textFill>
        </w:rPr>
        <w:t>5)水泵填料压盖处发热，滴水不正常。</w:t>
      </w:r>
    </w:p>
    <w:p w14:paraId="406A307D">
      <w:pPr>
        <w:pStyle w:val="52"/>
        <w:rPr>
          <w:color w:val="000000" w:themeColor="text1"/>
          <w14:textFill>
            <w14:solidFill>
              <w14:schemeClr w14:val="tx1"/>
            </w14:solidFill>
          </w14:textFill>
        </w:rPr>
      </w:pPr>
      <w:r>
        <w:rPr>
          <w:color w:val="000000" w:themeColor="text1"/>
          <w14:textFill>
            <w14:solidFill>
              <w14:schemeClr w14:val="tx1"/>
            </w14:solidFill>
          </w14:textFill>
        </w:rPr>
        <w:t>（4）集水井、泵维护应符合下列规定：</w:t>
      </w:r>
    </w:p>
    <w:p w14:paraId="76428E1C">
      <w:pPr>
        <w:pStyle w:val="52"/>
        <w:rPr>
          <w:color w:val="000000" w:themeColor="text1"/>
          <w14:textFill>
            <w14:solidFill>
              <w14:schemeClr w14:val="tx1"/>
            </w14:solidFill>
          </w14:textFill>
        </w:rPr>
      </w:pPr>
      <w:r>
        <w:rPr>
          <w:color w:val="000000" w:themeColor="text1"/>
          <w14:textFill>
            <w14:solidFill>
              <w14:schemeClr w14:val="tx1"/>
            </w14:solidFill>
          </w14:textFill>
        </w:rPr>
        <w:t>1、应使泵井的机电设备保持良好状态；</w:t>
      </w:r>
    </w:p>
    <w:p w14:paraId="2C4B6F44">
      <w:pPr>
        <w:pStyle w:val="52"/>
        <w:rPr>
          <w:color w:val="000000" w:themeColor="text1"/>
          <w14:textFill>
            <w14:solidFill>
              <w14:schemeClr w14:val="tx1"/>
            </w14:solidFill>
          </w14:textFill>
        </w:rPr>
      </w:pPr>
      <w:r>
        <w:rPr>
          <w:color w:val="000000" w:themeColor="text1"/>
          <w14:textFill>
            <w14:solidFill>
              <w14:schemeClr w14:val="tx1"/>
            </w14:solidFill>
          </w14:textFill>
        </w:rPr>
        <w:t>2、应保持泵井的清洁卫生，各种器具应摆放整齐：</w:t>
      </w:r>
    </w:p>
    <w:p w14:paraId="592DB2B4">
      <w:pPr>
        <w:pStyle w:val="52"/>
        <w:rPr>
          <w:color w:val="000000" w:themeColor="text1"/>
          <w14:textFill>
            <w14:solidFill>
              <w14:schemeClr w14:val="tx1"/>
            </w14:solidFill>
          </w14:textFill>
        </w:rPr>
      </w:pPr>
      <w:r>
        <w:rPr>
          <w:color w:val="000000" w:themeColor="text1"/>
          <w14:textFill>
            <w14:solidFill>
              <w14:schemeClr w14:val="tx1"/>
            </w14:solidFill>
          </w14:textFill>
        </w:rPr>
        <w:t>3、应及时清除叶轮、闸阀、管道的堵塞物；</w:t>
      </w:r>
    </w:p>
    <w:p w14:paraId="1171F379">
      <w:pPr>
        <w:pStyle w:val="52"/>
        <w:rPr>
          <w:color w:val="000000" w:themeColor="text1"/>
          <w14:textFill>
            <w14:solidFill>
              <w14:schemeClr w14:val="tx1"/>
            </w14:solidFill>
          </w14:textFill>
        </w:rPr>
      </w:pPr>
      <w:r>
        <w:rPr>
          <w:color w:val="000000" w:themeColor="text1"/>
          <w14:textFill>
            <w14:solidFill>
              <w14:schemeClr w14:val="tx1"/>
            </w14:solidFill>
          </w14:textFill>
        </w:rPr>
        <w:t>4、集水井、泵井配套井盖、井体应完好，一旦发现破损、裂缝、胡塌等现象应立即采取维修措施；</w:t>
      </w:r>
    </w:p>
    <w:p w14:paraId="4FC7A121">
      <w:pPr>
        <w:pStyle w:val="52"/>
        <w:rPr>
          <w:color w:val="000000" w:themeColor="text1"/>
          <w14:textFill>
            <w14:solidFill>
              <w14:schemeClr w14:val="tx1"/>
            </w14:solidFill>
          </w14:textFill>
        </w:rPr>
      </w:pPr>
      <w:r>
        <w:rPr>
          <w:color w:val="000000" w:themeColor="text1"/>
          <w14:textFill>
            <w14:solidFill>
              <w14:schemeClr w14:val="tx1"/>
            </w14:solidFill>
          </w14:textFill>
        </w:rPr>
        <w:t>5、集水井、泵井应每年至少清洗一次，防止池壁结垢、井底积泥厚度、浮渣厚度过大。</w:t>
      </w:r>
    </w:p>
    <w:p w14:paraId="5AEED157">
      <w:pPr>
        <w:pStyle w:val="7"/>
        <w:rPr>
          <w:color w:val="000000" w:themeColor="text1"/>
          <w14:textFill>
            <w14:solidFill>
              <w14:schemeClr w14:val="tx1"/>
            </w14:solidFill>
          </w14:textFill>
        </w:rPr>
      </w:pPr>
      <w:r>
        <w:rPr>
          <w:color w:val="000000" w:themeColor="text1"/>
          <w14:textFill>
            <w14:solidFill>
              <w14:schemeClr w14:val="tx1"/>
            </w14:solidFill>
          </w14:textFill>
        </w:rPr>
        <w:t>生物反应池的运行维护</w:t>
      </w:r>
    </w:p>
    <w:p w14:paraId="34095D62">
      <w:pPr>
        <w:pStyle w:val="52"/>
        <w:rPr>
          <w:color w:val="000000" w:themeColor="text1"/>
          <w14:textFill>
            <w14:solidFill>
              <w14:schemeClr w14:val="tx1"/>
            </w14:solidFill>
          </w14:textFill>
        </w:rPr>
      </w:pPr>
      <w:r>
        <w:rPr>
          <w:color w:val="000000" w:themeColor="text1"/>
          <w14:textFill>
            <w14:solidFill>
              <w14:schemeClr w14:val="tx1"/>
            </w14:solidFill>
          </w14:textFill>
        </w:rPr>
        <w:t>（1）生物反应池运行应符合下列规定：</w:t>
      </w:r>
    </w:p>
    <w:p w14:paraId="064B16DF">
      <w:pPr>
        <w:pStyle w:val="52"/>
        <w:rPr>
          <w:color w:val="000000" w:themeColor="text1"/>
          <w14:textFill>
            <w14:solidFill>
              <w14:schemeClr w14:val="tx1"/>
            </w14:solidFill>
          </w14:textFill>
        </w:rPr>
      </w:pPr>
      <w:r>
        <w:rPr>
          <w:color w:val="000000" w:themeColor="text1"/>
          <w14:textFill>
            <w14:solidFill>
              <w14:schemeClr w14:val="tx1"/>
            </w14:solidFill>
          </w14:textFill>
        </w:rPr>
        <w:t>1、按池组设置情况及运行方式，调节各池进水量，使各池均匀配水；</w:t>
      </w:r>
    </w:p>
    <w:p w14:paraId="07092B55">
      <w:pPr>
        <w:pStyle w:val="52"/>
        <w:rPr>
          <w:color w:val="000000" w:themeColor="text1"/>
          <w14:textFill>
            <w14:solidFill>
              <w14:schemeClr w14:val="tx1"/>
            </w14:solidFill>
          </w14:textFill>
        </w:rPr>
      </w:pPr>
      <w:r>
        <w:rPr>
          <w:color w:val="000000" w:themeColor="text1"/>
          <w14:textFill>
            <w14:solidFill>
              <w14:schemeClr w14:val="tx1"/>
            </w14:solidFill>
          </w14:textFill>
        </w:rPr>
        <w:t>2、生物处理设施应通过调整污泥负荷、污泥泥龄或污泥浓度等方式进行工艺控制，保证稳定处理效果；</w:t>
      </w:r>
    </w:p>
    <w:p w14:paraId="17B406E8">
      <w:pPr>
        <w:pStyle w:val="52"/>
        <w:rPr>
          <w:color w:val="000000" w:themeColor="text1"/>
          <w14:textFill>
            <w14:solidFill>
              <w14:schemeClr w14:val="tx1"/>
            </w14:solidFill>
          </w14:textFill>
        </w:rPr>
      </w:pPr>
      <w:r>
        <w:rPr>
          <w:color w:val="000000" w:themeColor="text1"/>
          <w14:textFill>
            <w14:solidFill>
              <w14:schemeClr w14:val="tx1"/>
            </w14:solidFill>
          </w14:textFill>
        </w:rPr>
        <w:t>3、应根据工艺运行要求检测活性污泥指标，掌握活性污泥状态；</w:t>
      </w:r>
    </w:p>
    <w:p w14:paraId="6AF51679">
      <w:pPr>
        <w:pStyle w:val="52"/>
        <w:rPr>
          <w:color w:val="000000" w:themeColor="text1"/>
          <w14:textFill>
            <w14:solidFill>
              <w14:schemeClr w14:val="tx1"/>
            </w14:solidFill>
          </w14:textFill>
        </w:rPr>
      </w:pPr>
      <w:r>
        <w:rPr>
          <w:color w:val="000000" w:themeColor="text1"/>
          <w14:textFill>
            <w14:solidFill>
              <w14:schemeClr w14:val="tx1"/>
            </w14:solidFill>
          </w14:textFill>
        </w:rPr>
        <w:t>4、发生污泥膨胀、污泥上浮等不正常现象时，应及时分析原因，针对具体情况采取适当措施；</w:t>
      </w:r>
    </w:p>
    <w:p w14:paraId="5E6CEE2B">
      <w:pPr>
        <w:pStyle w:val="52"/>
        <w:rPr>
          <w:color w:val="000000" w:themeColor="text1"/>
          <w14:textFill>
            <w14:solidFill>
              <w14:schemeClr w14:val="tx1"/>
            </w14:solidFill>
          </w14:textFill>
        </w:rPr>
      </w:pPr>
      <w:r>
        <w:rPr>
          <w:color w:val="000000" w:themeColor="text1"/>
          <w14:textFill>
            <w14:solidFill>
              <w14:schemeClr w14:val="tx1"/>
            </w14:solidFill>
          </w14:textFill>
        </w:rPr>
        <w:t>5、当生物处理设施水温较低时，可采取提高污泥浓度或其它方法，保证污水的处理效果；</w:t>
      </w:r>
    </w:p>
    <w:p w14:paraId="68CC3BDD">
      <w:pPr>
        <w:pStyle w:val="52"/>
        <w:rPr>
          <w:color w:val="000000" w:themeColor="text1"/>
          <w14:textFill>
            <w14:solidFill>
              <w14:schemeClr w14:val="tx1"/>
            </w14:solidFill>
          </w14:textFill>
        </w:rPr>
      </w:pPr>
      <w:r>
        <w:rPr>
          <w:color w:val="000000" w:themeColor="text1"/>
          <w14:textFill>
            <w14:solidFill>
              <w14:schemeClr w14:val="tx1"/>
            </w14:solidFill>
          </w14:textFill>
        </w:rPr>
        <w:t>6、生物反应池应根据功能单元对溶解氧进行控制；</w:t>
      </w:r>
    </w:p>
    <w:p w14:paraId="0977F402">
      <w:pPr>
        <w:pStyle w:val="52"/>
        <w:rPr>
          <w:color w:val="000000" w:themeColor="text1"/>
          <w14:textFill>
            <w14:solidFill>
              <w14:schemeClr w14:val="tx1"/>
            </w14:solidFill>
          </w14:textFill>
        </w:rPr>
      </w:pPr>
      <w:r>
        <w:rPr>
          <w:color w:val="000000" w:themeColor="text1"/>
          <w14:textFill>
            <w14:solidFill>
              <w14:schemeClr w14:val="tx1"/>
            </w14:solidFill>
          </w14:textFill>
        </w:rPr>
        <w:t>7、采用脱氮除磷工艺时，应根据水质水量及时调整溶解氧量、碳氮比、污泥回流比、碳源等。</w:t>
      </w:r>
    </w:p>
    <w:p w14:paraId="58B5AADA">
      <w:pPr>
        <w:pStyle w:val="52"/>
        <w:rPr>
          <w:color w:val="000000" w:themeColor="text1"/>
          <w14:textFill>
            <w14:solidFill>
              <w14:schemeClr w14:val="tx1"/>
            </w14:solidFill>
          </w14:textFill>
        </w:rPr>
      </w:pPr>
      <w:r>
        <w:rPr>
          <w:color w:val="000000" w:themeColor="text1"/>
          <w14:textFill>
            <w14:solidFill>
              <w14:schemeClr w14:val="tx1"/>
            </w14:solidFill>
          </w14:textFill>
        </w:rPr>
        <w:t>（2）生物反应池检查、维护应符合下列规定：</w:t>
      </w:r>
    </w:p>
    <w:p w14:paraId="1FB0497F">
      <w:pPr>
        <w:pStyle w:val="52"/>
        <w:rPr>
          <w:color w:val="000000" w:themeColor="text1"/>
          <w14:textFill>
            <w14:solidFill>
              <w14:schemeClr w14:val="tx1"/>
            </w14:solidFill>
          </w14:textFill>
        </w:rPr>
      </w:pPr>
      <w:r>
        <w:rPr>
          <w:color w:val="000000" w:themeColor="text1"/>
          <w14:textFill>
            <w14:solidFill>
              <w14:schemeClr w14:val="tx1"/>
            </w14:solidFill>
          </w14:textFill>
        </w:rPr>
        <w:t>1、定期检查池体结构完整性，发现破损、裂缝、渗漏等异常情况时必须及时采取措施，以保证设施的正常运行；</w:t>
      </w:r>
    </w:p>
    <w:p w14:paraId="0CBE9CBF">
      <w:pPr>
        <w:pStyle w:val="52"/>
        <w:rPr>
          <w:color w:val="000000" w:themeColor="text1"/>
          <w14:textFill>
            <w14:solidFill>
              <w14:schemeClr w14:val="tx1"/>
            </w14:solidFill>
          </w14:textFill>
        </w:rPr>
      </w:pPr>
      <w:r>
        <w:rPr>
          <w:color w:val="000000" w:themeColor="text1"/>
          <w14:textFill>
            <w14:solidFill>
              <w14:schemeClr w14:val="tx1"/>
            </w14:solidFill>
          </w14:textFill>
        </w:rPr>
        <w:t>2、对生物反应池水下设备运行和固定情况应定期检查，若发现问题，必须及时修复；</w:t>
      </w:r>
    </w:p>
    <w:p w14:paraId="106DCEBB">
      <w:pPr>
        <w:pStyle w:val="52"/>
        <w:rPr>
          <w:color w:val="000000" w:themeColor="text1"/>
          <w14:textFill>
            <w14:solidFill>
              <w14:schemeClr w14:val="tx1"/>
            </w14:solidFill>
          </w14:textFill>
        </w:rPr>
      </w:pPr>
      <w:r>
        <w:rPr>
          <w:color w:val="000000" w:themeColor="text1"/>
          <w14:textFill>
            <w14:solidFill>
              <w14:schemeClr w14:val="tx1"/>
            </w14:solidFill>
          </w14:textFill>
        </w:rPr>
        <w:t>3、应定期对金属材质的空气管、挡墙、法兰接口或丝网进行检查，发现腐蚀或破损，应及时处理：</w:t>
      </w:r>
    </w:p>
    <w:p w14:paraId="736B707D">
      <w:pPr>
        <w:pStyle w:val="52"/>
        <w:rPr>
          <w:color w:val="000000" w:themeColor="text1"/>
          <w14:textFill>
            <w14:solidFill>
              <w14:schemeClr w14:val="tx1"/>
            </w14:solidFill>
          </w14:textFill>
        </w:rPr>
      </w:pPr>
      <w:r>
        <w:rPr>
          <w:color w:val="000000" w:themeColor="text1"/>
          <w14:textFill>
            <w14:solidFill>
              <w14:schemeClr w14:val="tx1"/>
            </w14:solidFill>
          </w14:textFill>
        </w:rPr>
        <w:t>4、应经常排放曝气器空气管路中的存水，待放完后， 应立即关闭放水闸阀；</w:t>
      </w:r>
    </w:p>
    <w:p w14:paraId="3C8B899E">
      <w:pPr>
        <w:pStyle w:val="52"/>
        <w:rPr>
          <w:color w:val="000000" w:themeColor="text1"/>
          <w14:textFill>
            <w14:solidFill>
              <w14:schemeClr w14:val="tx1"/>
            </w14:solidFill>
          </w14:textFill>
        </w:rPr>
      </w:pPr>
      <w:r>
        <w:rPr>
          <w:color w:val="000000" w:themeColor="text1"/>
          <w14:textFill>
            <w14:solidFill>
              <w14:schemeClr w14:val="tx1"/>
            </w14:solidFill>
          </w14:textFill>
        </w:rPr>
        <w:t>5、遇降雨天气，应及时清除反应池走道上的积水：</w:t>
      </w:r>
    </w:p>
    <w:p w14:paraId="2C6BF9C0">
      <w:pPr>
        <w:pStyle w:val="52"/>
        <w:rPr>
          <w:color w:val="000000" w:themeColor="text1"/>
          <w14:textFill>
            <w14:solidFill>
              <w14:schemeClr w14:val="tx1"/>
            </w14:solidFill>
          </w14:textFill>
        </w:rPr>
      </w:pPr>
      <w:r>
        <w:rPr>
          <w:color w:val="000000" w:themeColor="text1"/>
          <w14:textFill>
            <w14:solidFill>
              <w14:schemeClr w14:val="tx1"/>
            </w14:solidFill>
          </w14:textFill>
        </w:rPr>
        <w:t>6、曝气装置故障影响正常生产时，应放空、清理曝气池，检修曝气装置；</w:t>
      </w:r>
    </w:p>
    <w:p w14:paraId="34163059">
      <w:pPr>
        <w:pStyle w:val="52"/>
        <w:rPr>
          <w:color w:val="000000" w:themeColor="text1"/>
          <w14:textFill>
            <w14:solidFill>
              <w14:schemeClr w14:val="tx1"/>
            </w14:solidFill>
          </w14:textFill>
        </w:rPr>
      </w:pPr>
      <w:r>
        <w:rPr>
          <w:color w:val="000000" w:themeColor="text1"/>
          <w14:textFill>
            <w14:solidFill>
              <w14:schemeClr w14:val="tx1"/>
            </w14:solidFill>
          </w14:textFill>
        </w:rPr>
        <w:t>7、应及时清除池面漂浮物等垃圾， 走台上应无泡沫和浮渣。</w:t>
      </w:r>
    </w:p>
    <w:p w14:paraId="3D6804C7">
      <w:pPr>
        <w:pStyle w:val="7"/>
        <w:rPr>
          <w:color w:val="000000" w:themeColor="text1"/>
          <w14:textFill>
            <w14:solidFill>
              <w14:schemeClr w14:val="tx1"/>
            </w14:solidFill>
          </w14:textFill>
        </w:rPr>
      </w:pPr>
      <w:r>
        <w:rPr>
          <w:color w:val="000000" w:themeColor="text1"/>
          <w14:textFill>
            <w14:solidFill>
              <w14:schemeClr w14:val="tx1"/>
            </w14:solidFill>
          </w14:textFill>
        </w:rPr>
        <w:t>人工湿地的运行维护</w:t>
      </w:r>
    </w:p>
    <w:p w14:paraId="7F61DA51">
      <w:pPr>
        <w:pStyle w:val="52"/>
        <w:rPr>
          <w:color w:val="000000" w:themeColor="text1"/>
          <w14:textFill>
            <w14:solidFill>
              <w14:schemeClr w14:val="tx1"/>
            </w14:solidFill>
          </w14:textFill>
        </w:rPr>
      </w:pPr>
      <w:r>
        <w:rPr>
          <w:color w:val="000000" w:themeColor="text1"/>
          <w14:textFill>
            <w14:solidFill>
              <w14:schemeClr w14:val="tx1"/>
            </w14:solidFill>
          </w14:textFill>
        </w:rPr>
        <w:t>（1）直采用穿孔管、配（集）水管、配（集）水堪等配水、集水装置来实现集配水均匀。</w:t>
      </w:r>
    </w:p>
    <w:p w14:paraId="772BDCB2">
      <w:pPr>
        <w:pStyle w:val="52"/>
        <w:rPr>
          <w:color w:val="000000" w:themeColor="text1"/>
          <w14:textFill>
            <w14:solidFill>
              <w14:schemeClr w14:val="tx1"/>
            </w14:solidFill>
          </w14:textFill>
        </w:rPr>
      </w:pPr>
      <w:r>
        <w:rPr>
          <w:color w:val="000000" w:themeColor="text1"/>
          <w14:textFill>
            <w14:solidFill>
              <w14:schemeClr w14:val="tx1"/>
            </w14:solidFill>
          </w14:textFill>
        </w:rPr>
        <w:t>（2）湿地植物栽种初期应通过控制湿地水位，保证植物良性生长。</w:t>
      </w:r>
    </w:p>
    <w:p w14:paraId="1A6CE091">
      <w:pPr>
        <w:pStyle w:val="52"/>
        <w:rPr>
          <w:color w:val="000000" w:themeColor="text1"/>
          <w14:textFill>
            <w14:solidFill>
              <w14:schemeClr w14:val="tx1"/>
            </w14:solidFill>
          </w14:textFill>
        </w:rPr>
      </w:pPr>
      <w:r>
        <w:rPr>
          <w:color w:val="000000" w:themeColor="text1"/>
          <w14:textFill>
            <w14:solidFill>
              <w14:schemeClr w14:val="tx1"/>
            </w14:solidFill>
          </w14:textFill>
        </w:rPr>
        <w:t>（3）湿地植物成熟后应对植物进行及时收割、处理和利用，保证湿地的良性循环。</w:t>
      </w:r>
    </w:p>
    <w:p w14:paraId="176A3F33">
      <w:pPr>
        <w:pStyle w:val="52"/>
        <w:rPr>
          <w:color w:val="000000" w:themeColor="text1"/>
          <w14:textFill>
            <w14:solidFill>
              <w14:schemeClr w14:val="tx1"/>
            </w14:solidFill>
          </w14:textFill>
        </w:rPr>
      </w:pPr>
      <w:r>
        <w:rPr>
          <w:color w:val="000000" w:themeColor="text1"/>
          <w14:textFill>
            <w14:solidFill>
              <w14:schemeClr w14:val="tx1"/>
            </w14:solidFill>
          </w14:textFill>
        </w:rPr>
        <w:t>（4）定期检测进出水水质，确保人工湿地的运行满足设计要求，并定期对检测仪器、仪表进行校验。</w:t>
      </w:r>
    </w:p>
    <w:p w14:paraId="1CA2186B">
      <w:pPr>
        <w:pStyle w:val="52"/>
        <w:rPr>
          <w:color w:val="000000" w:themeColor="text1"/>
          <w14:textFill>
            <w14:solidFill>
              <w14:schemeClr w14:val="tx1"/>
            </w14:solidFill>
          </w14:textFill>
        </w:rPr>
      </w:pPr>
      <w:r>
        <w:rPr>
          <w:color w:val="000000" w:themeColor="text1"/>
          <w14:textFill>
            <w14:solidFill>
              <w14:schemeClr w14:val="tx1"/>
            </w14:solidFill>
          </w14:textFill>
        </w:rPr>
        <w:t>（5）对进出水装置要进行周期性的检查并对流量进行校正，应定期去除容易堵塞进出水管道的残渣，以免出现短流、进水端垄水和出水端淹没等现象。</w:t>
      </w:r>
    </w:p>
    <w:p w14:paraId="51C75FC0">
      <w:pPr>
        <w:pStyle w:val="52"/>
        <w:rPr>
          <w:color w:val="000000" w:themeColor="text1"/>
          <w14:textFill>
            <w14:solidFill>
              <w14:schemeClr w14:val="tx1"/>
            </w14:solidFill>
          </w14:textFill>
        </w:rPr>
      </w:pPr>
      <w:r>
        <w:rPr>
          <w:color w:val="000000" w:themeColor="text1"/>
          <w14:textFill>
            <w14:solidFill>
              <w14:schemeClr w14:val="tx1"/>
            </w14:solidFill>
          </w14:textFill>
        </w:rPr>
        <w:t>（6）应经常对护堤进行检查，防止水面以下护堤的外部斜坡面出现渗水现象。</w:t>
      </w:r>
    </w:p>
    <w:p w14:paraId="7EB01ADA">
      <w:pPr>
        <w:pStyle w:val="52"/>
        <w:rPr>
          <w:color w:val="000000" w:themeColor="text1"/>
          <w14:textFill>
            <w14:solidFill>
              <w14:schemeClr w14:val="tx1"/>
            </w14:solidFill>
          </w14:textFill>
        </w:rPr>
      </w:pPr>
      <w:r>
        <w:rPr>
          <w:color w:val="000000" w:themeColor="text1"/>
          <w14:textFill>
            <w14:solidFill>
              <w14:schemeClr w14:val="tx1"/>
            </w14:solidFill>
          </w14:textFill>
        </w:rPr>
        <w:t>（7）防止湿地内其它杂草滋生，应及时清除己生长的杂草。</w:t>
      </w:r>
    </w:p>
    <w:p w14:paraId="78B7B047">
      <w:pPr>
        <w:pStyle w:val="52"/>
        <w:rPr>
          <w:color w:val="000000" w:themeColor="text1"/>
          <w14:textFill>
            <w14:solidFill>
              <w14:schemeClr w14:val="tx1"/>
            </w14:solidFill>
          </w14:textFill>
        </w:rPr>
      </w:pPr>
      <w:r>
        <w:rPr>
          <w:color w:val="000000" w:themeColor="text1"/>
          <w14:textFill>
            <w14:solidFill>
              <w14:schemeClr w14:val="tx1"/>
            </w14:solidFill>
          </w14:textFill>
        </w:rPr>
        <w:t>（8）应及时清除植物的枯枝落叶，以防止腐烂等污染。</w:t>
      </w:r>
    </w:p>
    <w:p w14:paraId="7B2E1C18">
      <w:pPr>
        <w:pStyle w:val="52"/>
        <w:rPr>
          <w:color w:val="000000" w:themeColor="text1"/>
          <w14:textFill>
            <w14:solidFill>
              <w14:schemeClr w14:val="tx1"/>
            </w14:solidFill>
          </w14:textFill>
        </w:rPr>
      </w:pPr>
      <w:r>
        <w:rPr>
          <w:color w:val="000000" w:themeColor="text1"/>
          <w14:textFill>
            <w14:solidFill>
              <w14:schemeClr w14:val="tx1"/>
            </w14:solidFill>
          </w14:textFill>
        </w:rPr>
        <w:t>（9）应及时移除外来物种，进行缺苗补种，控制病虫害，保持水生植物的密度和良性生长。</w:t>
      </w:r>
    </w:p>
    <w:p w14:paraId="05E5D303">
      <w:pPr>
        <w:pStyle w:val="52"/>
        <w:rPr>
          <w:color w:val="000000" w:themeColor="text1"/>
          <w14:textFill>
            <w14:solidFill>
              <w14:schemeClr w14:val="tx1"/>
            </w14:solidFill>
          </w14:textFill>
        </w:rPr>
      </w:pPr>
      <w:r>
        <w:rPr>
          <w:color w:val="000000" w:themeColor="text1"/>
          <w14:textFill>
            <w14:solidFill>
              <w14:schemeClr w14:val="tx1"/>
            </w14:solidFill>
          </w14:textFill>
        </w:rPr>
        <w:t>（10）应定期对湿地四周的环境进行清扫及保持湿地周边良好的环境卫生。</w:t>
      </w:r>
    </w:p>
    <w:p w14:paraId="29467F36">
      <w:pPr>
        <w:pStyle w:val="52"/>
        <w:rPr>
          <w:color w:val="000000" w:themeColor="text1"/>
          <w14:textFill>
            <w14:solidFill>
              <w14:schemeClr w14:val="tx1"/>
            </w14:solidFill>
          </w14:textFill>
        </w:rPr>
      </w:pPr>
      <w:r>
        <w:rPr>
          <w:color w:val="000000" w:themeColor="text1"/>
          <w14:textFill>
            <w14:solidFill>
              <w14:schemeClr w14:val="tx1"/>
            </w14:solidFill>
          </w14:textFill>
        </w:rPr>
        <w:t>（11）直采用间歇运行、定期清淤、局部更换基质等方法，防止湿地运行中出现堵塞现象。</w:t>
      </w:r>
    </w:p>
    <w:p w14:paraId="6A59759E">
      <w:pPr>
        <w:pStyle w:val="7"/>
        <w:rPr>
          <w:color w:val="000000" w:themeColor="text1"/>
          <w14:textFill>
            <w14:solidFill>
              <w14:schemeClr w14:val="tx1"/>
            </w14:solidFill>
          </w14:textFill>
        </w:rPr>
      </w:pPr>
      <w:r>
        <w:rPr>
          <w:color w:val="000000" w:themeColor="text1"/>
          <w14:textFill>
            <w14:solidFill>
              <w14:schemeClr w14:val="tx1"/>
            </w14:solidFill>
          </w14:textFill>
        </w:rPr>
        <w:t>消毒设施的运行维护</w:t>
      </w:r>
    </w:p>
    <w:p w14:paraId="7DF701D5">
      <w:pPr>
        <w:pStyle w:val="52"/>
        <w:rPr>
          <w:color w:val="000000" w:themeColor="text1"/>
          <w14:textFill>
            <w14:solidFill>
              <w14:schemeClr w14:val="tx1"/>
            </w14:solidFill>
          </w14:textFill>
        </w:rPr>
      </w:pPr>
      <w:r>
        <w:rPr>
          <w:color w:val="000000" w:themeColor="text1"/>
          <w14:textFill>
            <w14:solidFill>
              <w14:schemeClr w14:val="tx1"/>
            </w14:solidFill>
          </w14:textFill>
        </w:rPr>
        <w:t>（1）消毒设施运行应符合下列规定</w:t>
      </w:r>
    </w:p>
    <w:p w14:paraId="1EB320D7">
      <w:pPr>
        <w:pStyle w:val="52"/>
        <w:rPr>
          <w:color w:val="000000" w:themeColor="text1"/>
          <w14:textFill>
            <w14:solidFill>
              <w14:schemeClr w14:val="tx1"/>
            </w14:solidFill>
          </w14:textFill>
        </w:rPr>
      </w:pPr>
      <w:r>
        <w:rPr>
          <w:color w:val="000000" w:themeColor="text1"/>
          <w14:textFill>
            <w14:solidFill>
              <w14:schemeClr w14:val="tx1"/>
            </w14:solidFill>
          </w14:textFill>
        </w:rPr>
        <w:t>1、次氯酸纳消毒方式须根据工艺要求、国家现行有关标准的规定及设备的操作要求制定操作规程及应急预案，在达到设计处理效果的同时确保操作人员安全；</w:t>
      </w:r>
    </w:p>
    <w:p w14:paraId="7D968332">
      <w:pPr>
        <w:pStyle w:val="52"/>
        <w:rPr>
          <w:color w:val="000000" w:themeColor="text1"/>
          <w14:textFill>
            <w14:solidFill>
              <w14:schemeClr w14:val="tx1"/>
            </w14:solidFill>
          </w14:textFill>
        </w:rPr>
      </w:pPr>
      <w:r>
        <w:rPr>
          <w:color w:val="000000" w:themeColor="text1"/>
          <w14:textFill>
            <w14:solidFill>
              <w14:schemeClr w14:val="tx1"/>
            </w14:solidFill>
          </w14:textFill>
        </w:rPr>
        <w:t>2、根据水质水量的变化及时调整消毒系统的运行参数，提高设备运行效率；</w:t>
      </w:r>
    </w:p>
    <w:p w14:paraId="73DE91AE">
      <w:pPr>
        <w:pStyle w:val="52"/>
        <w:rPr>
          <w:color w:val="000000" w:themeColor="text1"/>
          <w14:textFill>
            <w14:solidFill>
              <w14:schemeClr w14:val="tx1"/>
            </w14:solidFill>
          </w14:textFill>
        </w:rPr>
      </w:pPr>
      <w:r>
        <w:rPr>
          <w:color w:val="000000" w:themeColor="text1"/>
          <w14:textFill>
            <w14:solidFill>
              <w14:schemeClr w14:val="tx1"/>
            </w14:solidFill>
          </w14:textFill>
        </w:rPr>
        <w:t>（2）消毒设施维护应符合下列规定：</w:t>
      </w:r>
    </w:p>
    <w:p w14:paraId="7374D081">
      <w:pPr>
        <w:pStyle w:val="52"/>
        <w:rPr>
          <w:color w:val="000000" w:themeColor="text1"/>
          <w14:textFill>
            <w14:solidFill>
              <w14:schemeClr w14:val="tx1"/>
            </w14:solidFill>
          </w14:textFill>
        </w:rPr>
      </w:pPr>
      <w:r>
        <w:rPr>
          <w:color w:val="000000" w:themeColor="text1"/>
          <w14:textFill>
            <w14:solidFill>
              <w14:schemeClr w14:val="tx1"/>
            </w14:solidFill>
          </w14:textFill>
        </w:rPr>
        <w:t>采用次氯酸纳消毒时，次氯酸纳原液应储存于阴凉干燥和通风良好的环境，避免阳光直射，工业次氯酸铀溶液存储时间直在 1 个月内，不要超过 3 个月。 现场制备次氯酸纳溶液存储时间不超过 1 周；</w:t>
      </w:r>
    </w:p>
    <w:p w14:paraId="510A964E">
      <w:pPr>
        <w:pStyle w:val="7"/>
        <w:rPr>
          <w:color w:val="000000" w:themeColor="text1"/>
          <w14:textFill>
            <w14:solidFill>
              <w14:schemeClr w14:val="tx1"/>
            </w14:solidFill>
          </w14:textFill>
        </w:rPr>
      </w:pPr>
      <w:r>
        <w:rPr>
          <w:color w:val="000000" w:themeColor="text1"/>
          <w14:textFill>
            <w14:solidFill>
              <w14:schemeClr w14:val="tx1"/>
            </w14:solidFill>
          </w14:textFill>
        </w:rPr>
        <w:t>配套设施的运行维护</w:t>
      </w:r>
    </w:p>
    <w:p w14:paraId="3517157C">
      <w:pPr>
        <w:pStyle w:val="52"/>
        <w:rPr>
          <w:color w:val="000000" w:themeColor="text1"/>
          <w14:textFill>
            <w14:solidFill>
              <w14:schemeClr w14:val="tx1"/>
            </w14:solidFill>
          </w14:textFill>
        </w:rPr>
      </w:pPr>
      <w:r>
        <w:rPr>
          <w:color w:val="000000" w:themeColor="text1"/>
          <w14:textFill>
            <w14:solidFill>
              <w14:schemeClr w14:val="tx1"/>
            </w14:solidFill>
          </w14:textFill>
        </w:rPr>
        <w:t>（1）鼓风机及风管运行应符合下列规定</w:t>
      </w:r>
    </w:p>
    <w:p w14:paraId="600815A7">
      <w:pPr>
        <w:pStyle w:val="52"/>
        <w:rPr>
          <w:color w:val="000000" w:themeColor="text1"/>
          <w14:textFill>
            <w14:solidFill>
              <w14:schemeClr w14:val="tx1"/>
            </w14:solidFill>
          </w14:textFill>
        </w:rPr>
      </w:pPr>
      <w:r>
        <w:rPr>
          <w:color w:val="000000" w:themeColor="text1"/>
          <w14:textFill>
            <w14:solidFill>
              <w14:schemeClr w14:val="tx1"/>
            </w14:solidFill>
          </w14:textFill>
        </w:rPr>
        <w:t>1、应当根据生物反应池溶解氧调整鼓风机的供气量；</w:t>
      </w:r>
    </w:p>
    <w:p w14:paraId="1E4A4BBB">
      <w:pPr>
        <w:pStyle w:val="52"/>
        <w:rPr>
          <w:color w:val="000000" w:themeColor="text1"/>
          <w14:textFill>
            <w14:solidFill>
              <w14:schemeClr w14:val="tx1"/>
            </w14:solidFill>
          </w14:textFill>
        </w:rPr>
      </w:pPr>
      <w:r>
        <w:rPr>
          <w:color w:val="000000" w:themeColor="text1"/>
          <w14:textFill>
            <w14:solidFill>
              <w14:schemeClr w14:val="tx1"/>
            </w14:solidFill>
          </w14:textFill>
        </w:rPr>
        <w:t>2、设置多台鼓风机时，应轮换使用，不直固定一台作为备用风机；</w:t>
      </w:r>
    </w:p>
    <w:p w14:paraId="31E743A5">
      <w:pPr>
        <w:pStyle w:val="52"/>
        <w:rPr>
          <w:color w:val="000000" w:themeColor="text1"/>
          <w14:textFill>
            <w14:solidFill>
              <w14:schemeClr w14:val="tx1"/>
            </w14:solidFill>
          </w14:textFill>
        </w:rPr>
      </w:pPr>
      <w:r>
        <w:rPr>
          <w:color w:val="000000" w:themeColor="text1"/>
          <w14:textFill>
            <w14:solidFill>
              <w14:schemeClr w14:val="tx1"/>
            </w14:solidFill>
          </w14:textFill>
        </w:rPr>
        <w:t>3、调节出风管阀门时，应避免发生喘振；</w:t>
      </w:r>
    </w:p>
    <w:p w14:paraId="64D73CFA">
      <w:pPr>
        <w:pStyle w:val="52"/>
        <w:rPr>
          <w:color w:val="000000" w:themeColor="text1"/>
          <w14:textFill>
            <w14:solidFill>
              <w14:schemeClr w14:val="tx1"/>
            </w14:solidFill>
          </w14:textFill>
        </w:rPr>
      </w:pPr>
      <w:r>
        <w:rPr>
          <w:color w:val="000000" w:themeColor="text1"/>
          <w14:textFill>
            <w14:solidFill>
              <w14:schemeClr w14:val="tx1"/>
            </w14:solidFill>
          </w14:textFill>
        </w:rPr>
        <w:t>4、鼓风机在运行中，应定时巡查风机及电机的油温、油压、风量、风压、外界温度、电流、电压等参数；遇到异常情况及时排除影响因素，不能排除时，应立即按操作程序停机；</w:t>
      </w:r>
    </w:p>
    <w:p w14:paraId="0569023E">
      <w:pPr>
        <w:pStyle w:val="52"/>
        <w:rPr>
          <w:color w:val="000000" w:themeColor="text1"/>
          <w14:textFill>
            <w14:solidFill>
              <w14:schemeClr w14:val="tx1"/>
            </w14:solidFill>
          </w14:textFill>
        </w:rPr>
      </w:pPr>
      <w:r>
        <w:rPr>
          <w:color w:val="000000" w:themeColor="text1"/>
          <w14:textFill>
            <w14:solidFill>
              <w14:schemeClr w14:val="tx1"/>
            </w14:solidFill>
          </w14:textFill>
        </w:rPr>
        <w:t>5、鼓风机叶轮严禁倒转；</w:t>
      </w:r>
    </w:p>
    <w:p w14:paraId="0D654649">
      <w:pPr>
        <w:pStyle w:val="52"/>
        <w:rPr>
          <w:color w:val="000000" w:themeColor="text1"/>
          <w14:textFill>
            <w14:solidFill>
              <w14:schemeClr w14:val="tx1"/>
            </w14:solidFill>
          </w14:textFill>
        </w:rPr>
      </w:pPr>
      <w:r>
        <w:rPr>
          <w:color w:val="000000" w:themeColor="text1"/>
          <w14:textFill>
            <w14:solidFill>
              <w14:schemeClr w14:val="tx1"/>
            </w14:solidFill>
          </w14:textFill>
        </w:rPr>
        <w:t>6、鼓风机房应保证良好的通风。正常运行时，出风管压力不应超过设计压力值。停止运行后，应关闭进、出气调节阀；</w:t>
      </w:r>
    </w:p>
    <w:p w14:paraId="6465630C">
      <w:pPr>
        <w:pStyle w:val="52"/>
        <w:rPr>
          <w:color w:val="000000" w:themeColor="text1"/>
          <w14:textFill>
            <w14:solidFill>
              <w14:schemeClr w14:val="tx1"/>
            </w14:solidFill>
          </w14:textFill>
        </w:rPr>
      </w:pPr>
      <w:r>
        <w:rPr>
          <w:color w:val="000000" w:themeColor="text1"/>
          <w14:textFill>
            <w14:solidFill>
              <w14:schemeClr w14:val="tx1"/>
            </w14:solidFill>
          </w14:textFill>
        </w:rPr>
        <w:t>7、鼓风机运行中严禁触摸空气管路。</w:t>
      </w:r>
    </w:p>
    <w:p w14:paraId="08C4005F">
      <w:pPr>
        <w:pStyle w:val="52"/>
        <w:rPr>
          <w:color w:val="000000" w:themeColor="text1"/>
          <w14:textFill>
            <w14:solidFill>
              <w14:schemeClr w14:val="tx1"/>
            </w14:solidFill>
          </w14:textFill>
        </w:rPr>
      </w:pPr>
      <w:r>
        <w:rPr>
          <w:color w:val="000000" w:themeColor="text1"/>
          <w14:textFill>
            <w14:solidFill>
              <w14:schemeClr w14:val="tx1"/>
            </w14:solidFill>
          </w14:textFill>
        </w:rPr>
        <w:t>（2）鼓风机及风管维护应符合下列规定：</w:t>
      </w:r>
    </w:p>
    <w:p w14:paraId="2AE36DD3">
      <w:pPr>
        <w:pStyle w:val="52"/>
        <w:rPr>
          <w:color w:val="000000" w:themeColor="text1"/>
          <w14:textFill>
            <w14:solidFill>
              <w14:schemeClr w14:val="tx1"/>
            </w14:solidFill>
          </w14:textFill>
        </w:rPr>
      </w:pPr>
      <w:r>
        <w:rPr>
          <w:color w:val="000000" w:themeColor="text1"/>
          <w14:textFill>
            <w14:solidFill>
              <w14:schemeClr w14:val="tx1"/>
            </w14:solidFill>
          </w14:textFill>
        </w:rPr>
        <w:t>1、长期不使用的风机，应关闭进、出气阀门，将系统内存水放空；</w:t>
      </w:r>
    </w:p>
    <w:p w14:paraId="0FE6E26A">
      <w:pPr>
        <w:pStyle w:val="52"/>
        <w:rPr>
          <w:color w:val="000000" w:themeColor="text1"/>
          <w14:textFill>
            <w14:solidFill>
              <w14:schemeClr w14:val="tx1"/>
            </w14:solidFill>
          </w14:textFill>
        </w:rPr>
      </w:pPr>
      <w:r>
        <w:rPr>
          <w:color w:val="000000" w:themeColor="text1"/>
          <w14:textFill>
            <w14:solidFill>
              <w14:schemeClr w14:val="tx1"/>
            </w14:solidFill>
          </w14:textFill>
        </w:rPr>
        <w:t>2、鼓风机的空气过滤及油过滤装置应保持清洁；</w:t>
      </w:r>
    </w:p>
    <w:p w14:paraId="6FA30FBF">
      <w:pPr>
        <w:pStyle w:val="52"/>
        <w:rPr>
          <w:color w:val="000000" w:themeColor="text1"/>
          <w14:textFill>
            <w14:solidFill>
              <w14:schemeClr w14:val="tx1"/>
            </w14:solidFill>
          </w14:textFill>
        </w:rPr>
      </w:pPr>
      <w:r>
        <w:rPr>
          <w:color w:val="000000" w:themeColor="text1"/>
          <w14:textFill>
            <w14:solidFill>
              <w14:schemeClr w14:val="tx1"/>
            </w14:solidFill>
          </w14:textFill>
        </w:rPr>
        <w:t>3、清扫通风廊道、调换空气过滤器的滤网和滤袋时，必须在停机的情况下进行，并采取相应的防尘措施；</w:t>
      </w:r>
    </w:p>
    <w:p w14:paraId="4A55A480">
      <w:pPr>
        <w:pStyle w:val="52"/>
        <w:rPr>
          <w:color w:val="000000" w:themeColor="text1"/>
          <w14:textFill>
            <w14:solidFill>
              <w14:schemeClr w14:val="tx1"/>
            </w14:solidFill>
          </w14:textFill>
        </w:rPr>
      </w:pPr>
      <w:r>
        <w:rPr>
          <w:color w:val="000000" w:themeColor="text1"/>
          <w14:textFill>
            <w14:solidFill>
              <w14:schemeClr w14:val="tx1"/>
            </w14:solidFill>
          </w14:textFill>
        </w:rPr>
        <w:t>4、对鼓风机消声器的消声材料，应定期检查，当有腐蚀、老化、脱落现象时，应及时维修或更换；</w:t>
      </w:r>
    </w:p>
    <w:p w14:paraId="0FA93D11">
      <w:pPr>
        <w:pStyle w:val="52"/>
        <w:rPr>
          <w:color w:val="000000" w:themeColor="text1"/>
          <w14:textFill>
            <w14:solidFill>
              <w14:schemeClr w14:val="tx1"/>
            </w14:solidFill>
          </w14:textFill>
        </w:rPr>
      </w:pPr>
      <w:r>
        <w:rPr>
          <w:color w:val="000000" w:themeColor="text1"/>
          <w14:textFill>
            <w14:solidFill>
              <w14:schemeClr w14:val="tx1"/>
            </w14:solidFill>
          </w14:textFill>
        </w:rPr>
        <w:t>5、鼓风机应定期清洁和保养，及时添加更换润滑油、润滑脂及零配件，防止漏水、漏泊、漏气等现象；</w:t>
      </w:r>
    </w:p>
    <w:p w14:paraId="6D94EC24">
      <w:pPr>
        <w:pStyle w:val="52"/>
        <w:rPr>
          <w:color w:val="000000" w:themeColor="text1"/>
          <w14:textFill>
            <w14:solidFill>
              <w14:schemeClr w14:val="tx1"/>
            </w14:solidFill>
          </w14:textFill>
        </w:rPr>
      </w:pPr>
      <w:r>
        <w:rPr>
          <w:color w:val="000000" w:themeColor="text1"/>
          <w14:textFill>
            <w14:solidFill>
              <w14:schemeClr w14:val="tx1"/>
            </w14:solidFill>
          </w14:textFill>
        </w:rPr>
        <w:t>6、维护风管管路时，应在散热降温后进行。</w:t>
      </w:r>
    </w:p>
    <w:p w14:paraId="05EDBA4B">
      <w:pPr>
        <w:pStyle w:val="52"/>
        <w:rPr>
          <w:color w:val="000000" w:themeColor="text1"/>
          <w14:textFill>
            <w14:solidFill>
              <w14:schemeClr w14:val="tx1"/>
            </w14:solidFill>
          </w14:textFill>
        </w:rPr>
      </w:pPr>
      <w:r>
        <w:rPr>
          <w:color w:val="000000" w:themeColor="text1"/>
          <w14:textFill>
            <w14:solidFill>
              <w14:schemeClr w14:val="tx1"/>
            </w14:solidFill>
          </w14:textFill>
        </w:rPr>
        <w:t>（3）配套泵组、搅拌器运行应符合下列规定</w:t>
      </w:r>
    </w:p>
    <w:p w14:paraId="2E434D3E">
      <w:pPr>
        <w:pStyle w:val="52"/>
        <w:rPr>
          <w:color w:val="000000" w:themeColor="text1"/>
          <w14:textFill>
            <w14:solidFill>
              <w14:schemeClr w14:val="tx1"/>
            </w14:solidFill>
          </w14:textFill>
        </w:rPr>
      </w:pPr>
      <w:r>
        <w:rPr>
          <w:color w:val="000000" w:themeColor="text1"/>
          <w14:textFill>
            <w14:solidFill>
              <w14:schemeClr w14:val="tx1"/>
            </w14:solidFill>
          </w14:textFill>
        </w:rPr>
        <w:t>1、泵组、搅拌器运行过程中应实时监控运行电流，出现电流异常时及时停泵检查；</w:t>
      </w:r>
    </w:p>
    <w:p w14:paraId="79FACAC9">
      <w:pPr>
        <w:pStyle w:val="52"/>
        <w:rPr>
          <w:color w:val="000000" w:themeColor="text1"/>
          <w14:textFill>
            <w14:solidFill>
              <w14:schemeClr w14:val="tx1"/>
            </w14:solidFill>
          </w14:textFill>
        </w:rPr>
      </w:pPr>
      <w:r>
        <w:rPr>
          <w:color w:val="000000" w:themeColor="text1"/>
          <w14:textFill>
            <w14:solidFill>
              <w14:schemeClr w14:val="tx1"/>
            </w14:solidFill>
          </w14:textFill>
        </w:rPr>
        <w:t>2、当泵组、搅拌器配套导杆、基座出现振动、塌陷时，必须立即停机检查；</w:t>
      </w:r>
    </w:p>
    <w:p w14:paraId="60E9C91A">
      <w:pPr>
        <w:pStyle w:val="52"/>
        <w:rPr>
          <w:color w:val="000000" w:themeColor="text1"/>
          <w14:textFill>
            <w14:solidFill>
              <w14:schemeClr w14:val="tx1"/>
            </w14:solidFill>
          </w14:textFill>
        </w:rPr>
      </w:pPr>
      <w:r>
        <w:rPr>
          <w:color w:val="000000" w:themeColor="text1"/>
          <w14:textFill>
            <w14:solidFill>
              <w14:schemeClr w14:val="tx1"/>
            </w14:solidFill>
          </w14:textFill>
        </w:rPr>
        <w:t>3、应根据工艺控制要求，实时调整配套泵组运行台数及运行频率。</w:t>
      </w:r>
    </w:p>
    <w:p w14:paraId="583006EF">
      <w:pPr>
        <w:pStyle w:val="52"/>
        <w:rPr>
          <w:color w:val="000000" w:themeColor="text1"/>
          <w14:textFill>
            <w14:solidFill>
              <w14:schemeClr w14:val="tx1"/>
            </w14:solidFill>
          </w14:textFill>
        </w:rPr>
      </w:pPr>
      <w:r>
        <w:rPr>
          <w:color w:val="000000" w:themeColor="text1"/>
          <w14:textFill>
            <w14:solidFill>
              <w14:schemeClr w14:val="tx1"/>
            </w14:solidFill>
          </w14:textFill>
        </w:rPr>
        <w:t>（4）配套泵组、搅拌器检查、维护应符合下列规定</w:t>
      </w:r>
    </w:p>
    <w:p w14:paraId="6B3A8E4C">
      <w:pPr>
        <w:pStyle w:val="52"/>
        <w:rPr>
          <w:color w:val="000000" w:themeColor="text1"/>
          <w14:textFill>
            <w14:solidFill>
              <w14:schemeClr w14:val="tx1"/>
            </w14:solidFill>
          </w14:textFill>
        </w:rPr>
      </w:pPr>
      <w:r>
        <w:rPr>
          <w:color w:val="000000" w:themeColor="text1"/>
          <w14:textFill>
            <w14:solidFill>
              <w14:schemeClr w14:val="tx1"/>
            </w14:solidFill>
          </w14:textFill>
        </w:rPr>
        <w:t>1、当配套泵组、搅拌器出现堵塞、缠绕问题时，应立即进行停机清理；</w:t>
      </w:r>
    </w:p>
    <w:p w14:paraId="154835A5">
      <w:pPr>
        <w:pStyle w:val="52"/>
        <w:rPr>
          <w:color w:val="000000" w:themeColor="text1"/>
          <w14:textFill>
            <w14:solidFill>
              <w14:schemeClr w14:val="tx1"/>
            </w14:solidFill>
          </w14:textFill>
        </w:rPr>
      </w:pPr>
      <w:r>
        <w:rPr>
          <w:color w:val="000000" w:themeColor="text1"/>
          <w14:textFill>
            <w14:solidFill>
              <w14:schemeClr w14:val="tx1"/>
            </w14:solidFill>
          </w14:textFill>
        </w:rPr>
        <w:t>2、应结合曝气池放空作业进行水下泵组检查与维护。当因水下泵组、搅拌器故障影响正常运行时，需进行放空检修；</w:t>
      </w:r>
    </w:p>
    <w:p w14:paraId="2840D4E3">
      <w:pPr>
        <w:pStyle w:val="52"/>
        <w:rPr>
          <w:color w:val="000000" w:themeColor="text1"/>
          <w14:textFill>
            <w14:solidFill>
              <w14:schemeClr w14:val="tx1"/>
            </w14:solidFill>
          </w14:textFill>
        </w:rPr>
      </w:pPr>
      <w:r>
        <w:rPr>
          <w:color w:val="000000" w:themeColor="text1"/>
          <w14:textFill>
            <w14:solidFill>
              <w14:schemeClr w14:val="tx1"/>
            </w14:solidFill>
          </w14:textFill>
        </w:rPr>
        <w:t>3、如设备运行环境恶劣，应加强对配套泵组、搅拌器的检查、维护。</w:t>
      </w:r>
    </w:p>
    <w:p w14:paraId="6669070B">
      <w:pPr>
        <w:pStyle w:val="52"/>
        <w:rPr>
          <w:color w:val="000000" w:themeColor="text1"/>
          <w14:textFill>
            <w14:solidFill>
              <w14:schemeClr w14:val="tx1"/>
            </w14:solidFill>
          </w14:textFill>
        </w:rPr>
      </w:pPr>
      <w:r>
        <w:rPr>
          <w:color w:val="000000" w:themeColor="text1"/>
          <w14:textFill>
            <w14:solidFill>
              <w14:schemeClr w14:val="tx1"/>
            </w14:solidFill>
          </w14:textFill>
        </w:rPr>
        <w:t>（5）加药设施运行应符合下列规定：</w:t>
      </w:r>
    </w:p>
    <w:p w14:paraId="52FCCC14">
      <w:pPr>
        <w:pStyle w:val="52"/>
        <w:rPr>
          <w:color w:val="000000" w:themeColor="text1"/>
          <w14:textFill>
            <w14:solidFill>
              <w14:schemeClr w14:val="tx1"/>
            </w14:solidFill>
          </w14:textFill>
        </w:rPr>
      </w:pPr>
      <w:r>
        <w:rPr>
          <w:color w:val="000000" w:themeColor="text1"/>
          <w14:textFill>
            <w14:solidFill>
              <w14:schemeClr w14:val="tx1"/>
            </w14:solidFill>
          </w14:textFill>
        </w:rPr>
        <w:t>1、运行过程当中，根据水质水量及工艺要求选择合适的化学药剂、投加量和药剂投加点；</w:t>
      </w:r>
    </w:p>
    <w:p w14:paraId="6B9105DF">
      <w:pPr>
        <w:pStyle w:val="52"/>
        <w:rPr>
          <w:color w:val="000000" w:themeColor="text1"/>
          <w14:textFill>
            <w14:solidFill>
              <w14:schemeClr w14:val="tx1"/>
            </w14:solidFill>
          </w14:textFill>
        </w:rPr>
      </w:pPr>
      <w:r>
        <w:rPr>
          <w:color w:val="000000" w:themeColor="text1"/>
          <w14:textFill>
            <w14:solidFill>
              <w14:schemeClr w14:val="tx1"/>
            </w14:solidFill>
          </w14:textFill>
        </w:rPr>
        <w:t>2、化学药剂的储存与使用，应符合国家现行的有关规定；</w:t>
      </w:r>
    </w:p>
    <w:p w14:paraId="35D7C3AE">
      <w:pPr>
        <w:pStyle w:val="52"/>
        <w:rPr>
          <w:color w:val="000000" w:themeColor="text1"/>
          <w14:textFill>
            <w14:solidFill>
              <w14:schemeClr w14:val="tx1"/>
            </w14:solidFill>
          </w14:textFill>
        </w:rPr>
      </w:pPr>
      <w:r>
        <w:rPr>
          <w:color w:val="000000" w:themeColor="text1"/>
          <w14:textFill>
            <w14:solidFill>
              <w14:schemeClr w14:val="tx1"/>
            </w14:solidFill>
          </w14:textFill>
        </w:rPr>
        <w:t>3、备用加药泵与使用泵应交替运行，避免长期启用或停用同一台泵；</w:t>
      </w:r>
    </w:p>
    <w:p w14:paraId="128DE0A2">
      <w:pPr>
        <w:pStyle w:val="52"/>
        <w:rPr>
          <w:color w:val="000000" w:themeColor="text1"/>
          <w14:textFill>
            <w14:solidFill>
              <w14:schemeClr w14:val="tx1"/>
            </w14:solidFill>
          </w14:textFill>
        </w:rPr>
      </w:pPr>
      <w:r>
        <w:rPr>
          <w:color w:val="000000" w:themeColor="text1"/>
          <w14:textFill>
            <w14:solidFill>
              <w14:schemeClr w14:val="tx1"/>
            </w14:solidFill>
          </w14:textFill>
        </w:rPr>
        <w:t>4、对干式投料仓及附属投料设备，应定时检查，保证药剂不在料仓内板结；</w:t>
      </w:r>
    </w:p>
    <w:p w14:paraId="31D11F63">
      <w:pPr>
        <w:pStyle w:val="52"/>
        <w:rPr>
          <w:color w:val="000000" w:themeColor="text1"/>
          <w14:textFill>
            <w14:solidFill>
              <w14:schemeClr w14:val="tx1"/>
            </w14:solidFill>
          </w14:textFill>
        </w:rPr>
      </w:pPr>
      <w:r>
        <w:rPr>
          <w:color w:val="000000" w:themeColor="text1"/>
          <w14:textFill>
            <w14:solidFill>
              <w14:schemeClr w14:val="tx1"/>
            </w14:solidFill>
          </w14:textFill>
        </w:rPr>
        <w:t>5、对湿式投料罐及附属投料设备，应定时检查，保证药剂不泄露。</w:t>
      </w:r>
    </w:p>
    <w:p w14:paraId="6107804D">
      <w:pPr>
        <w:pStyle w:val="52"/>
        <w:rPr>
          <w:color w:val="000000" w:themeColor="text1"/>
          <w14:textFill>
            <w14:solidFill>
              <w14:schemeClr w14:val="tx1"/>
            </w14:solidFill>
          </w14:textFill>
        </w:rPr>
      </w:pPr>
      <w:r>
        <w:rPr>
          <w:color w:val="000000" w:themeColor="text1"/>
          <w14:textFill>
            <w14:solidFill>
              <w14:schemeClr w14:val="tx1"/>
            </w14:solidFill>
          </w14:textFill>
        </w:rPr>
        <w:t>（6）加药设施维护应符合下列规定</w:t>
      </w:r>
    </w:p>
    <w:p w14:paraId="5ABC05A5">
      <w:pPr>
        <w:pStyle w:val="52"/>
        <w:rPr>
          <w:color w:val="000000" w:themeColor="text1"/>
          <w14:textFill>
            <w14:solidFill>
              <w14:schemeClr w14:val="tx1"/>
            </w14:solidFill>
          </w14:textFill>
        </w:rPr>
      </w:pPr>
      <w:r>
        <w:rPr>
          <w:color w:val="000000" w:themeColor="text1"/>
          <w14:textFill>
            <w14:solidFill>
              <w14:schemeClr w14:val="tx1"/>
            </w14:solidFill>
          </w14:textFill>
        </w:rPr>
        <w:t>1、加药装置的管路应随时保持畅通，定时对装置各连接部位、过滤器、进料口、出料口等进行检查，如发现沉积物，应及时加以清理；</w:t>
      </w:r>
    </w:p>
    <w:p w14:paraId="547D104B">
      <w:pPr>
        <w:pStyle w:val="52"/>
        <w:rPr>
          <w:color w:val="000000" w:themeColor="text1"/>
          <w14:textFill>
            <w14:solidFill>
              <w14:schemeClr w14:val="tx1"/>
            </w14:solidFill>
          </w14:textFill>
        </w:rPr>
      </w:pPr>
      <w:r>
        <w:rPr>
          <w:color w:val="000000" w:themeColor="text1"/>
          <w14:textFill>
            <w14:solidFill>
              <w14:schemeClr w14:val="tx1"/>
            </w14:solidFill>
          </w14:textFill>
        </w:rPr>
        <w:t>2、定期检查搅拌装置，如出现叶轮扭曲变形、联轴套松动等异常情况，应及时维护或更换；</w:t>
      </w:r>
    </w:p>
    <w:p w14:paraId="0EC9F375">
      <w:pPr>
        <w:pStyle w:val="52"/>
        <w:rPr>
          <w:color w:val="000000" w:themeColor="text1"/>
          <w14:textFill>
            <w14:solidFill>
              <w14:schemeClr w14:val="tx1"/>
            </w14:solidFill>
          </w14:textFill>
        </w:rPr>
      </w:pPr>
      <w:r>
        <w:rPr>
          <w:color w:val="000000" w:themeColor="text1"/>
          <w14:textFill>
            <w14:solidFill>
              <w14:schemeClr w14:val="tx1"/>
            </w14:solidFill>
          </w14:textFill>
        </w:rPr>
        <w:t>3、定期检查安全阀、压力表及各类阀门，以免发生泄漏事件：</w:t>
      </w:r>
    </w:p>
    <w:p w14:paraId="74737DDD">
      <w:pPr>
        <w:pStyle w:val="52"/>
        <w:rPr>
          <w:color w:val="000000" w:themeColor="text1"/>
          <w14:textFill>
            <w14:solidFill>
              <w14:schemeClr w14:val="tx1"/>
            </w14:solidFill>
          </w14:textFill>
        </w:rPr>
      </w:pPr>
      <w:r>
        <w:rPr>
          <w:color w:val="000000" w:themeColor="text1"/>
          <w14:textFill>
            <w14:solidFill>
              <w14:schemeClr w14:val="tx1"/>
            </w14:solidFill>
          </w14:textFill>
        </w:rPr>
        <w:t>4、定期检查加药计量泵及计量流量计并校正实际加药量，确保加药精确计量。</w:t>
      </w:r>
    </w:p>
    <w:p w14:paraId="7F37D3B0">
      <w:pPr>
        <w:pStyle w:val="52"/>
        <w:rPr>
          <w:color w:val="000000" w:themeColor="text1"/>
          <w14:textFill>
            <w14:solidFill>
              <w14:schemeClr w14:val="tx1"/>
            </w14:solidFill>
          </w14:textFill>
        </w:rPr>
      </w:pPr>
      <w:r>
        <w:rPr>
          <w:color w:val="000000" w:themeColor="text1"/>
          <w14:textFill>
            <w14:solidFill>
              <w14:schemeClr w14:val="tx1"/>
            </w14:solidFill>
          </w14:textFill>
        </w:rPr>
        <w:t>（7）电气设备运行及维护应符合下列规定：</w:t>
      </w:r>
    </w:p>
    <w:p w14:paraId="1DFB67F3">
      <w:pPr>
        <w:pStyle w:val="52"/>
        <w:rPr>
          <w:color w:val="000000" w:themeColor="text1"/>
          <w14:textFill>
            <w14:solidFill>
              <w14:schemeClr w14:val="tx1"/>
            </w14:solidFill>
          </w14:textFill>
        </w:rPr>
      </w:pPr>
      <w:r>
        <w:rPr>
          <w:color w:val="000000" w:themeColor="text1"/>
          <w14:textFill>
            <w14:solidFill>
              <w14:schemeClr w14:val="tx1"/>
            </w14:solidFill>
          </w14:textFill>
        </w:rPr>
        <w:t>1、变、配电装置的工作电压、工作负荷和温度应控制在额定值的允许变化范围内；</w:t>
      </w:r>
    </w:p>
    <w:p w14:paraId="64DEBECC">
      <w:pPr>
        <w:pStyle w:val="52"/>
        <w:rPr>
          <w:color w:val="000000" w:themeColor="text1"/>
          <w14:textFill>
            <w14:solidFill>
              <w14:schemeClr w14:val="tx1"/>
            </w14:solidFill>
          </w14:textFill>
        </w:rPr>
      </w:pPr>
      <w:r>
        <w:rPr>
          <w:color w:val="000000" w:themeColor="text1"/>
          <w14:textFill>
            <w14:solidFill>
              <w14:schemeClr w14:val="tx1"/>
            </w14:solidFill>
          </w14:textFill>
        </w:rPr>
        <w:t>2、当变、配电室设备在运行中发生跳闸时，在未查明原因之前严禁合闸；</w:t>
      </w:r>
    </w:p>
    <w:p w14:paraId="69084812">
      <w:pPr>
        <w:pStyle w:val="52"/>
        <w:rPr>
          <w:color w:val="000000" w:themeColor="text1"/>
          <w14:textFill>
            <w14:solidFill>
              <w14:schemeClr w14:val="tx1"/>
            </w14:solidFill>
          </w14:textFill>
        </w:rPr>
      </w:pPr>
      <w:r>
        <w:rPr>
          <w:color w:val="000000" w:themeColor="text1"/>
          <w14:textFill>
            <w14:solidFill>
              <w14:schemeClr w14:val="tx1"/>
            </w14:solidFill>
          </w14:textFill>
        </w:rPr>
        <w:t>3、电气设备的运行参数应按时记录，并记录有关的命令指示、调度安排，严禁漏记、编造和涂改；</w:t>
      </w:r>
    </w:p>
    <w:p w14:paraId="307B4557">
      <w:pPr>
        <w:pStyle w:val="52"/>
        <w:rPr>
          <w:color w:val="000000" w:themeColor="text1"/>
          <w14:textFill>
            <w14:solidFill>
              <w14:schemeClr w14:val="tx1"/>
            </w14:solidFill>
          </w14:textFill>
        </w:rPr>
      </w:pPr>
      <w:r>
        <w:rPr>
          <w:color w:val="000000" w:themeColor="text1"/>
          <w14:textFill>
            <w14:solidFill>
              <w14:schemeClr w14:val="tx1"/>
            </w14:solidFill>
          </w14:textFill>
        </w:rPr>
        <w:t>4、当变、配电装置在运行中发生异常情况不能排除时，应立即停止运行；</w:t>
      </w:r>
    </w:p>
    <w:p w14:paraId="2A865B5F">
      <w:pPr>
        <w:pStyle w:val="52"/>
        <w:rPr>
          <w:color w:val="000000" w:themeColor="text1"/>
          <w14:textFill>
            <w14:solidFill>
              <w14:schemeClr w14:val="tx1"/>
            </w14:solidFill>
          </w14:textFill>
        </w:rPr>
      </w:pPr>
      <w:r>
        <w:rPr>
          <w:color w:val="000000" w:themeColor="text1"/>
          <w14:textFill>
            <w14:solidFill>
              <w14:schemeClr w14:val="tx1"/>
            </w14:solidFill>
          </w14:textFill>
        </w:rPr>
        <w:t>5、所有的高压电气设备，应根据具体情况和要求选用含义相符的标志、牌：</w:t>
      </w:r>
    </w:p>
    <w:p w14:paraId="3B248F50">
      <w:pPr>
        <w:pStyle w:val="52"/>
        <w:rPr>
          <w:color w:val="000000" w:themeColor="text1"/>
          <w14:textFill>
            <w14:solidFill>
              <w14:schemeClr w14:val="tx1"/>
            </w14:solidFill>
          </w14:textFill>
        </w:rPr>
      </w:pPr>
      <w:r>
        <w:rPr>
          <w:color w:val="000000" w:themeColor="text1"/>
          <w14:textFill>
            <w14:solidFill>
              <w14:schemeClr w14:val="tx1"/>
            </w14:solidFill>
          </w14:textFill>
        </w:rPr>
        <w:t>6、高、低压变、配电装置的清扫、检修工作必须符合现行行业标准《电业安全工作规程（电力线路部分）》DIA09的有关规定；</w:t>
      </w:r>
    </w:p>
    <w:p w14:paraId="0F630304">
      <w:pPr>
        <w:pStyle w:val="52"/>
        <w:rPr>
          <w:color w:val="000000" w:themeColor="text1"/>
          <w14:textFill>
            <w14:solidFill>
              <w14:schemeClr w14:val="tx1"/>
            </w14:solidFill>
          </w14:textFill>
        </w:rPr>
      </w:pPr>
      <w:r>
        <w:rPr>
          <w:color w:val="000000" w:themeColor="text1"/>
          <w14:textFill>
            <w14:solidFill>
              <w14:schemeClr w14:val="tx1"/>
            </w14:solidFill>
          </w14:textFill>
        </w:rPr>
        <w:t>7、电气控制柜无显露灰尘，各种技术性能正常。</w:t>
      </w:r>
    </w:p>
    <w:p w14:paraId="5C195B33">
      <w:pPr>
        <w:pStyle w:val="52"/>
        <w:rPr>
          <w:color w:val="000000" w:themeColor="text1"/>
          <w14:textFill>
            <w14:solidFill>
              <w14:schemeClr w14:val="tx1"/>
            </w14:solidFill>
          </w14:textFill>
        </w:rPr>
      </w:pPr>
      <w:r>
        <w:rPr>
          <w:color w:val="000000" w:themeColor="text1"/>
          <w14:textFill>
            <w14:solidFill>
              <w14:schemeClr w14:val="tx1"/>
            </w14:solidFill>
          </w14:textFill>
        </w:rPr>
        <w:t>（8）控制系统运行及维护应符合下列规定：</w:t>
      </w:r>
    </w:p>
    <w:p w14:paraId="2E5F50B4">
      <w:pPr>
        <w:pStyle w:val="52"/>
        <w:rPr>
          <w:color w:val="000000" w:themeColor="text1"/>
          <w14:textFill>
            <w14:solidFill>
              <w14:schemeClr w14:val="tx1"/>
            </w14:solidFill>
          </w14:textFill>
        </w:rPr>
      </w:pPr>
      <w:r>
        <w:rPr>
          <w:color w:val="000000" w:themeColor="text1"/>
          <w14:textFill>
            <w14:solidFill>
              <w14:schemeClr w14:val="tx1"/>
            </w14:solidFill>
          </w14:textFill>
        </w:rPr>
        <w:t>1、控制设备工作日志和运维数据正常，数据作好归档及备份；</w:t>
      </w:r>
    </w:p>
    <w:p w14:paraId="033CBD4B">
      <w:pPr>
        <w:pStyle w:val="52"/>
        <w:rPr>
          <w:color w:val="000000" w:themeColor="text1"/>
          <w14:textFill>
            <w14:solidFill>
              <w14:schemeClr w14:val="tx1"/>
            </w14:solidFill>
          </w14:textFill>
        </w:rPr>
      </w:pPr>
      <w:r>
        <w:rPr>
          <w:color w:val="000000" w:themeColor="text1"/>
          <w14:textFill>
            <w14:solidFill>
              <w14:schemeClr w14:val="tx1"/>
            </w14:solidFill>
          </w14:textFill>
        </w:rPr>
        <w:t>2、设备机房内无显露灰尘，调控机房温度和湿度在合适范围之内；</w:t>
      </w:r>
    </w:p>
    <w:p w14:paraId="64A35955">
      <w:pPr>
        <w:pStyle w:val="52"/>
        <w:rPr>
          <w:color w:val="000000" w:themeColor="text1"/>
          <w14:textFill>
            <w14:solidFill>
              <w14:schemeClr w14:val="tx1"/>
            </w14:solidFill>
          </w14:textFill>
        </w:rPr>
      </w:pPr>
      <w:r>
        <w:rPr>
          <w:color w:val="000000" w:themeColor="text1"/>
          <w14:textFill>
            <w14:solidFill>
              <w14:schemeClr w14:val="tx1"/>
            </w14:solidFill>
          </w14:textFill>
        </w:rPr>
        <w:t>3、对网络设备、监控终端等设备的易老化部件定期检查与维护，发现异常及时更换；</w:t>
      </w:r>
    </w:p>
    <w:p w14:paraId="7B7B0E7B">
      <w:pPr>
        <w:pStyle w:val="52"/>
        <w:rPr>
          <w:color w:val="000000" w:themeColor="text1"/>
          <w14:textFill>
            <w14:solidFill>
              <w14:schemeClr w14:val="tx1"/>
            </w14:solidFill>
          </w14:textFill>
        </w:rPr>
      </w:pPr>
      <w:r>
        <w:rPr>
          <w:color w:val="000000" w:themeColor="text1"/>
          <w14:textFill>
            <w14:solidFill>
              <w14:schemeClr w14:val="tx1"/>
            </w14:solidFill>
          </w14:textFill>
        </w:rPr>
        <w:t>4、对软件系统的各项技术参数、报警信息、病毒检测等进行定期网络巡检，及时诊断与排除故障，确保网络正常运行。</w:t>
      </w:r>
    </w:p>
    <w:p w14:paraId="6033865A">
      <w:pPr>
        <w:pStyle w:val="52"/>
        <w:rPr>
          <w:color w:val="000000" w:themeColor="text1"/>
          <w14:textFill>
            <w14:solidFill>
              <w14:schemeClr w14:val="tx1"/>
            </w14:solidFill>
          </w14:textFill>
        </w:rPr>
      </w:pPr>
      <w:r>
        <w:rPr>
          <w:color w:val="000000" w:themeColor="text1"/>
          <w14:textFill>
            <w14:solidFill>
              <w14:schemeClr w14:val="tx1"/>
            </w14:solidFill>
          </w14:textFill>
        </w:rPr>
        <w:t>（9）辅助设备、设施维护应符合下列规定：</w:t>
      </w:r>
    </w:p>
    <w:p w14:paraId="56D96373">
      <w:pPr>
        <w:pStyle w:val="52"/>
        <w:rPr>
          <w:color w:val="000000" w:themeColor="text1"/>
          <w14:textFill>
            <w14:solidFill>
              <w14:schemeClr w14:val="tx1"/>
            </w14:solidFill>
          </w14:textFill>
        </w:rPr>
      </w:pPr>
      <w:r>
        <w:rPr>
          <w:color w:val="000000" w:themeColor="text1"/>
          <w14:textFill>
            <w14:solidFill>
              <w14:schemeClr w14:val="tx1"/>
            </w14:solidFill>
          </w14:textFill>
        </w:rPr>
        <w:t>1、应定期检查通水管路是否有破损、阻塞问题，及时维护检修，必要时予以更换；</w:t>
      </w:r>
    </w:p>
    <w:p w14:paraId="0BB774E0">
      <w:pPr>
        <w:pStyle w:val="52"/>
        <w:rPr>
          <w:color w:val="000000" w:themeColor="text1"/>
          <w14:textFill>
            <w14:solidFill>
              <w14:schemeClr w14:val="tx1"/>
            </w14:solidFill>
          </w14:textFill>
        </w:rPr>
      </w:pPr>
      <w:r>
        <w:rPr>
          <w:color w:val="000000" w:themeColor="text1"/>
          <w14:textFill>
            <w14:solidFill>
              <w14:schemeClr w14:val="tx1"/>
            </w14:solidFill>
          </w14:textFill>
        </w:rPr>
        <w:t>2、各种管道闸阀应定期做启闭试验，加注润滑油脂。检查后应确认回复至正常位置；</w:t>
      </w:r>
    </w:p>
    <w:p w14:paraId="28F18099">
      <w:pPr>
        <w:pStyle w:val="52"/>
        <w:rPr>
          <w:color w:val="000000" w:themeColor="text1"/>
          <w14:textFill>
            <w14:solidFill>
              <w14:schemeClr w14:val="tx1"/>
            </w14:solidFill>
          </w14:textFill>
        </w:rPr>
      </w:pPr>
      <w:r>
        <w:rPr>
          <w:color w:val="000000" w:themeColor="text1"/>
          <w14:textFill>
            <w14:solidFill>
              <w14:schemeClr w14:val="tx1"/>
            </w14:solidFill>
          </w14:textFill>
        </w:rPr>
        <w:t>3、应对构筑物的结构及各种护栏、爬梯、支架、盖板及照明设备等定期进行检查、保养及防腐处理，如变形、损伤严重，危及使用和安全功能的，应立即予以整修或更换；</w:t>
      </w:r>
    </w:p>
    <w:p w14:paraId="3786F05C">
      <w:pPr>
        <w:pStyle w:val="52"/>
        <w:rPr>
          <w:color w:val="000000" w:themeColor="text1"/>
          <w14:textFill>
            <w14:solidFill>
              <w14:schemeClr w14:val="tx1"/>
            </w14:solidFill>
          </w14:textFill>
        </w:rPr>
      </w:pPr>
      <w:r>
        <w:rPr>
          <w:color w:val="000000" w:themeColor="text1"/>
          <w14:textFill>
            <w14:solidFill>
              <w14:schemeClr w14:val="tx1"/>
            </w14:solidFill>
          </w14:textFill>
        </w:rPr>
        <w:t>4、凡设有钢丝绳的装置，绳的磨损量大于原直径的10%，或其中的一股</w:t>
      </w:r>
      <w:r>
        <w:rPr>
          <w:rFonts w:hint="eastAsia"/>
          <w:color w:val="000000" w:themeColor="text1"/>
          <w:lang w:eastAsia="zh-CN"/>
          <w14:textFill>
            <w14:solidFill>
              <w14:schemeClr w14:val="tx1"/>
            </w14:solidFill>
          </w14:textFill>
        </w:rPr>
        <w:t>已经</w:t>
      </w:r>
      <w:r>
        <w:rPr>
          <w:color w:val="000000" w:themeColor="text1"/>
          <w14:textFill>
            <w14:solidFill>
              <w14:schemeClr w14:val="tx1"/>
            </w14:solidFill>
          </w14:textFill>
        </w:rPr>
        <w:t>断裂时，必须更换；</w:t>
      </w:r>
    </w:p>
    <w:p w14:paraId="4E6CE524">
      <w:pPr>
        <w:pStyle w:val="52"/>
        <w:rPr>
          <w:color w:val="000000" w:themeColor="text1"/>
          <w14:textFill>
            <w14:solidFill>
              <w14:schemeClr w14:val="tx1"/>
            </w14:solidFill>
          </w14:textFill>
        </w:rPr>
      </w:pPr>
      <w:r>
        <w:rPr>
          <w:color w:val="000000" w:themeColor="text1"/>
          <w14:textFill>
            <w14:solidFill>
              <w14:schemeClr w14:val="tx1"/>
            </w14:solidFill>
          </w14:textFill>
        </w:rPr>
        <w:t>5、水尺、标志牌、警示牌等标识物出现缺损、变形，应及时维修或更换；</w:t>
      </w:r>
    </w:p>
    <w:p w14:paraId="415BF90F">
      <w:pPr>
        <w:pStyle w:val="52"/>
        <w:rPr>
          <w:color w:val="000000" w:themeColor="text1"/>
          <w14:textFill>
            <w14:solidFill>
              <w14:schemeClr w14:val="tx1"/>
            </w14:solidFill>
          </w14:textFill>
        </w:rPr>
      </w:pPr>
      <w:r>
        <w:rPr>
          <w:color w:val="000000" w:themeColor="text1"/>
          <w14:textFill>
            <w14:solidFill>
              <w14:schemeClr w14:val="tx1"/>
            </w14:solidFill>
          </w14:textFill>
        </w:rPr>
        <w:t>6、建筑物、构筑物等的避雷、防爆装置的测试、维修及其检查周期应符合电业和消防部门的规定；</w:t>
      </w:r>
    </w:p>
    <w:p w14:paraId="515AEC43">
      <w:pPr>
        <w:pStyle w:val="52"/>
        <w:rPr>
          <w:color w:val="000000" w:themeColor="text1"/>
          <w14:textFill>
            <w14:solidFill>
              <w14:schemeClr w14:val="tx1"/>
            </w14:solidFill>
          </w14:textFill>
        </w:rPr>
      </w:pPr>
      <w:r>
        <w:rPr>
          <w:color w:val="000000" w:themeColor="text1"/>
          <w14:textFill>
            <w14:solidFill>
              <w14:schemeClr w14:val="tx1"/>
            </w14:solidFill>
          </w14:textFill>
        </w:rPr>
        <w:t>7、应定期检查和更换救生衣、救生圈、消防设施等防护用品；</w:t>
      </w:r>
    </w:p>
    <w:p w14:paraId="4E9B6EA9">
      <w:pPr>
        <w:pStyle w:val="52"/>
        <w:rPr>
          <w:color w:val="000000" w:themeColor="text1"/>
          <w14:textFill>
            <w14:solidFill>
              <w14:schemeClr w14:val="tx1"/>
            </w14:solidFill>
          </w14:textFill>
        </w:rPr>
      </w:pPr>
      <w:r>
        <w:rPr>
          <w:color w:val="000000" w:themeColor="text1"/>
          <w14:textFill>
            <w14:solidFill>
              <w14:schemeClr w14:val="tx1"/>
            </w14:solidFill>
          </w14:textFill>
        </w:rPr>
        <w:t>8、除臭设备的运行维护，应符合现行行业标准《城镇污水处理厂运行监督管理技术规范》HJ2038和《城镇污水处理厂运行、维护及安全技术规程》CJJ60的有关规定；</w:t>
      </w:r>
    </w:p>
    <w:p w14:paraId="1401C5D7">
      <w:pPr>
        <w:pStyle w:val="52"/>
        <w:rPr>
          <w:color w:val="000000" w:themeColor="text1"/>
          <w14:textFill>
            <w14:solidFill>
              <w14:schemeClr w14:val="tx1"/>
            </w14:solidFill>
          </w14:textFill>
        </w:rPr>
      </w:pPr>
      <w:r>
        <w:rPr>
          <w:color w:val="000000" w:themeColor="text1"/>
          <w14:textFill>
            <w14:solidFill>
              <w14:schemeClr w14:val="tx1"/>
            </w14:solidFill>
          </w14:textFill>
        </w:rPr>
        <w:t>9、应定期检查减震降噪、隔声、消声等设备、设施，保证降噪效果。</w:t>
      </w:r>
    </w:p>
    <w:p w14:paraId="74A45C17">
      <w:pPr>
        <w:pStyle w:val="7"/>
        <w:rPr>
          <w:color w:val="000000" w:themeColor="text1"/>
          <w14:textFill>
            <w14:solidFill>
              <w14:schemeClr w14:val="tx1"/>
            </w14:solidFill>
          </w14:textFill>
        </w:rPr>
      </w:pPr>
      <w:r>
        <w:rPr>
          <w:color w:val="000000" w:themeColor="text1"/>
          <w14:textFill>
            <w14:solidFill>
              <w14:schemeClr w14:val="tx1"/>
            </w14:solidFill>
          </w14:textFill>
        </w:rPr>
        <w:t>三格化粪池的运行维护</w:t>
      </w:r>
    </w:p>
    <w:p w14:paraId="3313995C">
      <w:pPr>
        <w:pStyle w:val="52"/>
        <w:rPr>
          <w:color w:val="000000" w:themeColor="text1"/>
          <w14:textFill>
            <w14:solidFill>
              <w14:schemeClr w14:val="tx1"/>
            </w14:solidFill>
          </w14:textFill>
        </w:rPr>
      </w:pPr>
      <w:r>
        <w:rPr>
          <w:color w:val="000000" w:themeColor="text1"/>
          <w14:textFill>
            <w14:solidFill>
              <w14:schemeClr w14:val="tx1"/>
            </w14:solidFill>
          </w14:textFill>
        </w:rPr>
        <w:t>（1）户厕的三格式化粪池容积一般在2立方米左右，由于容量较小，雨水和生活用水不得进入化粪池。</w:t>
      </w:r>
    </w:p>
    <w:p w14:paraId="4D86C3B3">
      <w:pPr>
        <w:pStyle w:val="52"/>
        <w:rPr>
          <w:color w:val="000000" w:themeColor="text1"/>
          <w14:textFill>
            <w14:solidFill>
              <w14:schemeClr w14:val="tx1"/>
            </w14:solidFill>
          </w14:textFill>
        </w:rPr>
      </w:pPr>
      <w:r>
        <w:rPr>
          <w:color w:val="000000" w:themeColor="text1"/>
          <w14:textFill>
            <w14:solidFill>
              <w14:schemeClr w14:val="tx1"/>
            </w14:solidFill>
          </w14:textFill>
        </w:rPr>
        <w:t>（2）便后养成水冲的习惯，但要控制用水量，以免因粪便贮存时间过短而达不到无害化要求。不要将不易分解的纸张或杂物倒入池内，以免造成弯管堵塞。</w:t>
      </w:r>
    </w:p>
    <w:p w14:paraId="042C8E55">
      <w:pPr>
        <w:pStyle w:val="52"/>
        <w:rPr>
          <w:color w:val="000000" w:themeColor="text1"/>
          <w14:textFill>
            <w14:solidFill>
              <w14:schemeClr w14:val="tx1"/>
            </w14:solidFill>
          </w14:textFill>
        </w:rPr>
      </w:pPr>
      <w:r>
        <w:rPr>
          <w:color w:val="000000" w:themeColor="text1"/>
          <w14:textFill>
            <w14:solidFill>
              <w14:schemeClr w14:val="tx1"/>
            </w14:solidFill>
          </w14:textFill>
        </w:rPr>
        <w:t>（3）定期清渣。一般每年清渣一次，具体清渣时间视使用管理情况而定，当第三池出现粪皮时必须清渣。清理出的粪渣、粪皮必须经过无害化处理方可使用。处理方式为粪渣与尿素按100：1或2的比例混合存放2天，加水稀释后使用。</w:t>
      </w:r>
    </w:p>
    <w:p w14:paraId="5FA98687">
      <w:pPr>
        <w:pStyle w:val="52"/>
        <w:rPr>
          <w:color w:val="000000" w:themeColor="text1"/>
          <w14:textFill>
            <w14:solidFill>
              <w14:schemeClr w14:val="tx1"/>
            </w14:solidFill>
          </w14:textFill>
        </w:rPr>
      </w:pPr>
      <w:r>
        <w:rPr>
          <w:color w:val="000000" w:themeColor="text1"/>
          <w14:textFill>
            <w14:solidFill>
              <w14:schemeClr w14:val="tx1"/>
            </w14:solidFill>
          </w14:textFill>
        </w:rPr>
        <w:t>（4）用肥时，必须从第三池取粪液，不能从第一池或第二池直接取粪。第三池禁止倒入新鲜粪液。</w:t>
      </w:r>
    </w:p>
    <w:p w14:paraId="64726145">
      <w:pPr>
        <w:pStyle w:val="6"/>
        <w:rPr>
          <w:color w:val="000000" w:themeColor="text1"/>
          <w14:textFill>
            <w14:solidFill>
              <w14:schemeClr w14:val="tx1"/>
            </w14:solidFill>
          </w14:textFill>
        </w:rPr>
      </w:pPr>
      <w:bookmarkStart w:id="318" w:name="_Toc112694080"/>
      <w:bookmarkStart w:id="319" w:name="_Toc112693945"/>
      <w:bookmarkStart w:id="320" w:name="_Toc112692647"/>
      <w:r>
        <w:rPr>
          <w:color w:val="000000" w:themeColor="text1"/>
          <w14:textFill>
            <w14:solidFill>
              <w14:schemeClr w14:val="tx1"/>
            </w14:solidFill>
          </w14:textFill>
        </w:rPr>
        <w:t>污泥处理与处置</w:t>
      </w:r>
      <w:bookmarkEnd w:id="318"/>
      <w:bookmarkEnd w:id="319"/>
      <w:bookmarkEnd w:id="320"/>
    </w:p>
    <w:p w14:paraId="016B12C7">
      <w:pPr>
        <w:pStyle w:val="7"/>
        <w:rPr>
          <w:color w:val="000000" w:themeColor="text1"/>
          <w14:textFill>
            <w14:solidFill>
              <w14:schemeClr w14:val="tx1"/>
            </w14:solidFill>
          </w14:textFill>
        </w:rPr>
      </w:pPr>
      <w:r>
        <w:rPr>
          <w:color w:val="000000" w:themeColor="text1"/>
          <w14:textFill>
            <w14:solidFill>
              <w14:schemeClr w14:val="tx1"/>
            </w14:solidFill>
          </w14:textFill>
        </w:rPr>
        <w:t>污泥处理处置要求</w:t>
      </w:r>
    </w:p>
    <w:p w14:paraId="1B23EF63">
      <w:pPr>
        <w:pStyle w:val="52"/>
        <w:rPr>
          <w:color w:val="000000" w:themeColor="text1"/>
          <w14:textFill>
            <w14:solidFill>
              <w14:schemeClr w14:val="tx1"/>
            </w14:solidFill>
          </w14:textFill>
        </w:rPr>
      </w:pPr>
      <w:r>
        <w:rPr>
          <w:color w:val="000000" w:themeColor="text1"/>
          <w14:textFill>
            <w14:solidFill>
              <w14:schemeClr w14:val="tx1"/>
            </w14:solidFill>
          </w14:textFill>
        </w:rPr>
        <w:t>（1）运维单位不具备污泥处置及运输许可时，需委托具备资质的单位进行处置和运输，委托合同应包括污泥处置方式、处置单位资质文件等相关内容。</w:t>
      </w:r>
    </w:p>
    <w:p w14:paraId="1FFECF53">
      <w:pPr>
        <w:pStyle w:val="52"/>
        <w:rPr>
          <w:color w:val="000000" w:themeColor="text1"/>
          <w14:textFill>
            <w14:solidFill>
              <w14:schemeClr w14:val="tx1"/>
            </w14:solidFill>
          </w14:textFill>
        </w:rPr>
      </w:pPr>
      <w:r>
        <w:rPr>
          <w:color w:val="000000" w:themeColor="text1"/>
          <w14:textFill>
            <w14:solidFill>
              <w14:schemeClr w14:val="tx1"/>
            </w14:solidFill>
          </w14:textFill>
        </w:rPr>
        <w:t>（2）乡镇污水处理厂（站）、污泥运输单位和污泥接收单位应建立污泥转运联单制度，做到出厂污泥量、承运量、接收处置量相符，以保证污泥处理处置处于有效监控状态：污泥处理处置运营单位应建立完备的检测、记录、存档和报告制度，并对处理处置后的污泥及其副产物的去向、用途、用量等进行跟踪、记录和报告，相关资料至少保存5年。</w:t>
      </w:r>
    </w:p>
    <w:p w14:paraId="25AF3EA0">
      <w:pPr>
        <w:pStyle w:val="52"/>
        <w:rPr>
          <w:color w:val="000000" w:themeColor="text1"/>
          <w14:textFill>
            <w14:solidFill>
              <w14:schemeClr w14:val="tx1"/>
            </w14:solidFill>
          </w14:textFill>
        </w:rPr>
      </w:pPr>
      <w:r>
        <w:rPr>
          <w:color w:val="000000" w:themeColor="text1"/>
          <w14:textFill>
            <w14:solidFill>
              <w14:schemeClr w14:val="tx1"/>
            </w14:solidFill>
          </w14:textFill>
        </w:rPr>
        <w:t>（3）污泥应妥善处置，严禁随意倾倒。</w:t>
      </w:r>
    </w:p>
    <w:p w14:paraId="526A6A8C">
      <w:pPr>
        <w:pStyle w:val="52"/>
        <w:rPr>
          <w:color w:val="000000" w:themeColor="text1"/>
          <w14:textFill>
            <w14:solidFill>
              <w14:schemeClr w14:val="tx1"/>
            </w14:solidFill>
          </w14:textFill>
        </w:rPr>
      </w:pPr>
      <w:r>
        <w:rPr>
          <w:color w:val="000000" w:themeColor="text1"/>
          <w14:textFill>
            <w14:solidFill>
              <w14:schemeClr w14:val="tx1"/>
            </w14:solidFill>
          </w14:textFill>
        </w:rPr>
        <w:t>（4）污泥处置直采用就近的原则，以节省运输费用及减少湿污泥运输中对沿途造成的污染。</w:t>
      </w:r>
    </w:p>
    <w:p w14:paraId="5F3D7B9C">
      <w:pPr>
        <w:pStyle w:val="52"/>
        <w:rPr>
          <w:color w:val="000000" w:themeColor="text1"/>
          <w14:textFill>
            <w14:solidFill>
              <w14:schemeClr w14:val="tx1"/>
            </w14:solidFill>
          </w14:textFill>
        </w:rPr>
      </w:pPr>
      <w:r>
        <w:rPr>
          <w:color w:val="000000" w:themeColor="text1"/>
          <w14:textFill>
            <w14:solidFill>
              <w14:schemeClr w14:val="tx1"/>
            </w14:solidFill>
          </w14:textFill>
        </w:rPr>
        <w:t>（5）污泥中的污染物控制指标及污泥处理处置应执行下列标准：</w:t>
      </w:r>
    </w:p>
    <w:p w14:paraId="2F9B5998">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城镇污水处理厂的污泥应进行稳定化处理，并达到《城镇污水处理厂污染物排放标准》(GB18918)中规定的污泥污染物控制标准；</w:t>
      </w:r>
    </w:p>
    <w:p w14:paraId="2AB0E773">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污泥用于园林绿化时，泥质指标应符合《城镇污水处理厂污泥处置园林绿化用泥质》(GB/T23486)的有关规定；</w:t>
      </w:r>
    </w:p>
    <w:p w14:paraId="090D0440">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林地用泥质应符合《城镇污水处理厂污泥处置林地用泥质》(CJ/T362)的有关规定；</w:t>
      </w:r>
    </w:p>
    <w:p w14:paraId="3B7BCC48">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污泥与生活垃圾混合填埋时，泥质指标应符合《城镇污水处理厂污泥处置混合填埋泥质》(GB/T23485)的有关规定；</w:t>
      </w:r>
    </w:p>
    <w:p w14:paraId="52FE7C6D">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w:t>
      </w:r>
      <w:r>
        <w:rPr>
          <w:color w:val="000000" w:themeColor="text1"/>
          <w14:textFill>
            <w14:solidFill>
              <w14:schemeClr w14:val="tx1"/>
            </w14:solidFill>
          </w14:textFill>
        </w:rPr>
        <w:t>污泥用于建材利用时，应符合《城镇污水处理厂污泥处置水泥熟料生产用泥质》(CJ/T314)的有关规定；</w:t>
      </w:r>
    </w:p>
    <w:p w14:paraId="1A26CBEB">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⑥</w:t>
      </w:r>
      <w:r>
        <w:rPr>
          <w:color w:val="000000" w:themeColor="text1"/>
          <w14:textFill>
            <w14:solidFill>
              <w14:schemeClr w14:val="tx1"/>
            </w14:solidFill>
          </w14:textFill>
        </w:rPr>
        <w:t>污泥用于盐碱地、沙化地和废弃矿场等土地改良时，泥质应符合城镇污水处理厂污泥处置土地改良泥质》(GB/T24600-2009)的有关规定；</w:t>
      </w:r>
    </w:p>
    <w:p w14:paraId="6C5ADA28">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⑦</w:t>
      </w:r>
      <w:r>
        <w:rPr>
          <w:color w:val="000000" w:themeColor="text1"/>
          <w14:textFill>
            <w14:solidFill>
              <w14:schemeClr w14:val="tx1"/>
            </w14:solidFill>
          </w14:textFill>
        </w:rPr>
        <w:t>污泥农用时，应符合《农用污泥中污染物控制标准》(GB4284)和《城镇污水处理厂污泥处置农用泥质》(CJ/T309)的有关规定。</w:t>
      </w:r>
    </w:p>
    <w:p w14:paraId="3D19432F">
      <w:pPr>
        <w:pStyle w:val="52"/>
        <w:rPr>
          <w:color w:val="000000" w:themeColor="text1"/>
          <w14:textFill>
            <w14:solidFill>
              <w14:schemeClr w14:val="tx1"/>
            </w14:solidFill>
          </w14:textFill>
        </w:rPr>
      </w:pPr>
      <w:r>
        <w:rPr>
          <w:color w:val="000000" w:themeColor="text1"/>
          <w14:textFill>
            <w14:solidFill>
              <w14:schemeClr w14:val="tx1"/>
            </w14:solidFill>
          </w14:textFill>
        </w:rPr>
        <w:t>（6）严格执行污泥处置转移联单制度，厂内的污泥处理和处置流程应有效衔接，避免二次污染。</w:t>
      </w:r>
    </w:p>
    <w:p w14:paraId="4B1DAE6E">
      <w:pPr>
        <w:pStyle w:val="52"/>
        <w:rPr>
          <w:color w:val="000000" w:themeColor="text1"/>
          <w14:textFill>
            <w14:solidFill>
              <w14:schemeClr w14:val="tx1"/>
            </w14:solidFill>
          </w14:textFill>
        </w:rPr>
      </w:pPr>
      <w:r>
        <w:rPr>
          <w:color w:val="000000" w:themeColor="text1"/>
          <w14:textFill>
            <w14:solidFill>
              <w14:schemeClr w14:val="tx1"/>
            </w14:solidFill>
          </w14:textFill>
        </w:rPr>
        <w:t>（7）应定期检测污泥泥质。</w:t>
      </w:r>
    </w:p>
    <w:p w14:paraId="251443E5">
      <w:pPr>
        <w:pStyle w:val="6"/>
        <w:rPr>
          <w:color w:val="000000" w:themeColor="text1"/>
          <w14:textFill>
            <w14:solidFill>
              <w14:schemeClr w14:val="tx1"/>
            </w14:solidFill>
          </w14:textFill>
        </w:rPr>
      </w:pPr>
      <w:bookmarkStart w:id="321" w:name="_Toc112692648"/>
      <w:bookmarkStart w:id="322" w:name="_Toc112693946"/>
      <w:bookmarkStart w:id="323" w:name="_Toc112694081"/>
      <w:r>
        <w:rPr>
          <w:color w:val="000000" w:themeColor="text1"/>
          <w14:textFill>
            <w14:solidFill>
              <w14:schemeClr w14:val="tx1"/>
            </w14:solidFill>
          </w14:textFill>
        </w:rPr>
        <w:t>自行监测</w:t>
      </w:r>
      <w:bookmarkEnd w:id="321"/>
      <w:bookmarkEnd w:id="322"/>
      <w:bookmarkEnd w:id="323"/>
    </w:p>
    <w:p w14:paraId="0F8DE9E3">
      <w:pPr>
        <w:pStyle w:val="7"/>
        <w:rPr>
          <w:color w:val="000000" w:themeColor="text1"/>
          <w14:textFill>
            <w14:solidFill>
              <w14:schemeClr w14:val="tx1"/>
            </w14:solidFill>
          </w14:textFill>
        </w:rPr>
      </w:pPr>
      <w:r>
        <w:rPr>
          <w:color w:val="000000" w:themeColor="text1"/>
          <w14:textFill>
            <w14:solidFill>
              <w14:schemeClr w14:val="tx1"/>
            </w14:solidFill>
          </w14:textFill>
        </w:rPr>
        <w:t>一般规定</w:t>
      </w:r>
    </w:p>
    <w:p w14:paraId="6CC53551">
      <w:pPr>
        <w:pStyle w:val="52"/>
        <w:rPr>
          <w:color w:val="000000" w:themeColor="text1"/>
          <w14:textFill>
            <w14:solidFill>
              <w14:schemeClr w14:val="tx1"/>
            </w14:solidFill>
          </w14:textFill>
        </w:rPr>
      </w:pPr>
      <w:r>
        <w:rPr>
          <w:color w:val="000000" w:themeColor="text1"/>
          <w14:textFill>
            <w14:solidFill>
              <w14:schemeClr w14:val="tx1"/>
            </w14:solidFill>
          </w14:textFill>
        </w:rPr>
        <w:t>（1）乡镇生活污水处理设施内应设置标识牌，明确标出设计出水标准，包括出水水质指标和限值，以及采样点标识。</w:t>
      </w:r>
    </w:p>
    <w:p w14:paraId="079E215D">
      <w:pPr>
        <w:pStyle w:val="52"/>
        <w:rPr>
          <w:color w:val="000000" w:themeColor="text1"/>
          <w14:textFill>
            <w14:solidFill>
              <w14:schemeClr w14:val="tx1"/>
            </w14:solidFill>
          </w14:textFill>
        </w:rPr>
      </w:pPr>
      <w:r>
        <w:rPr>
          <w:color w:val="000000" w:themeColor="text1"/>
          <w14:textFill>
            <w14:solidFill>
              <w14:schemeClr w14:val="tx1"/>
            </w14:solidFill>
          </w14:textFill>
        </w:rPr>
        <w:t>（2）当乡镇生活污水处理厂的收集范围内存在工业涉污企业，运维单位应根据实际需求对企业的排污状况和特征污染物进行检测，必要时应及时将检测结果向上级管理部门汇报。</w:t>
      </w:r>
    </w:p>
    <w:p w14:paraId="6B49AB38">
      <w:pPr>
        <w:pStyle w:val="52"/>
        <w:rPr>
          <w:color w:val="000000" w:themeColor="text1"/>
          <w14:textFill>
            <w14:solidFill>
              <w14:schemeClr w14:val="tx1"/>
            </w14:solidFill>
          </w14:textFill>
        </w:rPr>
      </w:pPr>
      <w:r>
        <w:rPr>
          <w:color w:val="000000" w:themeColor="text1"/>
          <w14:textFill>
            <w14:solidFill>
              <w14:schemeClr w14:val="tx1"/>
            </w14:solidFill>
          </w14:textFill>
        </w:rPr>
        <w:t>（3）乡镇生活污水处理厂水质检测方法应符合现行行业标准《城镇污水水质标准检验方法》CJ/T51的有关规定。</w:t>
      </w:r>
    </w:p>
    <w:p w14:paraId="4830A75B">
      <w:pPr>
        <w:pStyle w:val="52"/>
        <w:rPr>
          <w:color w:val="000000" w:themeColor="text1"/>
          <w14:textFill>
            <w14:solidFill>
              <w14:schemeClr w14:val="tx1"/>
            </w14:solidFill>
          </w14:textFill>
        </w:rPr>
      </w:pPr>
      <w:r>
        <w:rPr>
          <w:color w:val="000000" w:themeColor="text1"/>
          <w14:textFill>
            <w14:solidFill>
              <w14:schemeClr w14:val="tx1"/>
            </w14:solidFill>
          </w14:textFill>
        </w:rPr>
        <w:t>（4）如果出水用于回用，出水水质化验指标及检测周期应根据再生水用途分别符合相应的现行国家标准《城市污水再生利用城市杂用水水质》(GB/T18920)、《城市污水再生利用景观环境水水质》(GB/T18921)、《城市污水再生利用地下水回灌水质》(GB/T19772)和《城市污水再生利用工业用水水质》(GB/T19923)的有关规定。</w:t>
      </w:r>
    </w:p>
    <w:p w14:paraId="18CB0AA6">
      <w:pPr>
        <w:pStyle w:val="52"/>
        <w:rPr>
          <w:color w:val="000000" w:themeColor="text1"/>
          <w14:textFill>
            <w14:solidFill>
              <w14:schemeClr w14:val="tx1"/>
            </w14:solidFill>
          </w14:textFill>
        </w:rPr>
      </w:pPr>
      <w:r>
        <w:rPr>
          <w:color w:val="000000" w:themeColor="text1"/>
          <w14:textFill>
            <w14:solidFill>
              <w14:schemeClr w14:val="tx1"/>
            </w14:solidFill>
          </w14:textFill>
        </w:rPr>
        <w:t>（5）处理量3000m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/d及以上的乡镇生活污水处理厂需设置化验室，处理量3000m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/d以下的乡镇污水处理厂可根据实际情况设置化验室或委托第三方机构进行水质检测。</w:t>
      </w:r>
    </w:p>
    <w:p w14:paraId="16D150D6">
      <w:pPr>
        <w:pStyle w:val="52"/>
        <w:rPr>
          <w:color w:val="000000" w:themeColor="text1"/>
          <w14:textFill>
            <w14:solidFill>
              <w14:schemeClr w14:val="tx1"/>
            </w14:solidFill>
          </w14:textFill>
        </w:rPr>
      </w:pPr>
      <w:r>
        <w:rPr>
          <w:color w:val="000000" w:themeColor="text1"/>
          <w14:textFill>
            <w14:solidFill>
              <w14:schemeClr w14:val="tx1"/>
            </w14:solidFill>
          </w14:textFill>
        </w:rPr>
        <w:t>（6）处理量3000m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/d及以上的乡镇生活污水处理厂需设置中控室，中控室应具</w:t>
      </w:r>
      <w:r>
        <w:rPr>
          <w:rFonts w:hint="eastAsia"/>
          <w:color w:val="000000" w:themeColor="text1"/>
          <w:lang w:eastAsia="zh-CN"/>
          <w14:textFill>
            <w14:solidFill>
              <w14:schemeClr w14:val="tx1"/>
            </w14:solidFill>
          </w14:textFill>
        </w:rPr>
        <w:t>备</w:t>
      </w:r>
      <w:r>
        <w:rPr>
          <w:color w:val="000000" w:themeColor="text1"/>
          <w14:textFill>
            <w14:solidFill>
              <w14:schemeClr w14:val="tx1"/>
            </w14:solidFill>
          </w14:textFill>
        </w:rPr>
        <w:t>实时监控污水厂主要设备的运转情况、进出水指标数据的能力。</w:t>
      </w:r>
    </w:p>
    <w:p w14:paraId="32EA0429">
      <w:pPr>
        <w:pStyle w:val="7"/>
        <w:rPr>
          <w:color w:val="000000" w:themeColor="text1"/>
          <w14:textFill>
            <w14:solidFill>
              <w14:schemeClr w14:val="tx1"/>
            </w14:solidFill>
          </w14:textFill>
        </w:rPr>
      </w:pPr>
      <w:r>
        <w:rPr>
          <w:color w:val="000000" w:themeColor="text1"/>
          <w14:textFill>
            <w14:solidFill>
              <w14:schemeClr w14:val="tx1"/>
            </w14:solidFill>
          </w14:textFill>
        </w:rPr>
        <w:t>采样</w:t>
      </w:r>
    </w:p>
    <w:p w14:paraId="378EFE68">
      <w:pPr>
        <w:pStyle w:val="52"/>
        <w:rPr>
          <w:color w:val="000000" w:themeColor="text1"/>
          <w14:textFill>
            <w14:solidFill>
              <w14:schemeClr w14:val="tx1"/>
            </w14:solidFill>
          </w14:textFill>
        </w:rPr>
      </w:pPr>
      <w:r>
        <w:rPr>
          <w:color w:val="000000" w:themeColor="text1"/>
          <w14:textFill>
            <w14:solidFill>
              <w14:schemeClr w14:val="tx1"/>
            </w14:solidFill>
          </w14:textFill>
        </w:rPr>
        <w:t>（1）应选择工艺流程各阶段具有代表性的位置做为采样点，并符合下列规定：</w:t>
      </w:r>
    </w:p>
    <w:p w14:paraId="18FB814F">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应在进水构筑物最后一道格栅之后、沉砂池之前取进水水样，并应避开厂内排放污水的影响。当水深大于lm时，应在表层下1/4深度处采样：水深小于或等于lm时，在水深的1/2处采样；</w:t>
      </w:r>
    </w:p>
    <w:p w14:paraId="2BFA7B6C">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应在总出水口处取出水水样。宜为消毒后排放口水下20cm~50cm处或排放管道中心处；</w:t>
      </w:r>
    </w:p>
    <w:p w14:paraId="048C86F0">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应依据不同污水、污泥处理工艺确定中间控制参数的采样点。</w:t>
      </w:r>
    </w:p>
    <w:p w14:paraId="4A2976ED">
      <w:pPr>
        <w:pStyle w:val="52"/>
        <w:rPr>
          <w:color w:val="000000" w:themeColor="text1"/>
          <w14:textFill>
            <w14:solidFill>
              <w14:schemeClr w14:val="tx1"/>
            </w14:solidFill>
          </w14:textFill>
        </w:rPr>
      </w:pPr>
      <w:r>
        <w:rPr>
          <w:color w:val="000000" w:themeColor="text1"/>
          <w14:textFill>
            <w14:solidFill>
              <w14:schemeClr w14:val="tx1"/>
            </w14:solidFill>
          </w14:textFill>
        </w:rPr>
        <w:t>（2）进出水采样点宜取24小时混合样，以日均值计。</w:t>
      </w:r>
    </w:p>
    <w:p w14:paraId="3E6483FA">
      <w:pPr>
        <w:pStyle w:val="7"/>
        <w:rPr>
          <w:color w:val="000000" w:themeColor="text1"/>
          <w14:textFill>
            <w14:solidFill>
              <w14:schemeClr w14:val="tx1"/>
            </w14:solidFill>
          </w14:textFill>
        </w:rPr>
      </w:pPr>
      <w:r>
        <w:rPr>
          <w:color w:val="000000" w:themeColor="text1"/>
          <w14:textFill>
            <w14:solidFill>
              <w14:schemeClr w14:val="tx1"/>
            </w14:solidFill>
          </w14:textFill>
        </w:rPr>
        <w:t>人工检测</w:t>
      </w:r>
    </w:p>
    <w:p w14:paraId="1F5C1232">
      <w:pPr>
        <w:pStyle w:val="52"/>
        <w:rPr>
          <w:color w:val="000000" w:themeColor="text1"/>
          <w14:textFill>
            <w14:solidFill>
              <w14:schemeClr w14:val="tx1"/>
            </w14:solidFill>
          </w14:textFill>
        </w:rPr>
      </w:pPr>
      <w:r>
        <w:rPr>
          <w:color w:val="000000" w:themeColor="text1"/>
          <w14:textFill>
            <w14:solidFill>
              <w14:schemeClr w14:val="tx1"/>
            </w14:solidFill>
          </w14:textFill>
        </w:rPr>
        <w:t>（1）采样后应在样品保质期内检测。</w:t>
      </w:r>
    </w:p>
    <w:p w14:paraId="667C6953">
      <w:pPr>
        <w:pStyle w:val="52"/>
        <w:rPr>
          <w:color w:val="000000" w:themeColor="text1"/>
          <w14:textFill>
            <w14:solidFill>
              <w14:schemeClr w14:val="tx1"/>
            </w14:solidFill>
          </w14:textFill>
        </w:rPr>
      </w:pPr>
      <w:r>
        <w:rPr>
          <w:color w:val="000000" w:themeColor="text1"/>
          <w14:textFill>
            <w14:solidFill>
              <w14:schemeClr w14:val="tx1"/>
            </w14:solidFill>
          </w14:textFill>
        </w:rPr>
        <w:t>（2）检测过的样品应留样保存，4℃低温保存至下次采样结束。</w:t>
      </w:r>
    </w:p>
    <w:p w14:paraId="6EDEB6F3">
      <w:pPr>
        <w:pStyle w:val="52"/>
        <w:rPr>
          <w:color w:val="000000" w:themeColor="text1"/>
          <w14:textFill>
            <w14:solidFill>
              <w14:schemeClr w14:val="tx1"/>
            </w14:solidFill>
          </w14:textFill>
        </w:rPr>
      </w:pPr>
      <w:r>
        <w:rPr>
          <w:color w:val="000000" w:themeColor="text1"/>
          <w14:textFill>
            <w14:solidFill>
              <w14:schemeClr w14:val="tx1"/>
            </w14:solidFill>
          </w14:textFill>
        </w:rPr>
        <w:t>（3）人工检测可自行检测，或委托有资质的第三方检测机构检测。</w:t>
      </w:r>
    </w:p>
    <w:p w14:paraId="26AC169F">
      <w:pPr>
        <w:pStyle w:val="52"/>
        <w:rPr>
          <w:color w:val="000000" w:themeColor="text1"/>
          <w14:textFill>
            <w14:solidFill>
              <w14:schemeClr w14:val="tx1"/>
            </w14:solidFill>
          </w14:textFill>
        </w:rPr>
      </w:pPr>
      <w:r>
        <w:rPr>
          <w:color w:val="000000" w:themeColor="text1"/>
          <w14:textFill>
            <w14:solidFill>
              <w14:schemeClr w14:val="tx1"/>
            </w14:solidFill>
          </w14:textFill>
        </w:rPr>
        <w:t>（4）当水质检测不合格时，应立即重新采样复检，若复检结果不合格，应立即对超标原因进行分析，并调整运行工况，直至出水水质指标合格，并做好记录。</w:t>
      </w:r>
    </w:p>
    <w:p w14:paraId="5F14738F">
      <w:pPr>
        <w:pStyle w:val="7"/>
        <w:rPr>
          <w:color w:val="000000" w:themeColor="text1"/>
          <w14:textFill>
            <w14:solidFill>
              <w14:schemeClr w14:val="tx1"/>
            </w14:solidFill>
          </w14:textFill>
        </w:rPr>
      </w:pPr>
      <w:r>
        <w:rPr>
          <w:color w:val="000000" w:themeColor="text1"/>
          <w14:textFill>
            <w14:solidFill>
              <w14:schemeClr w14:val="tx1"/>
            </w14:solidFill>
          </w14:textFill>
        </w:rPr>
        <w:t>在线监测</w:t>
      </w:r>
    </w:p>
    <w:p w14:paraId="7E6FF8B8">
      <w:pPr>
        <w:pStyle w:val="52"/>
        <w:rPr>
          <w:color w:val="000000" w:themeColor="text1"/>
          <w14:textFill>
            <w14:solidFill>
              <w14:schemeClr w14:val="tx1"/>
            </w14:solidFill>
          </w14:textFill>
        </w:rPr>
      </w:pPr>
      <w:r>
        <w:rPr>
          <w:color w:val="000000" w:themeColor="text1"/>
          <w14:textFill>
            <w14:solidFill>
              <w14:schemeClr w14:val="tx1"/>
            </w14:solidFill>
          </w14:textFill>
        </w:rPr>
        <w:t>（1）对配备水质在线监测系统的乡镇污水处理厂，应明确水质在线监测系统维护的责任人及职责。</w:t>
      </w:r>
    </w:p>
    <w:p w14:paraId="586B7D09">
      <w:pPr>
        <w:pStyle w:val="52"/>
        <w:rPr>
          <w:color w:val="000000" w:themeColor="text1"/>
          <w14:textFill>
            <w14:solidFill>
              <w14:schemeClr w14:val="tx1"/>
            </w14:solidFill>
          </w14:textFill>
        </w:rPr>
      </w:pPr>
      <w:r>
        <w:rPr>
          <w:color w:val="000000" w:themeColor="text1"/>
          <w14:textFill>
            <w14:solidFill>
              <w14:schemeClr w14:val="tx1"/>
            </w14:solidFill>
          </w14:textFill>
        </w:rPr>
        <w:t>（2）水质在线监测系统应根据仪表的使用要求定期核查，核查内容包括数据检查和现场巡查。运维单位应规范使用、维护在线监测监控装置，不得擅自拆除、闲置、改变或者损毁在线监测监控装置。</w:t>
      </w:r>
    </w:p>
    <w:p w14:paraId="70BDBD12">
      <w:pPr>
        <w:pStyle w:val="52"/>
        <w:rPr>
          <w:color w:val="000000" w:themeColor="text1"/>
          <w14:textFill>
            <w14:solidFill>
              <w14:schemeClr w14:val="tx1"/>
            </w14:solidFill>
          </w14:textFill>
        </w:rPr>
      </w:pPr>
      <w:r>
        <w:rPr>
          <w:color w:val="000000" w:themeColor="text1"/>
          <w14:textFill>
            <w14:solidFill>
              <w14:schemeClr w14:val="tx1"/>
            </w14:solidFill>
          </w14:textFill>
        </w:rPr>
        <w:t>（3）现场巡查应做好记录，发现故障应及时报告，现场巡查应至少包括：</w:t>
      </w:r>
    </w:p>
    <w:p w14:paraId="272D4EA5">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水质在线监测仪运行状态是否正常；</w:t>
      </w:r>
    </w:p>
    <w:p w14:paraId="351333F6">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线路、管路是否有破损、泄露等现象；</w:t>
      </w:r>
    </w:p>
    <w:p w14:paraId="0D1A8744">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各标准液与试剂是否充足有效；</w:t>
      </w:r>
    </w:p>
    <w:p w14:paraId="70F31425">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水质在线监测仪站房内电路系统、通信系统是否正常；</w:t>
      </w:r>
    </w:p>
    <w:p w14:paraId="4AF7AA87">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w:t>
      </w:r>
      <w:r>
        <w:rPr>
          <w:color w:val="000000" w:themeColor="text1"/>
          <w14:textFill>
            <w14:solidFill>
              <w14:schemeClr w14:val="tx1"/>
            </w14:solidFill>
          </w14:textFill>
        </w:rPr>
        <w:t>数据传输是否正常。</w:t>
      </w:r>
    </w:p>
    <w:p w14:paraId="32BB0360">
      <w:pPr>
        <w:pStyle w:val="52"/>
        <w:rPr>
          <w:color w:val="000000" w:themeColor="text1"/>
          <w14:textFill>
            <w14:solidFill>
              <w14:schemeClr w14:val="tx1"/>
            </w14:solidFill>
          </w14:textFill>
        </w:rPr>
      </w:pPr>
      <w:r>
        <w:rPr>
          <w:color w:val="000000" w:themeColor="text1"/>
          <w14:textFill>
            <w14:solidFill>
              <w14:schemeClr w14:val="tx1"/>
            </w14:solidFill>
          </w14:textFill>
        </w:rPr>
        <w:t>（4）应定期检查在线监测系统输出数据，汇总各监测点的水质报表，并作为存档资料保存。</w:t>
      </w:r>
    </w:p>
    <w:p w14:paraId="2B276139">
      <w:pPr>
        <w:pStyle w:val="52"/>
        <w:rPr>
          <w:color w:val="000000" w:themeColor="text1"/>
          <w14:textFill>
            <w14:solidFill>
              <w14:schemeClr w14:val="tx1"/>
            </w14:solidFill>
          </w14:textFill>
        </w:rPr>
      </w:pPr>
      <w:r>
        <w:rPr>
          <w:color w:val="000000" w:themeColor="text1"/>
          <w14:textFill>
            <w14:solidFill>
              <w14:schemeClr w14:val="tx1"/>
            </w14:solidFill>
          </w14:textFill>
        </w:rPr>
        <w:t>（5）应定期校验在线监测仪，定期清洗在线监测仪所配备探头或传感器，并可根据需要利用消毒剂抑制微生物在管路中生长，对水质在线监测仪的维护可参照现行行业标准《城镇供水水质在线监测技术标准》CJ/T271的有关规定和在线监测仪说明书的维护要求。</w:t>
      </w:r>
    </w:p>
    <w:p w14:paraId="305A0D37">
      <w:pPr>
        <w:pStyle w:val="52"/>
        <w:rPr>
          <w:color w:val="000000" w:themeColor="text1"/>
          <w14:textFill>
            <w14:solidFill>
              <w14:schemeClr w14:val="tx1"/>
            </w14:solidFill>
          </w14:textFill>
        </w:rPr>
      </w:pPr>
      <w:r>
        <w:rPr>
          <w:color w:val="000000" w:themeColor="text1"/>
          <w14:textFill>
            <w14:solidFill>
              <w14:schemeClr w14:val="tx1"/>
            </w14:solidFill>
          </w14:textFill>
        </w:rPr>
        <w:t>（6）发现水质在线监测数据异常时，应确认数据异常的原因并采取处置措施，必要时可提高人工检测频率，对在线监测仪的准确度和重复性进行校验。</w:t>
      </w:r>
    </w:p>
    <w:p w14:paraId="25F22D04">
      <w:pPr>
        <w:pStyle w:val="7"/>
        <w:rPr>
          <w:color w:val="000000" w:themeColor="text1"/>
          <w14:textFill>
            <w14:solidFill>
              <w14:schemeClr w14:val="tx1"/>
            </w14:solidFill>
          </w14:textFill>
        </w:rPr>
      </w:pPr>
      <w:r>
        <w:rPr>
          <w:color w:val="000000" w:themeColor="text1"/>
          <w14:textFill>
            <w14:solidFill>
              <w14:schemeClr w14:val="tx1"/>
            </w14:solidFill>
          </w14:textFill>
        </w:rPr>
        <w:t>监测要求</w:t>
      </w:r>
    </w:p>
    <w:p w14:paraId="2E012C25">
      <w:pPr>
        <w:pStyle w:val="52"/>
        <w:rPr>
          <w:color w:val="000000" w:themeColor="text1"/>
          <w14:textFill>
            <w14:solidFill>
              <w14:schemeClr w14:val="tx1"/>
            </w14:solidFill>
          </w14:textFill>
        </w:rPr>
      </w:pPr>
      <w:r>
        <w:rPr>
          <w:color w:val="000000" w:themeColor="text1"/>
          <w14:textFill>
            <w14:solidFill>
              <w14:schemeClr w14:val="tx1"/>
            </w14:solidFill>
          </w14:textFill>
        </w:rPr>
        <w:t>（1）进水监测要求</w:t>
      </w:r>
    </w:p>
    <w:p w14:paraId="5647B1CA">
      <w:pPr>
        <w:pStyle w:val="52"/>
        <w:rPr>
          <w:color w:val="000000" w:themeColor="text1"/>
          <w14:textFill>
            <w14:solidFill>
              <w14:schemeClr w14:val="tx1"/>
            </w14:solidFill>
          </w14:textFill>
        </w:rPr>
      </w:pPr>
      <w:r>
        <w:rPr>
          <w:color w:val="000000" w:themeColor="text1"/>
          <w14:textFill>
            <w14:solidFill>
              <w14:schemeClr w14:val="tx1"/>
            </w14:solidFill>
          </w14:textFill>
        </w:rPr>
        <w:t>乡镇污水处理设施进水监测点位、指标及最低监测频次按照下表执行。</w:t>
      </w:r>
    </w:p>
    <w:p w14:paraId="20AD9BCA">
      <w:pPr>
        <w:widowControl/>
        <w:jc w:val="left"/>
        <w:rPr>
          <w:b/>
          <w:color w:val="000000" w:themeColor="text1"/>
          <w:sz w:val="24"/>
          <w:szCs w:val="32"/>
          <w14:textFill>
            <w14:solidFill>
              <w14:schemeClr w14:val="tx1"/>
            </w14:solidFill>
          </w14:textFill>
        </w:rPr>
      </w:pPr>
      <w:r>
        <w:rPr>
          <w:b/>
          <w:color w:val="000000" w:themeColor="text1"/>
          <w14:textFill>
            <w14:solidFill>
              <w14:schemeClr w14:val="tx1"/>
            </w14:solidFill>
          </w14:textFill>
        </w:rPr>
        <w:br w:type="page"/>
      </w:r>
    </w:p>
    <w:p w14:paraId="55A22DF7">
      <w:pPr>
        <w:pStyle w:val="52"/>
        <w:ind w:firstLine="0" w:firstLineChars="0"/>
        <w:jc w:val="center"/>
        <w:rPr>
          <w:b/>
          <w:color w:val="000000" w:themeColor="text1"/>
          <w14:textFill>
            <w14:solidFill>
              <w14:schemeClr w14:val="tx1"/>
            </w14:solidFill>
          </w14:textFill>
        </w:rPr>
      </w:pPr>
      <w:r>
        <w:rPr>
          <w:b/>
          <w:color w:val="000000" w:themeColor="text1"/>
          <w14:textFill>
            <w14:solidFill>
              <w14:schemeClr w14:val="tx1"/>
            </w14:solidFill>
          </w14:textFill>
        </w:rPr>
        <w:t>表8.3-1乡镇污水处理设施进水监测点位、指标及最低监测频次</w:t>
      </w:r>
    </w:p>
    <w:tbl>
      <w:tblPr>
        <w:tblStyle w:val="5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8"/>
        <w:gridCol w:w="1701"/>
        <w:gridCol w:w="2835"/>
        <w:gridCol w:w="2120"/>
      </w:tblGrid>
      <w:tr w14:paraId="27AB3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38" w:type="dxa"/>
            <w:vAlign w:val="center"/>
          </w:tcPr>
          <w:p w14:paraId="656F08FE">
            <w:pPr>
              <w:pStyle w:val="476"/>
              <w:snapToGrid w:val="0"/>
              <w:rPr>
                <w:b/>
                <w:color w:val="000000" w:themeColor="text1"/>
                <w14:textFill>
                  <w14:solidFill>
                    <w14:schemeClr w14:val="tx1"/>
                  </w14:solidFill>
                </w14:textFill>
              </w:rPr>
            </w:pPr>
            <w:r>
              <w:rPr>
                <w:b/>
                <w:color w:val="000000" w:themeColor="text1"/>
                <w14:textFill>
                  <w14:solidFill>
                    <w14:schemeClr w14:val="tx1"/>
                  </w14:solidFill>
                </w14:textFill>
              </w:rPr>
              <w:t>处理设施规模</w:t>
            </w:r>
          </w:p>
        </w:tc>
        <w:tc>
          <w:tcPr>
            <w:tcW w:w="1701" w:type="dxa"/>
            <w:vAlign w:val="center"/>
          </w:tcPr>
          <w:p w14:paraId="5139C55A">
            <w:pPr>
              <w:pStyle w:val="476"/>
              <w:snapToGrid w:val="0"/>
              <w:rPr>
                <w:b/>
                <w:color w:val="000000" w:themeColor="text1"/>
                <w14:textFill>
                  <w14:solidFill>
                    <w14:schemeClr w14:val="tx1"/>
                  </w14:solidFill>
                </w14:textFill>
              </w:rPr>
            </w:pPr>
            <w:r>
              <w:rPr>
                <w:b/>
                <w:color w:val="000000" w:themeColor="text1"/>
                <w14:textFill>
                  <w14:solidFill>
                    <w14:schemeClr w14:val="tx1"/>
                  </w14:solidFill>
                </w14:textFill>
              </w:rPr>
              <w:t>监测点位</w:t>
            </w:r>
          </w:p>
        </w:tc>
        <w:tc>
          <w:tcPr>
            <w:tcW w:w="2835" w:type="dxa"/>
            <w:vAlign w:val="center"/>
          </w:tcPr>
          <w:p w14:paraId="4D2252A1">
            <w:pPr>
              <w:pStyle w:val="476"/>
              <w:snapToGrid w:val="0"/>
              <w:rPr>
                <w:b/>
                <w:color w:val="000000" w:themeColor="text1"/>
                <w14:textFill>
                  <w14:solidFill>
                    <w14:schemeClr w14:val="tx1"/>
                  </w14:solidFill>
                </w14:textFill>
              </w:rPr>
            </w:pPr>
            <w:r>
              <w:rPr>
                <w:b/>
                <w:color w:val="000000" w:themeColor="text1"/>
                <w14:textFill>
                  <w14:solidFill>
                    <w14:schemeClr w14:val="tx1"/>
                  </w14:solidFill>
                </w14:textFill>
              </w:rPr>
              <w:t>监测指标</w:t>
            </w:r>
          </w:p>
        </w:tc>
        <w:tc>
          <w:tcPr>
            <w:tcW w:w="2120" w:type="dxa"/>
            <w:vAlign w:val="center"/>
          </w:tcPr>
          <w:p w14:paraId="60EECFAC">
            <w:pPr>
              <w:pStyle w:val="476"/>
              <w:snapToGrid w:val="0"/>
              <w:rPr>
                <w:b/>
                <w:color w:val="000000" w:themeColor="text1"/>
                <w14:textFill>
                  <w14:solidFill>
                    <w14:schemeClr w14:val="tx1"/>
                  </w14:solidFill>
                </w14:textFill>
              </w:rPr>
            </w:pPr>
            <w:r>
              <w:rPr>
                <w:b/>
                <w:color w:val="000000" w:themeColor="text1"/>
                <w14:textFill>
                  <w14:solidFill>
                    <w14:schemeClr w14:val="tx1"/>
                  </w14:solidFill>
                </w14:textFill>
              </w:rPr>
              <w:t>监测频次</w:t>
            </w:r>
          </w:p>
        </w:tc>
      </w:tr>
      <w:tr w14:paraId="07099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38" w:type="dxa"/>
            <w:vMerge w:val="restart"/>
            <w:vAlign w:val="center"/>
          </w:tcPr>
          <w:p w14:paraId="31F7D9E6">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≥3000m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w:t>
            </w:r>
          </w:p>
        </w:tc>
        <w:tc>
          <w:tcPr>
            <w:tcW w:w="1701" w:type="dxa"/>
            <w:vMerge w:val="restart"/>
            <w:vAlign w:val="center"/>
          </w:tcPr>
          <w:p w14:paraId="2025EB0B">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进水总管</w:t>
            </w:r>
          </w:p>
        </w:tc>
        <w:tc>
          <w:tcPr>
            <w:tcW w:w="2835" w:type="dxa"/>
            <w:vAlign w:val="center"/>
          </w:tcPr>
          <w:p w14:paraId="2C7426A2">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流量、化学需氧量、氨氮</w:t>
            </w:r>
          </w:p>
        </w:tc>
        <w:tc>
          <w:tcPr>
            <w:tcW w:w="2120" w:type="dxa"/>
            <w:vAlign w:val="center"/>
          </w:tcPr>
          <w:p w14:paraId="145E1CE5">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自动监测</w:t>
            </w:r>
          </w:p>
        </w:tc>
      </w:tr>
      <w:tr w14:paraId="4D6BD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38" w:type="dxa"/>
            <w:vMerge w:val="continue"/>
            <w:vAlign w:val="center"/>
          </w:tcPr>
          <w:p w14:paraId="4B60D215">
            <w:pPr>
              <w:pStyle w:val="476"/>
              <w:snapToGrid w:val="0"/>
              <w:rPr>
                <w:color w:val="000000" w:themeColor="text1"/>
                <w14:textFill>
                  <w14:solidFill>
                    <w14:schemeClr w14:val="tx1"/>
                  </w14:solidFill>
                </w14:textFill>
              </w:rPr>
            </w:pPr>
          </w:p>
        </w:tc>
        <w:tc>
          <w:tcPr>
            <w:tcW w:w="1701" w:type="dxa"/>
            <w:vMerge w:val="continue"/>
            <w:vAlign w:val="center"/>
          </w:tcPr>
          <w:p w14:paraId="72525500">
            <w:pPr>
              <w:pStyle w:val="476"/>
              <w:snapToGrid w:val="0"/>
              <w:rPr>
                <w:color w:val="000000" w:themeColor="text1"/>
                <w14:textFill>
                  <w14:solidFill>
                    <w14:schemeClr w14:val="tx1"/>
                  </w14:solidFill>
                </w14:textFill>
              </w:rPr>
            </w:pPr>
          </w:p>
        </w:tc>
        <w:tc>
          <w:tcPr>
            <w:tcW w:w="2835" w:type="dxa"/>
            <w:vAlign w:val="center"/>
          </w:tcPr>
          <w:p w14:paraId="5B48ED1E">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总磷、总氮</w:t>
            </w:r>
          </w:p>
        </w:tc>
        <w:tc>
          <w:tcPr>
            <w:tcW w:w="2120" w:type="dxa"/>
            <w:vAlign w:val="center"/>
          </w:tcPr>
          <w:p w14:paraId="3719A004">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日</w:t>
            </w:r>
          </w:p>
        </w:tc>
      </w:tr>
      <w:tr w14:paraId="6BF9F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38" w:type="dxa"/>
            <w:vMerge w:val="restart"/>
            <w:vAlign w:val="center"/>
          </w:tcPr>
          <w:p w14:paraId="060D98C1">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﹤3000m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w:t>
            </w:r>
          </w:p>
        </w:tc>
        <w:tc>
          <w:tcPr>
            <w:tcW w:w="1701" w:type="dxa"/>
            <w:vMerge w:val="restart"/>
            <w:vAlign w:val="center"/>
          </w:tcPr>
          <w:p w14:paraId="5A01C18C">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进水总管</w:t>
            </w:r>
          </w:p>
        </w:tc>
        <w:tc>
          <w:tcPr>
            <w:tcW w:w="2835" w:type="dxa"/>
            <w:vAlign w:val="center"/>
          </w:tcPr>
          <w:p w14:paraId="048A8AA6">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流量</w:t>
            </w:r>
          </w:p>
        </w:tc>
        <w:tc>
          <w:tcPr>
            <w:tcW w:w="2120" w:type="dxa"/>
            <w:vAlign w:val="center"/>
          </w:tcPr>
          <w:p w14:paraId="0C4EC197">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自动监测</w:t>
            </w:r>
          </w:p>
        </w:tc>
      </w:tr>
      <w:tr w14:paraId="297FF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38" w:type="dxa"/>
            <w:vMerge w:val="continue"/>
            <w:vAlign w:val="center"/>
          </w:tcPr>
          <w:p w14:paraId="329B9DEC">
            <w:pPr>
              <w:pStyle w:val="476"/>
              <w:snapToGrid w:val="0"/>
              <w:rPr>
                <w:color w:val="000000" w:themeColor="text1"/>
                <w14:textFill>
                  <w14:solidFill>
                    <w14:schemeClr w14:val="tx1"/>
                  </w14:solidFill>
                </w14:textFill>
              </w:rPr>
            </w:pPr>
          </w:p>
        </w:tc>
        <w:tc>
          <w:tcPr>
            <w:tcW w:w="1701" w:type="dxa"/>
            <w:vMerge w:val="continue"/>
            <w:vAlign w:val="center"/>
          </w:tcPr>
          <w:p w14:paraId="4372D685">
            <w:pPr>
              <w:pStyle w:val="476"/>
              <w:snapToGrid w:val="0"/>
              <w:rPr>
                <w:color w:val="000000" w:themeColor="text1"/>
                <w14:textFill>
                  <w14:solidFill>
                    <w14:schemeClr w14:val="tx1"/>
                  </w14:solidFill>
                </w14:textFill>
              </w:rPr>
            </w:pPr>
          </w:p>
        </w:tc>
        <w:tc>
          <w:tcPr>
            <w:tcW w:w="2835" w:type="dxa"/>
            <w:vAlign w:val="center"/>
          </w:tcPr>
          <w:p w14:paraId="21A06BA8">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化学需氧量、氨氮、总磷、总氮</w:t>
            </w:r>
          </w:p>
        </w:tc>
        <w:tc>
          <w:tcPr>
            <w:tcW w:w="2120" w:type="dxa"/>
            <w:vAlign w:val="center"/>
          </w:tcPr>
          <w:p w14:paraId="6C114DE0">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周</w:t>
            </w:r>
          </w:p>
        </w:tc>
      </w:tr>
      <w:tr w14:paraId="18603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38" w:type="dxa"/>
            <w:vMerge w:val="restart"/>
            <w:vAlign w:val="center"/>
          </w:tcPr>
          <w:p w14:paraId="33675410">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无人值守</w:t>
            </w:r>
          </w:p>
        </w:tc>
        <w:tc>
          <w:tcPr>
            <w:tcW w:w="1701" w:type="dxa"/>
            <w:vMerge w:val="restart"/>
            <w:vAlign w:val="center"/>
          </w:tcPr>
          <w:p w14:paraId="2F68FDB1">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进水总管</w:t>
            </w:r>
          </w:p>
        </w:tc>
        <w:tc>
          <w:tcPr>
            <w:tcW w:w="2835" w:type="dxa"/>
            <w:vAlign w:val="center"/>
          </w:tcPr>
          <w:p w14:paraId="476AA267">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流量</w:t>
            </w:r>
          </w:p>
        </w:tc>
        <w:tc>
          <w:tcPr>
            <w:tcW w:w="2120" w:type="dxa"/>
            <w:vAlign w:val="center"/>
          </w:tcPr>
          <w:p w14:paraId="1BFD01DF">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自动监测</w:t>
            </w:r>
          </w:p>
        </w:tc>
      </w:tr>
      <w:tr w14:paraId="71453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38" w:type="dxa"/>
            <w:vMerge w:val="continue"/>
            <w:vAlign w:val="center"/>
          </w:tcPr>
          <w:p w14:paraId="6124BA8A">
            <w:pPr>
              <w:pStyle w:val="476"/>
              <w:snapToGrid w:val="0"/>
              <w:rPr>
                <w:color w:val="000000" w:themeColor="text1"/>
                <w14:textFill>
                  <w14:solidFill>
                    <w14:schemeClr w14:val="tx1"/>
                  </w14:solidFill>
                </w14:textFill>
              </w:rPr>
            </w:pPr>
          </w:p>
        </w:tc>
        <w:tc>
          <w:tcPr>
            <w:tcW w:w="1701" w:type="dxa"/>
            <w:vMerge w:val="continue"/>
            <w:vAlign w:val="center"/>
          </w:tcPr>
          <w:p w14:paraId="4771FD77">
            <w:pPr>
              <w:pStyle w:val="476"/>
              <w:snapToGrid w:val="0"/>
              <w:rPr>
                <w:color w:val="000000" w:themeColor="text1"/>
                <w14:textFill>
                  <w14:solidFill>
                    <w14:schemeClr w14:val="tx1"/>
                  </w14:solidFill>
                </w14:textFill>
              </w:rPr>
            </w:pPr>
          </w:p>
        </w:tc>
        <w:tc>
          <w:tcPr>
            <w:tcW w:w="2835" w:type="dxa"/>
            <w:vAlign w:val="center"/>
          </w:tcPr>
          <w:p w14:paraId="34E0D27C">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化学需氧量、氨氮、总磷、总氮</w:t>
            </w:r>
          </w:p>
        </w:tc>
        <w:tc>
          <w:tcPr>
            <w:tcW w:w="2120" w:type="dxa"/>
            <w:vAlign w:val="center"/>
          </w:tcPr>
          <w:p w14:paraId="10A3D419">
            <w:pPr>
              <w:pStyle w:val="476"/>
              <w:snapToGrid w:val="0"/>
              <w:rPr>
                <w:color w:val="000000" w:themeColor="text1"/>
                <w14:textFill>
                  <w14:solidFill>
                    <w14:schemeClr w14:val="tx1"/>
                  </w14:solidFill>
                </w14:textFill>
              </w:rPr>
            </w:pPr>
            <w:r>
              <w:rPr>
                <w:color w:val="000000" w:themeColor="text1"/>
                <w14:textFill>
                  <w14:solidFill>
                    <w14:schemeClr w14:val="tx1"/>
                  </w14:solidFill>
                </w14:textFill>
              </w:rPr>
              <w:t>周（可取瞬时样）</w:t>
            </w:r>
          </w:p>
        </w:tc>
      </w:tr>
      <w:tr w14:paraId="27F53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494" w:type="dxa"/>
            <w:gridSpan w:val="4"/>
            <w:vAlign w:val="center"/>
          </w:tcPr>
          <w:p w14:paraId="68B84CCE">
            <w:pPr>
              <w:pStyle w:val="476"/>
              <w:snapToGrid w:val="0"/>
              <w:jc w:val="both"/>
              <w:rPr>
                <w:color w:val="000000" w:themeColor="text1"/>
                <w14:textFill>
                  <w14:solidFill>
                    <w14:schemeClr w14:val="tx1"/>
                  </w14:solidFill>
                </w14:textFill>
              </w:rPr>
            </w:pPr>
            <w:r>
              <w:rPr>
                <w:color w:val="000000" w:themeColor="text1"/>
                <w14:textFill>
                  <w14:solidFill>
                    <w14:schemeClr w14:val="tx1"/>
                  </w14:solidFill>
                </w14:textFill>
              </w:rPr>
              <w:t>注：进水总管自动监测数据须与地方生态环境主管部门污染源自动监控系统平台联网。</w:t>
            </w:r>
          </w:p>
        </w:tc>
      </w:tr>
    </w:tbl>
    <w:p w14:paraId="0943A477">
      <w:pPr>
        <w:pStyle w:val="52"/>
        <w:rPr>
          <w:color w:val="000000" w:themeColor="text1"/>
          <w14:textFill>
            <w14:solidFill>
              <w14:schemeClr w14:val="tx1"/>
            </w14:solidFill>
          </w14:textFill>
        </w:rPr>
      </w:pPr>
      <w:r>
        <w:rPr>
          <w:color w:val="000000" w:themeColor="text1"/>
          <w14:textFill>
            <w14:solidFill>
              <w14:schemeClr w14:val="tx1"/>
            </w14:solidFill>
          </w14:textFill>
        </w:rPr>
        <w:t>（2）废水排放监测要求</w:t>
      </w:r>
    </w:p>
    <w:p w14:paraId="4578BC06">
      <w:pPr>
        <w:pStyle w:val="52"/>
        <w:rPr>
          <w:color w:val="000000" w:themeColor="text1"/>
          <w14:textFill>
            <w14:solidFill>
              <w14:schemeClr w14:val="tx1"/>
            </w14:solidFill>
          </w14:textFill>
        </w:rPr>
      </w:pPr>
      <w:r>
        <w:rPr>
          <w:color w:val="000000" w:themeColor="text1"/>
          <w14:textFill>
            <w14:solidFill>
              <w14:schemeClr w14:val="tx1"/>
            </w14:solidFill>
          </w14:textFill>
        </w:rPr>
        <w:t>乡镇污水处理设施废水排放监测点位、监测指标及最低监测频次按照下表执行。</w:t>
      </w:r>
    </w:p>
    <w:p w14:paraId="7992B207">
      <w:pPr>
        <w:pStyle w:val="52"/>
        <w:ind w:firstLine="0" w:firstLineChars="0"/>
        <w:jc w:val="center"/>
        <w:rPr>
          <w:b/>
          <w:color w:val="000000" w:themeColor="text1"/>
          <w14:textFill>
            <w14:solidFill>
              <w14:schemeClr w14:val="tx1"/>
            </w14:solidFill>
          </w14:textFill>
        </w:rPr>
      </w:pPr>
      <w:r>
        <w:rPr>
          <w:b/>
          <w:color w:val="000000" w:themeColor="text1"/>
          <w14:textFill>
            <w14:solidFill>
              <w14:schemeClr w14:val="tx1"/>
            </w14:solidFill>
          </w14:textFill>
        </w:rPr>
        <w:t>表8.3-2乡镇污水处理设施废水排放监测点位、监测指标及最低监测频次</w:t>
      </w:r>
    </w:p>
    <w:tbl>
      <w:tblPr>
        <w:tblStyle w:val="5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48"/>
        <w:gridCol w:w="2250"/>
        <w:gridCol w:w="1276"/>
        <w:gridCol w:w="1581"/>
        <w:gridCol w:w="1549"/>
        <w:gridCol w:w="1016"/>
      </w:tblGrid>
      <w:tr w14:paraId="7AAB7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29" w:type="dxa"/>
            <w:vMerge w:val="restart"/>
            <w:vAlign w:val="center"/>
          </w:tcPr>
          <w:p w14:paraId="28A7CF24">
            <w:pPr>
              <w:pStyle w:val="476"/>
              <w:rPr>
                <w:b/>
                <w:color w:val="000000" w:themeColor="text1"/>
                <w14:textFill>
                  <w14:solidFill>
                    <w14:schemeClr w14:val="tx1"/>
                  </w14:solidFill>
                </w14:textFill>
              </w:rPr>
            </w:pPr>
            <w:r>
              <w:rPr>
                <w:b/>
                <w:color w:val="000000" w:themeColor="text1"/>
                <w14:textFill>
                  <w14:solidFill>
                    <w14:schemeClr w14:val="tx1"/>
                  </w14:solidFill>
                </w14:textFill>
              </w:rPr>
              <w:t>监测点位</w:t>
            </w:r>
          </w:p>
        </w:tc>
        <w:tc>
          <w:tcPr>
            <w:tcW w:w="2410" w:type="dxa"/>
            <w:vMerge w:val="restart"/>
            <w:vAlign w:val="center"/>
          </w:tcPr>
          <w:p w14:paraId="1785BD37">
            <w:pPr>
              <w:pStyle w:val="476"/>
              <w:rPr>
                <w:b/>
                <w:color w:val="000000" w:themeColor="text1"/>
                <w14:textFill>
                  <w14:solidFill>
                    <w14:schemeClr w14:val="tx1"/>
                  </w14:solidFill>
                </w14:textFill>
              </w:rPr>
            </w:pPr>
            <w:r>
              <w:rPr>
                <w:b/>
                <w:color w:val="000000" w:themeColor="text1"/>
                <w14:textFill>
                  <w14:solidFill>
                    <w14:schemeClr w14:val="tx1"/>
                  </w14:solidFill>
                </w14:textFill>
              </w:rPr>
              <w:t>监测指标</w:t>
            </w:r>
          </w:p>
        </w:tc>
        <w:tc>
          <w:tcPr>
            <w:tcW w:w="5487" w:type="dxa"/>
            <w:gridSpan w:val="4"/>
            <w:vAlign w:val="center"/>
          </w:tcPr>
          <w:p w14:paraId="542DE139">
            <w:pPr>
              <w:pStyle w:val="476"/>
              <w:rPr>
                <w:b/>
                <w:color w:val="000000" w:themeColor="text1"/>
                <w14:textFill>
                  <w14:solidFill>
                    <w14:schemeClr w14:val="tx1"/>
                  </w14:solidFill>
                </w14:textFill>
              </w:rPr>
            </w:pPr>
            <w:r>
              <w:rPr>
                <w:b/>
                <w:color w:val="000000" w:themeColor="text1"/>
                <w14:textFill>
                  <w14:solidFill>
                    <w14:schemeClr w14:val="tx1"/>
                  </w14:solidFill>
                </w14:textFill>
              </w:rPr>
              <w:t>监测频次</w:t>
            </w:r>
          </w:p>
        </w:tc>
      </w:tr>
      <w:tr w14:paraId="20275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29" w:type="dxa"/>
            <w:vMerge w:val="continue"/>
            <w:vAlign w:val="center"/>
          </w:tcPr>
          <w:p w14:paraId="2909D7D0">
            <w:pPr>
              <w:pStyle w:val="476"/>
              <w:rPr>
                <w:b/>
                <w:color w:val="000000" w:themeColor="text1"/>
                <w14:textFill>
                  <w14:solidFill>
                    <w14:schemeClr w14:val="tx1"/>
                  </w14:solidFill>
                </w14:textFill>
              </w:rPr>
            </w:pPr>
          </w:p>
        </w:tc>
        <w:tc>
          <w:tcPr>
            <w:tcW w:w="2410" w:type="dxa"/>
            <w:vMerge w:val="continue"/>
            <w:vAlign w:val="center"/>
          </w:tcPr>
          <w:p w14:paraId="443FF844">
            <w:pPr>
              <w:pStyle w:val="476"/>
              <w:rPr>
                <w:b/>
                <w:color w:val="000000" w:themeColor="text1"/>
                <w14:textFill>
                  <w14:solidFill>
                    <w14:schemeClr w14:val="tx1"/>
                  </w14:solidFill>
                </w14:textFill>
              </w:rPr>
            </w:pPr>
          </w:p>
        </w:tc>
        <w:tc>
          <w:tcPr>
            <w:tcW w:w="1276" w:type="dxa"/>
            <w:vAlign w:val="center"/>
          </w:tcPr>
          <w:p w14:paraId="092DA601">
            <w:pPr>
              <w:pStyle w:val="476"/>
              <w:rPr>
                <w:b/>
                <w:color w:val="000000" w:themeColor="text1"/>
                <w14:textFill>
                  <w14:solidFill>
                    <w14:schemeClr w14:val="tx1"/>
                  </w14:solidFill>
                </w14:textFill>
              </w:rPr>
            </w:pPr>
            <w:r>
              <w:rPr>
                <w:b/>
                <w:color w:val="000000" w:themeColor="text1"/>
                <w14:textFill>
                  <w14:solidFill>
                    <w14:schemeClr w14:val="tx1"/>
                  </w14:solidFill>
                </w14:textFill>
              </w:rPr>
              <w:t>处理量≥20000m</w:t>
            </w:r>
            <w:r>
              <w:rPr>
                <w:b/>
                <w:color w:val="000000" w:themeColor="text1"/>
                <w:vertAlign w:val="superscript"/>
                <w14:textFill>
                  <w14:solidFill>
                    <w14:schemeClr w14:val="tx1"/>
                  </w14:solidFill>
                </w14:textFill>
              </w:rPr>
              <w:t>3</w:t>
            </w:r>
            <w:r>
              <w:rPr>
                <w:b/>
                <w:color w:val="000000" w:themeColor="text1"/>
                <w14:textFill>
                  <w14:solidFill>
                    <w14:schemeClr w14:val="tx1"/>
                  </w14:solidFill>
                </w14:textFill>
              </w:rPr>
              <w:t>/d</w:t>
            </w:r>
          </w:p>
        </w:tc>
        <w:tc>
          <w:tcPr>
            <w:tcW w:w="1559" w:type="dxa"/>
            <w:vAlign w:val="center"/>
          </w:tcPr>
          <w:p w14:paraId="34FF071A">
            <w:pPr>
              <w:pStyle w:val="476"/>
              <w:rPr>
                <w:b/>
                <w:color w:val="000000" w:themeColor="text1"/>
                <w14:textFill>
                  <w14:solidFill>
                    <w14:schemeClr w14:val="tx1"/>
                  </w14:solidFill>
                </w14:textFill>
              </w:rPr>
            </w:pPr>
            <w:r>
              <w:rPr>
                <w:b/>
                <w:color w:val="000000" w:themeColor="text1"/>
                <w14:textFill>
                  <w14:solidFill>
                    <w14:schemeClr w14:val="tx1"/>
                  </w14:solidFill>
                </w14:textFill>
              </w:rPr>
              <w:t>3000≤处理量﹤20000m</w:t>
            </w:r>
            <w:r>
              <w:rPr>
                <w:b/>
                <w:color w:val="000000" w:themeColor="text1"/>
                <w:vertAlign w:val="superscript"/>
                <w14:textFill>
                  <w14:solidFill>
                    <w14:schemeClr w14:val="tx1"/>
                  </w14:solidFill>
                </w14:textFill>
              </w:rPr>
              <w:t>3</w:t>
            </w:r>
            <w:r>
              <w:rPr>
                <w:b/>
                <w:color w:val="000000" w:themeColor="text1"/>
                <w14:textFill>
                  <w14:solidFill>
                    <w14:schemeClr w14:val="tx1"/>
                  </w14:solidFill>
                </w14:textFill>
              </w:rPr>
              <w:t>/d</w:t>
            </w:r>
          </w:p>
        </w:tc>
        <w:tc>
          <w:tcPr>
            <w:tcW w:w="1559" w:type="dxa"/>
            <w:vAlign w:val="center"/>
          </w:tcPr>
          <w:p w14:paraId="28F1B225">
            <w:pPr>
              <w:pStyle w:val="476"/>
              <w:rPr>
                <w:b/>
                <w:color w:val="000000" w:themeColor="text1"/>
                <w14:textFill>
                  <w14:solidFill>
                    <w14:schemeClr w14:val="tx1"/>
                  </w14:solidFill>
                </w14:textFill>
              </w:rPr>
            </w:pPr>
            <w:r>
              <w:rPr>
                <w:b/>
                <w:color w:val="000000" w:themeColor="text1"/>
                <w14:textFill>
                  <w14:solidFill>
                    <w14:schemeClr w14:val="tx1"/>
                  </w14:solidFill>
                </w14:textFill>
              </w:rPr>
              <w:t>处理量﹤3000m</w:t>
            </w:r>
            <w:r>
              <w:rPr>
                <w:b/>
                <w:color w:val="000000" w:themeColor="text1"/>
                <w:vertAlign w:val="superscript"/>
                <w14:textFill>
                  <w14:solidFill>
                    <w14:schemeClr w14:val="tx1"/>
                  </w14:solidFill>
                </w14:textFill>
              </w:rPr>
              <w:t>3</w:t>
            </w:r>
            <w:r>
              <w:rPr>
                <w:b/>
                <w:color w:val="000000" w:themeColor="text1"/>
                <w14:textFill>
                  <w14:solidFill>
                    <w14:schemeClr w14:val="tx1"/>
                  </w14:solidFill>
                </w14:textFill>
              </w:rPr>
              <w:t>/d</w:t>
            </w:r>
          </w:p>
        </w:tc>
        <w:tc>
          <w:tcPr>
            <w:tcW w:w="1093" w:type="dxa"/>
            <w:vAlign w:val="center"/>
          </w:tcPr>
          <w:p w14:paraId="6952F7D6">
            <w:pPr>
              <w:pStyle w:val="476"/>
              <w:rPr>
                <w:b/>
                <w:color w:val="000000" w:themeColor="text1"/>
                <w14:textFill>
                  <w14:solidFill>
                    <w14:schemeClr w14:val="tx1"/>
                  </w14:solidFill>
                </w14:textFill>
              </w:rPr>
            </w:pPr>
            <w:r>
              <w:rPr>
                <w:b/>
                <w:color w:val="000000" w:themeColor="text1"/>
                <w14:textFill>
                  <w14:solidFill>
                    <w14:schemeClr w14:val="tx1"/>
                  </w14:solidFill>
                </w14:textFill>
              </w:rPr>
              <w:t>无人值守</w:t>
            </w:r>
          </w:p>
        </w:tc>
      </w:tr>
      <w:tr w14:paraId="5D13B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29" w:type="dxa"/>
            <w:vMerge w:val="restart"/>
            <w:vAlign w:val="center"/>
          </w:tcPr>
          <w:p w14:paraId="1B86214C">
            <w:pPr>
              <w:pStyle w:val="476"/>
              <w:rPr>
                <w:color w:val="000000" w:themeColor="text1"/>
                <w14:textFill>
                  <w14:solidFill>
                    <w14:schemeClr w14:val="tx1"/>
                  </w14:solidFill>
                </w14:textFill>
              </w:rPr>
            </w:pPr>
            <w:r>
              <w:rPr>
                <w:color w:val="000000" w:themeColor="text1"/>
                <w14:textFill>
                  <w14:solidFill>
                    <w14:schemeClr w14:val="tx1"/>
                  </w14:solidFill>
                </w14:textFill>
              </w:rPr>
              <w:t>废水总排放口</w:t>
            </w:r>
            <w:r>
              <w:rPr>
                <w:color w:val="000000" w:themeColor="text1"/>
                <w:vertAlign w:val="superscript"/>
                <w14:textFill>
                  <w14:solidFill>
                    <w14:schemeClr w14:val="tx1"/>
                  </w14:solidFill>
                </w14:textFill>
              </w:rPr>
              <w:t>a</w:t>
            </w:r>
          </w:p>
        </w:tc>
        <w:tc>
          <w:tcPr>
            <w:tcW w:w="2410" w:type="dxa"/>
            <w:vAlign w:val="center"/>
          </w:tcPr>
          <w:p w14:paraId="315B9CE8">
            <w:pPr>
              <w:pStyle w:val="476"/>
              <w:rPr>
                <w:color w:val="000000" w:themeColor="text1"/>
                <w14:textFill>
                  <w14:solidFill>
                    <w14:schemeClr w14:val="tx1"/>
                  </w14:solidFill>
                </w14:textFill>
              </w:rPr>
            </w:pPr>
            <w:r>
              <w:rPr>
                <w:color w:val="000000" w:themeColor="text1"/>
                <w14:textFill>
                  <w14:solidFill>
                    <w14:schemeClr w14:val="tx1"/>
                  </w14:solidFill>
                </w14:textFill>
              </w:rPr>
              <w:t>流量</w:t>
            </w:r>
          </w:p>
        </w:tc>
        <w:tc>
          <w:tcPr>
            <w:tcW w:w="5487" w:type="dxa"/>
            <w:gridSpan w:val="4"/>
            <w:vAlign w:val="center"/>
          </w:tcPr>
          <w:p w14:paraId="5E86346F">
            <w:pPr>
              <w:pStyle w:val="476"/>
              <w:rPr>
                <w:color w:val="000000" w:themeColor="text1"/>
                <w14:textFill>
                  <w14:solidFill>
                    <w14:schemeClr w14:val="tx1"/>
                  </w14:solidFill>
                </w14:textFill>
              </w:rPr>
            </w:pPr>
            <w:r>
              <w:rPr>
                <w:color w:val="000000" w:themeColor="text1"/>
                <w14:textFill>
                  <w14:solidFill>
                    <w14:schemeClr w14:val="tx1"/>
                  </w14:solidFill>
                </w14:textFill>
              </w:rPr>
              <w:t>自动监测</w:t>
            </w:r>
          </w:p>
        </w:tc>
      </w:tr>
      <w:tr w14:paraId="7F2D9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29" w:type="dxa"/>
            <w:vMerge w:val="continue"/>
            <w:vAlign w:val="center"/>
          </w:tcPr>
          <w:p w14:paraId="7611D620">
            <w:pPr>
              <w:pStyle w:val="476"/>
              <w:rPr>
                <w:color w:val="000000" w:themeColor="text1"/>
                <w14:textFill>
                  <w14:solidFill>
                    <w14:schemeClr w14:val="tx1"/>
                  </w14:solidFill>
                </w14:textFill>
              </w:rPr>
            </w:pPr>
          </w:p>
        </w:tc>
        <w:tc>
          <w:tcPr>
            <w:tcW w:w="2410" w:type="dxa"/>
            <w:vAlign w:val="center"/>
          </w:tcPr>
          <w:p w14:paraId="3BA4AB87">
            <w:pPr>
              <w:pStyle w:val="476"/>
              <w:rPr>
                <w:color w:val="000000" w:themeColor="text1"/>
                <w14:textFill>
                  <w14:solidFill>
                    <w14:schemeClr w14:val="tx1"/>
                  </w14:solidFill>
                </w14:textFill>
              </w:rPr>
            </w:pPr>
            <w:r>
              <w:rPr>
                <w:color w:val="000000" w:themeColor="text1"/>
                <w14:textFill>
                  <w14:solidFill>
                    <w14:schemeClr w14:val="tx1"/>
                  </w14:solidFill>
                </w14:textFill>
              </w:rPr>
              <w:t>pH值、水温、化学需氧量、氨氮、总磷、总氮</w:t>
            </w:r>
            <w:r>
              <w:rPr>
                <w:color w:val="000000" w:themeColor="text1"/>
                <w:vertAlign w:val="superscript"/>
                <w14:textFill>
                  <w14:solidFill>
                    <w14:schemeClr w14:val="tx1"/>
                  </w14:solidFill>
                </w14:textFill>
              </w:rPr>
              <w:t>b</w:t>
            </w:r>
          </w:p>
        </w:tc>
        <w:tc>
          <w:tcPr>
            <w:tcW w:w="2835" w:type="dxa"/>
            <w:gridSpan w:val="2"/>
            <w:vAlign w:val="center"/>
          </w:tcPr>
          <w:p w14:paraId="72D75AAD">
            <w:pPr>
              <w:pStyle w:val="476"/>
              <w:rPr>
                <w:color w:val="000000" w:themeColor="text1"/>
                <w14:textFill>
                  <w14:solidFill>
                    <w14:schemeClr w14:val="tx1"/>
                  </w14:solidFill>
                </w14:textFill>
              </w:rPr>
            </w:pPr>
            <w:r>
              <w:rPr>
                <w:color w:val="000000" w:themeColor="text1"/>
                <w14:textFill>
                  <w14:solidFill>
                    <w14:schemeClr w14:val="tx1"/>
                  </w14:solidFill>
                </w14:textFill>
              </w:rPr>
              <w:t>自动监测</w:t>
            </w:r>
          </w:p>
        </w:tc>
        <w:tc>
          <w:tcPr>
            <w:tcW w:w="1559" w:type="dxa"/>
            <w:vAlign w:val="center"/>
          </w:tcPr>
          <w:p w14:paraId="356B402B">
            <w:pPr>
              <w:pStyle w:val="476"/>
              <w:rPr>
                <w:color w:val="000000" w:themeColor="text1"/>
                <w14:textFill>
                  <w14:solidFill>
                    <w14:schemeClr w14:val="tx1"/>
                  </w14:solidFill>
                </w14:textFill>
              </w:rPr>
            </w:pPr>
            <w:r>
              <w:rPr>
                <w:color w:val="000000" w:themeColor="text1"/>
                <w14:textFill>
                  <w14:solidFill>
                    <w14:schemeClr w14:val="tx1"/>
                  </w14:solidFill>
                </w14:textFill>
              </w:rPr>
              <w:t>周</w:t>
            </w:r>
          </w:p>
        </w:tc>
        <w:tc>
          <w:tcPr>
            <w:tcW w:w="1093" w:type="dxa"/>
            <w:vAlign w:val="center"/>
          </w:tcPr>
          <w:p w14:paraId="67CEFF20">
            <w:pPr>
              <w:pStyle w:val="476"/>
              <w:rPr>
                <w:color w:val="000000" w:themeColor="text1"/>
                <w14:textFill>
                  <w14:solidFill>
                    <w14:schemeClr w14:val="tx1"/>
                  </w14:solidFill>
                </w14:textFill>
              </w:rPr>
            </w:pPr>
            <w:r>
              <w:rPr>
                <w:color w:val="000000" w:themeColor="text1"/>
                <w14:textFill>
                  <w14:solidFill>
                    <w14:schemeClr w14:val="tx1"/>
                  </w14:solidFill>
                </w14:textFill>
              </w:rPr>
              <w:t>周</w:t>
            </w:r>
          </w:p>
        </w:tc>
      </w:tr>
      <w:tr w14:paraId="3C070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29" w:type="dxa"/>
            <w:vMerge w:val="continue"/>
            <w:vAlign w:val="center"/>
          </w:tcPr>
          <w:p w14:paraId="2FF959C2">
            <w:pPr>
              <w:pStyle w:val="476"/>
              <w:rPr>
                <w:color w:val="000000" w:themeColor="text1"/>
                <w14:textFill>
                  <w14:solidFill>
                    <w14:schemeClr w14:val="tx1"/>
                  </w14:solidFill>
                </w14:textFill>
              </w:rPr>
            </w:pPr>
          </w:p>
        </w:tc>
        <w:tc>
          <w:tcPr>
            <w:tcW w:w="2410" w:type="dxa"/>
            <w:vAlign w:val="center"/>
          </w:tcPr>
          <w:p w14:paraId="3CBD397D">
            <w:pPr>
              <w:pStyle w:val="476"/>
              <w:rPr>
                <w:color w:val="000000" w:themeColor="text1"/>
                <w14:textFill>
                  <w14:solidFill>
                    <w14:schemeClr w14:val="tx1"/>
                  </w14:solidFill>
                </w14:textFill>
              </w:rPr>
            </w:pPr>
            <w:r>
              <w:rPr>
                <w:color w:val="000000" w:themeColor="text1"/>
                <w14:textFill>
                  <w14:solidFill>
                    <w14:schemeClr w14:val="tx1"/>
                  </w14:solidFill>
                </w14:textFill>
              </w:rPr>
              <w:t>悬浮物、色度、五日生化需氧量、动植物油、石油类、阴离子表面活性剂、粪大肠菌群数</w:t>
            </w:r>
          </w:p>
        </w:tc>
        <w:tc>
          <w:tcPr>
            <w:tcW w:w="1276" w:type="dxa"/>
            <w:vAlign w:val="center"/>
          </w:tcPr>
          <w:p w14:paraId="131EDF58">
            <w:pPr>
              <w:pStyle w:val="476"/>
              <w:rPr>
                <w:color w:val="000000" w:themeColor="text1"/>
                <w14:textFill>
                  <w14:solidFill>
                    <w14:schemeClr w14:val="tx1"/>
                  </w14:solidFill>
                </w14:textFill>
              </w:rPr>
            </w:pPr>
            <w:r>
              <w:rPr>
                <w:color w:val="000000" w:themeColor="text1"/>
                <w14:textFill>
                  <w14:solidFill>
                    <w14:schemeClr w14:val="tx1"/>
                  </w14:solidFill>
                </w14:textFill>
              </w:rPr>
              <w:t>月</w:t>
            </w:r>
          </w:p>
        </w:tc>
        <w:tc>
          <w:tcPr>
            <w:tcW w:w="1559" w:type="dxa"/>
            <w:vAlign w:val="center"/>
          </w:tcPr>
          <w:p w14:paraId="195BDBA9">
            <w:pPr>
              <w:pStyle w:val="476"/>
              <w:rPr>
                <w:color w:val="000000" w:themeColor="text1"/>
                <w14:textFill>
                  <w14:solidFill>
                    <w14:schemeClr w14:val="tx1"/>
                  </w14:solidFill>
                </w14:textFill>
              </w:rPr>
            </w:pPr>
            <w:r>
              <w:rPr>
                <w:color w:val="000000" w:themeColor="text1"/>
                <w14:textFill>
                  <w14:solidFill>
                    <w14:schemeClr w14:val="tx1"/>
                  </w14:solidFill>
                </w14:textFill>
              </w:rPr>
              <w:t>季度</w:t>
            </w:r>
          </w:p>
        </w:tc>
        <w:tc>
          <w:tcPr>
            <w:tcW w:w="1559" w:type="dxa"/>
            <w:vAlign w:val="center"/>
          </w:tcPr>
          <w:p w14:paraId="2A185DE5">
            <w:pPr>
              <w:pStyle w:val="476"/>
              <w:rPr>
                <w:color w:val="000000" w:themeColor="text1"/>
                <w14:textFill>
                  <w14:solidFill>
                    <w14:schemeClr w14:val="tx1"/>
                  </w14:solidFill>
                </w14:textFill>
              </w:rPr>
            </w:pPr>
            <w:r>
              <w:rPr>
                <w:color w:val="000000" w:themeColor="text1"/>
                <w14:textFill>
                  <w14:solidFill>
                    <w14:schemeClr w14:val="tx1"/>
                  </w14:solidFill>
                </w14:textFill>
              </w:rPr>
              <w:t>季度</w:t>
            </w:r>
          </w:p>
        </w:tc>
        <w:tc>
          <w:tcPr>
            <w:tcW w:w="1093" w:type="dxa"/>
            <w:vAlign w:val="center"/>
          </w:tcPr>
          <w:p w14:paraId="2C6F6A13">
            <w:pPr>
              <w:pStyle w:val="476"/>
              <w:rPr>
                <w:color w:val="000000" w:themeColor="text1"/>
                <w14:textFill>
                  <w14:solidFill>
                    <w14:schemeClr w14:val="tx1"/>
                  </w14:solidFill>
                </w14:textFill>
              </w:rPr>
            </w:pPr>
            <w:r>
              <w:rPr>
                <w:color w:val="000000" w:themeColor="text1"/>
                <w14:textFill>
                  <w14:solidFill>
                    <w14:schemeClr w14:val="tx1"/>
                  </w14:solidFill>
                </w14:textFill>
              </w:rPr>
              <w:t>季度</w:t>
            </w:r>
          </w:p>
        </w:tc>
      </w:tr>
      <w:tr w14:paraId="297BC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29" w:type="dxa"/>
            <w:vMerge w:val="continue"/>
            <w:vAlign w:val="center"/>
          </w:tcPr>
          <w:p w14:paraId="557F8772">
            <w:pPr>
              <w:pStyle w:val="476"/>
              <w:rPr>
                <w:color w:val="000000" w:themeColor="text1"/>
                <w14:textFill>
                  <w14:solidFill>
                    <w14:schemeClr w14:val="tx1"/>
                  </w14:solidFill>
                </w14:textFill>
              </w:rPr>
            </w:pPr>
          </w:p>
        </w:tc>
        <w:tc>
          <w:tcPr>
            <w:tcW w:w="2410" w:type="dxa"/>
            <w:vAlign w:val="center"/>
          </w:tcPr>
          <w:p w14:paraId="243F79AD">
            <w:pPr>
              <w:pStyle w:val="476"/>
              <w:rPr>
                <w:color w:val="000000" w:themeColor="text1"/>
                <w14:textFill>
                  <w14:solidFill>
                    <w14:schemeClr w14:val="tx1"/>
                  </w14:solidFill>
                </w14:textFill>
              </w:rPr>
            </w:pPr>
            <w:r>
              <w:rPr>
                <w:color w:val="000000" w:themeColor="text1"/>
                <w14:textFill>
                  <w14:solidFill>
                    <w14:schemeClr w14:val="tx1"/>
                  </w14:solidFill>
                </w14:textFill>
              </w:rPr>
              <w:t>总镉、总铬、总汞、总铅、总砷、六价铬</w:t>
            </w:r>
          </w:p>
        </w:tc>
        <w:tc>
          <w:tcPr>
            <w:tcW w:w="1276" w:type="dxa"/>
            <w:vAlign w:val="center"/>
          </w:tcPr>
          <w:p w14:paraId="3B9249E7">
            <w:pPr>
              <w:pStyle w:val="476"/>
              <w:rPr>
                <w:color w:val="000000" w:themeColor="text1"/>
                <w14:textFill>
                  <w14:solidFill>
                    <w14:schemeClr w14:val="tx1"/>
                  </w14:solidFill>
                </w14:textFill>
              </w:rPr>
            </w:pPr>
            <w:r>
              <w:rPr>
                <w:color w:val="000000" w:themeColor="text1"/>
                <w14:textFill>
                  <w14:solidFill>
                    <w14:schemeClr w14:val="tx1"/>
                  </w14:solidFill>
                </w14:textFill>
              </w:rPr>
              <w:t>季度</w:t>
            </w:r>
          </w:p>
        </w:tc>
        <w:tc>
          <w:tcPr>
            <w:tcW w:w="1559" w:type="dxa"/>
            <w:vAlign w:val="center"/>
          </w:tcPr>
          <w:p w14:paraId="62B5FC1D">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c>
          <w:tcPr>
            <w:tcW w:w="1559" w:type="dxa"/>
            <w:vAlign w:val="center"/>
          </w:tcPr>
          <w:p w14:paraId="1018ACA9">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c>
          <w:tcPr>
            <w:tcW w:w="1093" w:type="dxa"/>
            <w:vAlign w:val="center"/>
          </w:tcPr>
          <w:p w14:paraId="5E078038">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r>
      <w:tr w14:paraId="391CD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29" w:type="dxa"/>
            <w:vMerge w:val="continue"/>
            <w:vAlign w:val="center"/>
          </w:tcPr>
          <w:p w14:paraId="7768EB12">
            <w:pPr>
              <w:pStyle w:val="476"/>
              <w:rPr>
                <w:color w:val="000000" w:themeColor="text1"/>
                <w14:textFill>
                  <w14:solidFill>
                    <w14:schemeClr w14:val="tx1"/>
                  </w14:solidFill>
                </w14:textFill>
              </w:rPr>
            </w:pPr>
          </w:p>
        </w:tc>
        <w:tc>
          <w:tcPr>
            <w:tcW w:w="2410" w:type="dxa"/>
            <w:vAlign w:val="center"/>
          </w:tcPr>
          <w:p w14:paraId="1830AC25">
            <w:pPr>
              <w:pStyle w:val="476"/>
              <w:rPr>
                <w:color w:val="000000" w:themeColor="text1"/>
                <w14:textFill>
                  <w14:solidFill>
                    <w14:schemeClr w14:val="tx1"/>
                  </w14:solidFill>
                </w14:textFill>
              </w:rPr>
            </w:pPr>
            <w:r>
              <w:rPr>
                <w:color w:val="000000" w:themeColor="text1"/>
                <w14:textFill>
                  <w14:solidFill>
                    <w14:schemeClr w14:val="tx1"/>
                  </w14:solidFill>
                </w14:textFill>
              </w:rPr>
              <w:t>烷基汞</w:t>
            </w:r>
          </w:p>
        </w:tc>
        <w:tc>
          <w:tcPr>
            <w:tcW w:w="1276" w:type="dxa"/>
            <w:vAlign w:val="center"/>
          </w:tcPr>
          <w:p w14:paraId="29D254D3">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c>
          <w:tcPr>
            <w:tcW w:w="1559" w:type="dxa"/>
            <w:vAlign w:val="center"/>
          </w:tcPr>
          <w:p w14:paraId="27FB92B0">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c>
          <w:tcPr>
            <w:tcW w:w="1559" w:type="dxa"/>
            <w:vAlign w:val="center"/>
          </w:tcPr>
          <w:p w14:paraId="46C62570">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c>
          <w:tcPr>
            <w:tcW w:w="1093" w:type="dxa"/>
            <w:vAlign w:val="center"/>
          </w:tcPr>
          <w:p w14:paraId="288C5215">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r>
      <w:tr w14:paraId="4078B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29" w:type="dxa"/>
            <w:vMerge w:val="continue"/>
            <w:vAlign w:val="center"/>
          </w:tcPr>
          <w:p w14:paraId="6C0A950E">
            <w:pPr>
              <w:pStyle w:val="476"/>
              <w:rPr>
                <w:color w:val="000000" w:themeColor="text1"/>
                <w14:textFill>
                  <w14:solidFill>
                    <w14:schemeClr w14:val="tx1"/>
                  </w14:solidFill>
                </w14:textFill>
              </w:rPr>
            </w:pPr>
          </w:p>
        </w:tc>
        <w:tc>
          <w:tcPr>
            <w:tcW w:w="2410" w:type="dxa"/>
            <w:vAlign w:val="center"/>
          </w:tcPr>
          <w:p w14:paraId="02257924">
            <w:pPr>
              <w:pStyle w:val="476"/>
              <w:rPr>
                <w:color w:val="000000" w:themeColor="text1"/>
                <w14:textFill>
                  <w14:solidFill>
                    <w14:schemeClr w14:val="tx1"/>
                  </w14:solidFill>
                </w14:textFill>
              </w:rPr>
            </w:pPr>
            <w:r>
              <w:rPr>
                <w:color w:val="000000" w:themeColor="text1"/>
                <w14:textFill>
                  <w14:solidFill>
                    <w14:schemeClr w14:val="tx1"/>
                  </w14:solidFill>
                </w14:textFill>
              </w:rPr>
              <w:t>GB18918的表3中纳入许可的指标</w:t>
            </w:r>
          </w:p>
        </w:tc>
        <w:tc>
          <w:tcPr>
            <w:tcW w:w="1276" w:type="dxa"/>
            <w:vAlign w:val="center"/>
          </w:tcPr>
          <w:p w14:paraId="44D7EEAA">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c>
          <w:tcPr>
            <w:tcW w:w="1559" w:type="dxa"/>
            <w:vAlign w:val="center"/>
          </w:tcPr>
          <w:p w14:paraId="6FED9165">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c>
          <w:tcPr>
            <w:tcW w:w="1559" w:type="dxa"/>
            <w:vAlign w:val="center"/>
          </w:tcPr>
          <w:p w14:paraId="27E4308B">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c>
          <w:tcPr>
            <w:tcW w:w="1093" w:type="dxa"/>
            <w:vAlign w:val="center"/>
          </w:tcPr>
          <w:p w14:paraId="6127433B">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r>
      <w:tr w14:paraId="2A465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129" w:type="dxa"/>
            <w:vMerge w:val="continue"/>
            <w:vAlign w:val="center"/>
          </w:tcPr>
          <w:p w14:paraId="50749890">
            <w:pPr>
              <w:pStyle w:val="476"/>
              <w:rPr>
                <w:color w:val="000000" w:themeColor="text1"/>
                <w14:textFill>
                  <w14:solidFill>
                    <w14:schemeClr w14:val="tx1"/>
                  </w14:solidFill>
                </w14:textFill>
              </w:rPr>
            </w:pPr>
          </w:p>
        </w:tc>
        <w:tc>
          <w:tcPr>
            <w:tcW w:w="2410" w:type="dxa"/>
            <w:vAlign w:val="center"/>
          </w:tcPr>
          <w:p w14:paraId="5ABABFBC">
            <w:pPr>
              <w:pStyle w:val="476"/>
              <w:rPr>
                <w:color w:val="000000" w:themeColor="text1"/>
                <w14:textFill>
                  <w14:solidFill>
                    <w14:schemeClr w14:val="tx1"/>
                  </w14:solidFill>
                </w14:textFill>
              </w:rPr>
            </w:pPr>
            <w:r>
              <w:rPr>
                <w:color w:val="000000" w:themeColor="text1"/>
                <w14:textFill>
                  <w14:solidFill>
                    <w14:schemeClr w14:val="tx1"/>
                  </w14:solidFill>
                </w14:textFill>
              </w:rPr>
              <w:t>其他污染物</w:t>
            </w:r>
            <w:r>
              <w:rPr>
                <w:color w:val="000000" w:themeColor="text1"/>
                <w:vertAlign w:val="superscript"/>
                <w14:textFill>
                  <w14:solidFill>
                    <w14:schemeClr w14:val="tx1"/>
                  </w14:solidFill>
                </w14:textFill>
              </w:rPr>
              <w:t>c</w:t>
            </w:r>
          </w:p>
        </w:tc>
        <w:tc>
          <w:tcPr>
            <w:tcW w:w="1276" w:type="dxa"/>
            <w:vAlign w:val="center"/>
          </w:tcPr>
          <w:p w14:paraId="70011C28">
            <w:pPr>
              <w:pStyle w:val="476"/>
              <w:rPr>
                <w:color w:val="000000" w:themeColor="text1"/>
                <w14:textFill>
                  <w14:solidFill>
                    <w14:schemeClr w14:val="tx1"/>
                  </w14:solidFill>
                </w14:textFill>
              </w:rPr>
            </w:pPr>
            <w:r>
              <w:rPr>
                <w:color w:val="000000" w:themeColor="text1"/>
                <w14:textFill>
                  <w14:solidFill>
                    <w14:schemeClr w14:val="tx1"/>
                  </w14:solidFill>
                </w14:textFill>
              </w:rPr>
              <w:t>半年</w:t>
            </w:r>
          </w:p>
        </w:tc>
        <w:tc>
          <w:tcPr>
            <w:tcW w:w="1559" w:type="dxa"/>
            <w:vAlign w:val="center"/>
          </w:tcPr>
          <w:p w14:paraId="1F8B7523">
            <w:pPr>
              <w:pStyle w:val="476"/>
              <w:rPr>
                <w:color w:val="000000" w:themeColor="text1"/>
                <w14:textFill>
                  <w14:solidFill>
                    <w14:schemeClr w14:val="tx1"/>
                  </w14:solidFill>
                </w14:textFill>
              </w:rPr>
            </w:pPr>
            <w:r>
              <w:rPr>
                <w:color w:val="000000" w:themeColor="text1"/>
                <w14:textFill>
                  <w14:solidFill>
                    <w14:schemeClr w14:val="tx1"/>
                  </w14:solidFill>
                </w14:textFill>
              </w:rPr>
              <w:t>两年</w:t>
            </w:r>
          </w:p>
        </w:tc>
        <w:tc>
          <w:tcPr>
            <w:tcW w:w="1559" w:type="dxa"/>
            <w:vAlign w:val="center"/>
          </w:tcPr>
          <w:p w14:paraId="65C97A90">
            <w:pPr>
              <w:pStyle w:val="476"/>
              <w:rPr>
                <w:color w:val="000000" w:themeColor="text1"/>
                <w14:textFill>
                  <w14:solidFill>
                    <w14:schemeClr w14:val="tx1"/>
                  </w14:solidFill>
                </w14:textFill>
              </w:rPr>
            </w:pPr>
            <w:r>
              <w:rPr>
                <w:color w:val="000000" w:themeColor="text1"/>
                <w14:textFill>
                  <w14:solidFill>
                    <w14:schemeClr w14:val="tx1"/>
                  </w14:solidFill>
                </w14:textFill>
              </w:rPr>
              <w:t>两年</w:t>
            </w:r>
          </w:p>
        </w:tc>
        <w:tc>
          <w:tcPr>
            <w:tcW w:w="1093" w:type="dxa"/>
            <w:vAlign w:val="center"/>
          </w:tcPr>
          <w:p w14:paraId="150D4771">
            <w:pPr>
              <w:pStyle w:val="476"/>
              <w:rPr>
                <w:color w:val="000000" w:themeColor="text1"/>
                <w14:textFill>
                  <w14:solidFill>
                    <w14:schemeClr w14:val="tx1"/>
                  </w14:solidFill>
                </w14:textFill>
              </w:rPr>
            </w:pPr>
            <w:r>
              <w:rPr>
                <w:color w:val="000000" w:themeColor="text1"/>
                <w14:textFill>
                  <w14:solidFill>
                    <w14:schemeClr w14:val="tx1"/>
                  </w14:solidFill>
                </w14:textFill>
              </w:rPr>
              <w:t>两年</w:t>
            </w:r>
          </w:p>
        </w:tc>
      </w:tr>
      <w:tr w14:paraId="60A12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026" w:type="dxa"/>
            <w:gridSpan w:val="6"/>
            <w:vAlign w:val="center"/>
          </w:tcPr>
          <w:p w14:paraId="3653D600">
            <w:pPr>
              <w:pStyle w:val="476"/>
              <w:jc w:val="left"/>
              <w:rPr>
                <w:color w:val="000000" w:themeColor="text1"/>
                <w14:textFill>
                  <w14:solidFill>
                    <w14:schemeClr w14:val="tx1"/>
                  </w14:solidFill>
                </w14:textFill>
              </w:rPr>
            </w:pPr>
            <w:r>
              <w:rPr>
                <w:color w:val="000000" w:themeColor="text1"/>
                <w14:textFill>
                  <w14:solidFill>
                    <w14:schemeClr w14:val="tx1"/>
                  </w14:solidFill>
                </w14:textFill>
              </w:rPr>
              <w:t>a废水排入环境水体之前，有其他排污单位废水混入的，应在混入前后均设置监测点位。</w:t>
            </w:r>
          </w:p>
          <w:p w14:paraId="4C6D8DED">
            <w:pPr>
              <w:pStyle w:val="476"/>
              <w:jc w:val="left"/>
              <w:rPr>
                <w:color w:val="000000" w:themeColor="text1"/>
                <w14:textFill>
                  <w14:solidFill>
                    <w14:schemeClr w14:val="tx1"/>
                  </w14:solidFill>
                </w14:textFill>
              </w:rPr>
            </w:pPr>
            <w:r>
              <w:rPr>
                <w:color w:val="000000" w:themeColor="text1"/>
                <w14:textFill>
                  <w14:solidFill>
                    <w14:schemeClr w14:val="tx1"/>
                  </w14:solidFill>
                </w14:textFill>
              </w:rPr>
              <w:t>b总氮自动监测技术规范发布实施前，按日监测。</w:t>
            </w:r>
          </w:p>
          <w:p w14:paraId="51F3AB74">
            <w:pPr>
              <w:pStyle w:val="476"/>
              <w:jc w:val="left"/>
              <w:rPr>
                <w:color w:val="000000" w:themeColor="text1"/>
                <w14:textFill>
                  <w14:solidFill>
                    <w14:schemeClr w14:val="tx1"/>
                  </w14:solidFill>
                </w14:textFill>
              </w:rPr>
            </w:pPr>
            <w:r>
              <w:rPr>
                <w:color w:val="000000" w:themeColor="text1"/>
                <w14:textFill>
                  <w14:solidFill>
                    <w14:schemeClr w14:val="tx1"/>
                  </w14:solidFill>
                </w14:textFill>
              </w:rPr>
              <w:t>c接纳工业废水执行的排放标准中含有的其他污染物。</w:t>
            </w:r>
          </w:p>
        </w:tc>
      </w:tr>
      <w:tr w14:paraId="1D726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026" w:type="dxa"/>
            <w:gridSpan w:val="6"/>
            <w:vAlign w:val="center"/>
          </w:tcPr>
          <w:p w14:paraId="04AAF143">
            <w:pPr>
              <w:pStyle w:val="476"/>
              <w:jc w:val="left"/>
              <w:rPr>
                <w:color w:val="000000" w:themeColor="text1"/>
                <w14:textFill>
                  <w14:solidFill>
                    <w14:schemeClr w14:val="tx1"/>
                  </w14:solidFill>
                </w14:textFill>
              </w:rPr>
            </w:pPr>
            <w:r>
              <w:rPr>
                <w:color w:val="000000" w:themeColor="text1"/>
                <w14:textFill>
                  <w14:solidFill>
                    <w14:schemeClr w14:val="tx1"/>
                  </w14:solidFill>
                </w14:textFill>
              </w:rPr>
              <w:t>注：设区的市级及以上生态环境主管部门明确要求安装自动监测设备的污染物指标，须采取自动监测</w:t>
            </w:r>
          </w:p>
        </w:tc>
      </w:tr>
    </w:tbl>
    <w:p w14:paraId="7A62E356">
      <w:pPr>
        <w:pStyle w:val="52"/>
        <w:rPr>
          <w:color w:val="000000" w:themeColor="text1"/>
          <w14:textFill>
            <w14:solidFill>
              <w14:schemeClr w14:val="tx1"/>
            </w14:solidFill>
          </w14:textFill>
        </w:rPr>
      </w:pPr>
      <w:r>
        <w:rPr>
          <w:color w:val="000000" w:themeColor="text1"/>
          <w14:textFill>
            <w14:solidFill>
              <w14:schemeClr w14:val="tx1"/>
            </w14:solidFill>
          </w14:textFill>
        </w:rPr>
        <w:t>（3）污泥监测要求</w:t>
      </w:r>
    </w:p>
    <w:p w14:paraId="188E6F32">
      <w:pPr>
        <w:pStyle w:val="52"/>
        <w:rPr>
          <w:b/>
          <w:color w:val="000000" w:themeColor="text1"/>
          <w14:textFill>
            <w14:solidFill>
              <w14:schemeClr w14:val="tx1"/>
            </w14:solidFill>
          </w14:textFill>
        </w:rPr>
      </w:pPr>
      <w:r>
        <w:rPr>
          <w:color w:val="000000" w:themeColor="text1"/>
          <w14:textFill>
            <w14:solidFill>
              <w14:schemeClr w14:val="tx1"/>
            </w14:solidFill>
          </w14:textFill>
        </w:rPr>
        <w:t>污泥监测指标及频次按下表执行。对于污泥出厂后有其他用途的，则按照相关标准要求开展监测。</w:t>
      </w:r>
    </w:p>
    <w:p w14:paraId="2434DF6B">
      <w:pPr>
        <w:pStyle w:val="52"/>
        <w:ind w:firstLine="0" w:firstLineChars="0"/>
        <w:jc w:val="center"/>
        <w:rPr>
          <w:b/>
          <w:color w:val="000000" w:themeColor="text1"/>
          <w14:textFill>
            <w14:solidFill>
              <w14:schemeClr w14:val="tx1"/>
            </w14:solidFill>
          </w14:textFill>
        </w:rPr>
      </w:pPr>
      <w:r>
        <w:rPr>
          <w:b/>
          <w:color w:val="000000" w:themeColor="text1"/>
          <w14:textFill>
            <w14:solidFill>
              <w14:schemeClr w14:val="tx1"/>
            </w14:solidFill>
          </w14:textFill>
        </w:rPr>
        <w:t>表8.3-3污泥监测指标及最低监测频次</w:t>
      </w:r>
    </w:p>
    <w:tbl>
      <w:tblPr>
        <w:tblStyle w:val="5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23"/>
        <w:gridCol w:w="2847"/>
        <w:gridCol w:w="2824"/>
      </w:tblGrid>
      <w:tr w14:paraId="4755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823" w:type="dxa"/>
            <w:vAlign w:val="center"/>
          </w:tcPr>
          <w:p w14:paraId="72A5FE83">
            <w:pPr>
              <w:pStyle w:val="476"/>
              <w:rPr>
                <w:b/>
                <w:color w:val="000000" w:themeColor="text1"/>
                <w14:textFill>
                  <w14:solidFill>
                    <w14:schemeClr w14:val="tx1"/>
                  </w14:solidFill>
                </w14:textFill>
              </w:rPr>
            </w:pPr>
            <w:r>
              <w:rPr>
                <w:b/>
                <w:color w:val="000000" w:themeColor="text1"/>
                <w14:textFill>
                  <w14:solidFill>
                    <w14:schemeClr w14:val="tx1"/>
                  </w14:solidFill>
                </w14:textFill>
              </w:rPr>
              <w:t>监测指标</w:t>
            </w:r>
          </w:p>
        </w:tc>
        <w:tc>
          <w:tcPr>
            <w:tcW w:w="2847" w:type="dxa"/>
            <w:vAlign w:val="center"/>
          </w:tcPr>
          <w:p w14:paraId="6243E1E0">
            <w:pPr>
              <w:pStyle w:val="476"/>
              <w:rPr>
                <w:b/>
                <w:color w:val="000000" w:themeColor="text1"/>
                <w14:textFill>
                  <w14:solidFill>
                    <w14:schemeClr w14:val="tx1"/>
                  </w14:solidFill>
                </w14:textFill>
              </w:rPr>
            </w:pPr>
            <w:r>
              <w:rPr>
                <w:b/>
                <w:color w:val="000000" w:themeColor="text1"/>
                <w14:textFill>
                  <w14:solidFill>
                    <w14:schemeClr w14:val="tx1"/>
                  </w14:solidFill>
                </w14:textFill>
              </w:rPr>
              <w:t>监测频次</w:t>
            </w:r>
          </w:p>
        </w:tc>
        <w:tc>
          <w:tcPr>
            <w:tcW w:w="2824" w:type="dxa"/>
            <w:vAlign w:val="center"/>
          </w:tcPr>
          <w:p w14:paraId="7AD49AD0">
            <w:pPr>
              <w:pStyle w:val="476"/>
              <w:rPr>
                <w:b/>
                <w:color w:val="000000" w:themeColor="text1"/>
                <w14:textFill>
                  <w14:solidFill>
                    <w14:schemeClr w14:val="tx1"/>
                  </w14:solidFill>
                </w14:textFill>
              </w:rPr>
            </w:pPr>
            <w:r>
              <w:rPr>
                <w:b/>
                <w:color w:val="000000" w:themeColor="text1"/>
                <w14:textFill>
                  <w14:solidFill>
                    <w14:schemeClr w14:val="tx1"/>
                  </w14:solidFill>
                </w14:textFill>
              </w:rPr>
              <w:t>备注</w:t>
            </w:r>
          </w:p>
        </w:tc>
      </w:tr>
      <w:tr w14:paraId="70357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823" w:type="dxa"/>
            <w:vAlign w:val="center"/>
          </w:tcPr>
          <w:p w14:paraId="6D340F7B">
            <w:pPr>
              <w:pStyle w:val="476"/>
              <w:rPr>
                <w:color w:val="000000" w:themeColor="text1"/>
                <w14:textFill>
                  <w14:solidFill>
                    <w14:schemeClr w14:val="tx1"/>
                  </w14:solidFill>
                </w14:textFill>
              </w:rPr>
            </w:pPr>
            <w:r>
              <w:rPr>
                <w:color w:val="000000" w:themeColor="text1"/>
                <w14:textFill>
                  <w14:solidFill>
                    <w14:schemeClr w14:val="tx1"/>
                  </w14:solidFill>
                </w14:textFill>
              </w:rPr>
              <w:t>含水率</w:t>
            </w:r>
          </w:p>
        </w:tc>
        <w:tc>
          <w:tcPr>
            <w:tcW w:w="2847" w:type="dxa"/>
            <w:vAlign w:val="center"/>
          </w:tcPr>
          <w:p w14:paraId="706578B6">
            <w:pPr>
              <w:pStyle w:val="476"/>
              <w:rPr>
                <w:color w:val="000000" w:themeColor="text1"/>
                <w14:textFill>
                  <w14:solidFill>
                    <w14:schemeClr w14:val="tx1"/>
                  </w14:solidFill>
                </w14:textFill>
              </w:rPr>
            </w:pPr>
            <w:r>
              <w:rPr>
                <w:color w:val="000000" w:themeColor="text1"/>
                <w14:textFill>
                  <w14:solidFill>
                    <w14:schemeClr w14:val="tx1"/>
                  </w14:solidFill>
                </w14:textFill>
              </w:rPr>
              <w:t>日（规模小于500m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/d的可按月监测）</w:t>
            </w:r>
          </w:p>
        </w:tc>
        <w:tc>
          <w:tcPr>
            <w:tcW w:w="2824" w:type="dxa"/>
            <w:vMerge w:val="restart"/>
            <w:vAlign w:val="center"/>
          </w:tcPr>
          <w:p w14:paraId="4418C402">
            <w:pPr>
              <w:pStyle w:val="476"/>
              <w:rPr>
                <w:color w:val="000000" w:themeColor="text1"/>
                <w14:textFill>
                  <w14:solidFill>
                    <w14:schemeClr w14:val="tx1"/>
                  </w14:solidFill>
                </w14:textFill>
              </w:rPr>
            </w:pPr>
            <w:r>
              <w:rPr>
                <w:color w:val="000000" w:themeColor="text1"/>
                <w14:textFill>
                  <w14:solidFill>
                    <w14:schemeClr w14:val="tx1"/>
                  </w14:solidFill>
                </w14:textFill>
              </w:rPr>
              <w:t>适用于采用好氧堆肥污泥稳定化处理方式的情况</w:t>
            </w:r>
          </w:p>
        </w:tc>
      </w:tr>
      <w:tr w14:paraId="75C09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823" w:type="dxa"/>
            <w:vAlign w:val="center"/>
          </w:tcPr>
          <w:p w14:paraId="43740C07">
            <w:pPr>
              <w:pStyle w:val="476"/>
              <w:rPr>
                <w:color w:val="000000" w:themeColor="text1"/>
                <w14:textFill>
                  <w14:solidFill>
                    <w14:schemeClr w14:val="tx1"/>
                  </w14:solidFill>
                </w14:textFill>
              </w:rPr>
            </w:pPr>
            <w:r>
              <w:rPr>
                <w:color w:val="000000" w:themeColor="text1"/>
                <w14:textFill>
                  <w14:solidFill>
                    <w14:schemeClr w14:val="tx1"/>
                  </w14:solidFill>
                </w14:textFill>
              </w:rPr>
              <w:t>蠕虫卵死亡率、粪大肠菌群菌值</w:t>
            </w:r>
          </w:p>
        </w:tc>
        <w:tc>
          <w:tcPr>
            <w:tcW w:w="2847" w:type="dxa"/>
            <w:vAlign w:val="center"/>
          </w:tcPr>
          <w:p w14:paraId="30959A1D">
            <w:pPr>
              <w:pStyle w:val="476"/>
              <w:rPr>
                <w:color w:val="000000" w:themeColor="text1"/>
                <w14:textFill>
                  <w14:solidFill>
                    <w14:schemeClr w14:val="tx1"/>
                  </w14:solidFill>
                </w14:textFill>
              </w:rPr>
            </w:pPr>
            <w:r>
              <w:rPr>
                <w:color w:val="000000" w:themeColor="text1"/>
                <w14:textFill>
                  <w14:solidFill>
                    <w14:schemeClr w14:val="tx1"/>
                  </w14:solidFill>
                </w14:textFill>
              </w:rPr>
              <w:t>月</w:t>
            </w:r>
          </w:p>
        </w:tc>
        <w:tc>
          <w:tcPr>
            <w:tcW w:w="2824" w:type="dxa"/>
            <w:vMerge w:val="continue"/>
            <w:vAlign w:val="center"/>
          </w:tcPr>
          <w:p w14:paraId="63EB2B54">
            <w:pPr>
              <w:pStyle w:val="476"/>
              <w:rPr>
                <w:color w:val="000000" w:themeColor="text1"/>
                <w14:textFill>
                  <w14:solidFill>
                    <w14:schemeClr w14:val="tx1"/>
                  </w14:solidFill>
                </w14:textFill>
              </w:rPr>
            </w:pPr>
          </w:p>
        </w:tc>
      </w:tr>
    </w:tbl>
    <w:p w14:paraId="1EA1A476">
      <w:pPr>
        <w:pStyle w:val="6"/>
        <w:rPr>
          <w:color w:val="000000" w:themeColor="text1"/>
          <w14:textFill>
            <w14:solidFill>
              <w14:schemeClr w14:val="tx1"/>
            </w14:solidFill>
          </w14:textFill>
        </w:rPr>
      </w:pPr>
      <w:bookmarkStart w:id="324" w:name="_Toc112692649"/>
      <w:bookmarkStart w:id="325" w:name="_Toc112693947"/>
      <w:bookmarkStart w:id="326" w:name="_Toc112694082"/>
      <w:r>
        <w:rPr>
          <w:color w:val="000000" w:themeColor="text1"/>
          <w14:textFill>
            <w14:solidFill>
              <w14:schemeClr w14:val="tx1"/>
            </w14:solidFill>
          </w14:textFill>
        </w:rPr>
        <w:t>人员配置</w:t>
      </w:r>
      <w:bookmarkEnd w:id="324"/>
      <w:bookmarkEnd w:id="325"/>
      <w:bookmarkEnd w:id="326"/>
    </w:p>
    <w:p w14:paraId="7A5A4C9F">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（1）多座无人值守的污水处理设施可按片区设置统一的运维机构，其地点应选择在交通便利、距离适直的位置，或与污水处理厂共建。</w:t>
      </w:r>
    </w:p>
    <w:p w14:paraId="58A0A13C">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（2）乡镇污水处理厂或中心管理机构应配备运行操作人员。运行操作人员应具备一定的文化水平，经培训合格，掌握处理工艺和设施、设备的运行要求及技术指标后方能上岗，并应定期培训。</w:t>
      </w:r>
    </w:p>
    <w:p w14:paraId="72499986">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（3）乡镇污水处理厂的人员配置除满足安全生产需要，尚应满足下表的要求。</w:t>
      </w:r>
    </w:p>
    <w:p w14:paraId="0FA87136">
      <w:pPr>
        <w:pStyle w:val="52"/>
        <w:ind w:firstLine="0" w:firstLineChars="0"/>
        <w:jc w:val="center"/>
        <w:rPr>
          <w:b/>
          <w:color w:val="000000" w:themeColor="text1"/>
          <w14:textFill>
            <w14:solidFill>
              <w14:schemeClr w14:val="tx1"/>
            </w14:solidFill>
          </w14:textFill>
        </w:rPr>
      </w:pPr>
      <w:r>
        <w:rPr>
          <w:b/>
          <w:color w:val="000000" w:themeColor="text1"/>
          <w14:textFill>
            <w14:solidFill>
              <w14:schemeClr w14:val="tx1"/>
            </w14:solidFill>
          </w14:textFill>
        </w:rPr>
        <w:t>表8.3-4乡镇污水厂技术人员配置</w:t>
      </w:r>
    </w:p>
    <w:tbl>
      <w:tblPr>
        <w:tblStyle w:val="5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13"/>
        <w:gridCol w:w="2901"/>
        <w:gridCol w:w="2906"/>
      </w:tblGrid>
      <w:tr w14:paraId="54833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008" w:type="dxa"/>
            <w:vAlign w:val="center"/>
          </w:tcPr>
          <w:p w14:paraId="75CEE97D">
            <w:pPr>
              <w:pStyle w:val="476"/>
              <w:rPr>
                <w:color w:val="000000" w:themeColor="text1"/>
                <w14:textFill>
                  <w14:solidFill>
                    <w14:schemeClr w14:val="tx1"/>
                  </w14:solidFill>
                </w14:textFill>
              </w:rPr>
            </w:pPr>
            <w:r>
              <w:rPr>
                <w:color w:val="000000" w:themeColor="text1"/>
                <w14:textFill>
                  <w14:solidFill>
                    <w14:schemeClr w14:val="tx1"/>
                  </w14:solidFill>
                </w14:textFill>
              </w:rPr>
              <w:t>污水处理规模（m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w:t>
            </w:r>
          </w:p>
        </w:tc>
        <w:tc>
          <w:tcPr>
            <w:tcW w:w="3009" w:type="dxa"/>
            <w:vAlign w:val="center"/>
          </w:tcPr>
          <w:p w14:paraId="14301F83">
            <w:pPr>
              <w:pStyle w:val="476"/>
              <w:rPr>
                <w:color w:val="000000" w:themeColor="text1"/>
                <w14:textFill>
                  <w14:solidFill>
                    <w14:schemeClr w14:val="tx1"/>
                  </w14:solidFill>
                </w14:textFill>
              </w:rPr>
            </w:pPr>
            <w:r>
              <w:rPr>
                <w:color w:val="000000" w:themeColor="text1"/>
                <w14:textFill>
                  <w14:solidFill>
                    <w14:schemeClr w14:val="tx1"/>
                  </w14:solidFill>
                </w14:textFill>
              </w:rPr>
              <w:t>≥3000</w:t>
            </w:r>
          </w:p>
        </w:tc>
        <w:tc>
          <w:tcPr>
            <w:tcW w:w="3009" w:type="dxa"/>
            <w:vAlign w:val="center"/>
          </w:tcPr>
          <w:p w14:paraId="3150E4D1">
            <w:pPr>
              <w:pStyle w:val="476"/>
              <w:rPr>
                <w:color w:val="000000" w:themeColor="text1"/>
                <w14:textFill>
                  <w14:solidFill>
                    <w14:schemeClr w14:val="tx1"/>
                  </w14:solidFill>
                </w14:textFill>
              </w:rPr>
            </w:pPr>
            <w:r>
              <w:rPr>
                <w:color w:val="000000" w:themeColor="text1"/>
                <w14:textFill>
                  <w14:solidFill>
                    <w14:schemeClr w14:val="tx1"/>
                  </w14:solidFill>
                </w14:textFill>
              </w:rPr>
              <w:t>﹤3000</w:t>
            </w:r>
          </w:p>
        </w:tc>
      </w:tr>
      <w:tr w14:paraId="7865E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008" w:type="dxa"/>
            <w:vAlign w:val="center"/>
          </w:tcPr>
          <w:p w14:paraId="0AA2AD89">
            <w:pPr>
              <w:pStyle w:val="476"/>
              <w:rPr>
                <w:color w:val="000000" w:themeColor="text1"/>
                <w14:textFill>
                  <w14:solidFill>
                    <w14:schemeClr w14:val="tx1"/>
                  </w14:solidFill>
                </w14:textFill>
              </w:rPr>
            </w:pPr>
            <w:r>
              <w:rPr>
                <w:color w:val="000000" w:themeColor="text1"/>
                <w14:textFill>
                  <w14:solidFill>
                    <w14:schemeClr w14:val="tx1"/>
                  </w14:solidFill>
                </w14:textFill>
              </w:rPr>
              <w:t>总人员数量</w:t>
            </w:r>
          </w:p>
        </w:tc>
        <w:tc>
          <w:tcPr>
            <w:tcW w:w="3009" w:type="dxa"/>
            <w:vAlign w:val="center"/>
          </w:tcPr>
          <w:p w14:paraId="26817A55">
            <w:pPr>
              <w:pStyle w:val="476"/>
              <w:rPr>
                <w:color w:val="000000" w:themeColor="text1"/>
                <w14:textFill>
                  <w14:solidFill>
                    <w14:schemeClr w14:val="tx1"/>
                  </w14:solidFill>
                </w14:textFill>
              </w:rPr>
            </w:pPr>
            <w:r>
              <w:rPr>
                <w:color w:val="000000" w:themeColor="text1"/>
                <w14:textFill>
                  <w14:solidFill>
                    <w14:schemeClr w14:val="tx1"/>
                  </w14:solidFill>
                </w14:textFill>
              </w:rPr>
              <w:t>≥6</w:t>
            </w:r>
          </w:p>
        </w:tc>
        <w:tc>
          <w:tcPr>
            <w:tcW w:w="3009" w:type="dxa"/>
            <w:vAlign w:val="center"/>
          </w:tcPr>
          <w:p w14:paraId="1CCF2329">
            <w:pPr>
              <w:pStyle w:val="476"/>
              <w:rPr>
                <w:color w:val="000000" w:themeColor="text1"/>
                <w14:textFill>
                  <w14:solidFill>
                    <w14:schemeClr w14:val="tx1"/>
                  </w14:solidFill>
                </w14:textFill>
              </w:rPr>
            </w:pPr>
            <w:r>
              <w:rPr>
                <w:color w:val="000000" w:themeColor="text1"/>
                <w14:textFill>
                  <w14:solidFill>
                    <w14:schemeClr w14:val="tx1"/>
                  </w14:solidFill>
                </w14:textFill>
              </w:rPr>
              <w:t>≥4</w:t>
            </w:r>
          </w:p>
        </w:tc>
      </w:tr>
      <w:tr w14:paraId="10FF0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008" w:type="dxa"/>
            <w:vAlign w:val="center"/>
          </w:tcPr>
          <w:p w14:paraId="24FE46A3">
            <w:pPr>
              <w:pStyle w:val="476"/>
              <w:rPr>
                <w:color w:val="000000" w:themeColor="text1"/>
                <w14:textFill>
                  <w14:solidFill>
                    <w14:schemeClr w14:val="tx1"/>
                  </w14:solidFill>
                </w14:textFill>
              </w:rPr>
            </w:pPr>
            <w:r>
              <w:rPr>
                <w:color w:val="000000" w:themeColor="text1"/>
                <w14:textFill>
                  <w14:solidFill>
                    <w14:schemeClr w14:val="tx1"/>
                  </w14:solidFill>
                </w14:textFill>
              </w:rPr>
              <w:t>技术负责人</w:t>
            </w:r>
          </w:p>
        </w:tc>
        <w:tc>
          <w:tcPr>
            <w:tcW w:w="3009" w:type="dxa"/>
            <w:vAlign w:val="center"/>
          </w:tcPr>
          <w:p w14:paraId="62CB9E7B">
            <w:pPr>
              <w:pStyle w:val="476"/>
              <w:rPr>
                <w:color w:val="000000" w:themeColor="text1"/>
                <w14:textFill>
                  <w14:solidFill>
                    <w14:schemeClr w14:val="tx1"/>
                  </w14:solidFill>
                </w14:textFill>
              </w:rPr>
            </w:pPr>
            <w:r>
              <w:rPr>
                <w:color w:val="000000" w:themeColor="text1"/>
                <w14:textFill>
                  <w14:solidFill>
                    <w14:schemeClr w14:val="tx1"/>
                  </w14:solidFill>
                </w14:textFill>
              </w:rPr>
              <w:t>l名具有给排水、环境工程等相关技术专业的初级职称及2年以上类似工作经验</w:t>
            </w:r>
          </w:p>
        </w:tc>
        <w:tc>
          <w:tcPr>
            <w:tcW w:w="3009" w:type="dxa"/>
            <w:vAlign w:val="center"/>
          </w:tcPr>
          <w:p w14:paraId="06068F19">
            <w:pPr>
              <w:pStyle w:val="476"/>
              <w:rPr>
                <w:color w:val="000000" w:themeColor="text1"/>
                <w14:textFill>
                  <w14:solidFill>
                    <w14:schemeClr w14:val="tx1"/>
                  </w14:solidFill>
                </w14:textFill>
              </w:rPr>
            </w:pPr>
            <w:r>
              <w:rPr>
                <w:color w:val="000000" w:themeColor="text1"/>
                <w14:textFill>
                  <w14:solidFill>
                    <w14:schemeClr w14:val="tx1"/>
                  </w14:solidFill>
                </w14:textFill>
              </w:rPr>
              <w:t>1名具有给排水、环境工程等相关技术专业的初级职称及2年以上类似工作经验</w:t>
            </w:r>
          </w:p>
        </w:tc>
      </w:tr>
      <w:tr w14:paraId="5012D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008" w:type="dxa"/>
            <w:vAlign w:val="center"/>
          </w:tcPr>
          <w:p w14:paraId="0825D16D">
            <w:pPr>
              <w:pStyle w:val="476"/>
              <w:rPr>
                <w:color w:val="000000" w:themeColor="text1"/>
                <w14:textFill>
                  <w14:solidFill>
                    <w14:schemeClr w14:val="tx1"/>
                  </w14:solidFill>
                </w14:textFill>
              </w:rPr>
            </w:pPr>
            <w:r>
              <w:rPr>
                <w:color w:val="000000" w:themeColor="text1"/>
                <w14:textFill>
                  <w14:solidFill>
                    <w14:schemeClr w14:val="tx1"/>
                  </w14:solidFill>
                </w14:textFill>
              </w:rPr>
              <w:t>各专业至少配置人员</w:t>
            </w:r>
          </w:p>
        </w:tc>
        <w:tc>
          <w:tcPr>
            <w:tcW w:w="3009" w:type="dxa"/>
            <w:vAlign w:val="center"/>
          </w:tcPr>
          <w:p w14:paraId="4FF9C16C">
            <w:pPr>
              <w:pStyle w:val="476"/>
              <w:rPr>
                <w:color w:val="000000" w:themeColor="text1"/>
                <w14:textFill>
                  <w14:solidFill>
                    <w14:schemeClr w14:val="tx1"/>
                  </w14:solidFill>
                </w14:textFill>
              </w:rPr>
            </w:pPr>
            <w:r>
              <w:rPr>
                <w:color w:val="000000" w:themeColor="text1"/>
                <w14:textFill>
                  <w14:solidFill>
                    <w14:schemeClr w14:val="tx1"/>
                  </w14:solidFill>
                </w14:textFill>
              </w:rPr>
              <w:t>给排水1名、机修1名、电气与自动化1名、化验人员2名</w:t>
            </w:r>
          </w:p>
        </w:tc>
        <w:tc>
          <w:tcPr>
            <w:tcW w:w="3009" w:type="dxa"/>
            <w:vAlign w:val="center"/>
          </w:tcPr>
          <w:p w14:paraId="039610EA">
            <w:pPr>
              <w:pStyle w:val="476"/>
              <w:rPr>
                <w:color w:val="000000" w:themeColor="text1"/>
                <w14:textFill>
                  <w14:solidFill>
                    <w14:schemeClr w14:val="tx1"/>
                  </w14:solidFill>
                </w14:textFill>
              </w:rPr>
            </w:pPr>
            <w:r>
              <w:rPr>
                <w:color w:val="000000" w:themeColor="text1"/>
                <w14:textFill>
                  <w14:solidFill>
                    <w14:schemeClr w14:val="tx1"/>
                  </w14:solidFill>
                </w14:textFill>
              </w:rPr>
              <w:t>给排水1名、机修1名、电气与自动化1名</w:t>
            </w:r>
          </w:p>
        </w:tc>
      </w:tr>
      <w:tr w14:paraId="38A60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026" w:type="dxa"/>
            <w:gridSpan w:val="3"/>
            <w:vAlign w:val="center"/>
          </w:tcPr>
          <w:p w14:paraId="208FFD0E">
            <w:pPr>
              <w:pStyle w:val="476"/>
              <w:jc w:val="left"/>
              <w:rPr>
                <w:color w:val="000000" w:themeColor="text1"/>
                <w14:textFill>
                  <w14:solidFill>
                    <w14:schemeClr w14:val="tx1"/>
                  </w14:solidFill>
                </w14:textFill>
              </w:rPr>
            </w:pPr>
            <w:r>
              <w:rPr>
                <w:color w:val="000000" w:themeColor="text1"/>
                <w14:textFill>
                  <w14:solidFill>
                    <w14:schemeClr w14:val="tx1"/>
                  </w14:solidFill>
                </w14:textFill>
              </w:rPr>
              <w:t>注：按片区统一管理的可按片区内最大一座污水处理设施的配置要求基础上合理配置技术人员，无人值守站点建议纳入统一管理。</w:t>
            </w:r>
          </w:p>
        </w:tc>
      </w:tr>
    </w:tbl>
    <w:p w14:paraId="76ED7426">
      <w:pPr>
        <w:pStyle w:val="6"/>
        <w:rPr>
          <w:color w:val="000000" w:themeColor="text1"/>
          <w14:textFill>
            <w14:solidFill>
              <w14:schemeClr w14:val="tx1"/>
            </w14:solidFill>
          </w14:textFill>
        </w:rPr>
      </w:pPr>
      <w:bookmarkStart w:id="327" w:name="_Toc112692650"/>
      <w:bookmarkStart w:id="328" w:name="_Toc112693948"/>
      <w:bookmarkStart w:id="329" w:name="_Toc112694083"/>
      <w:r>
        <w:rPr>
          <w:color w:val="000000" w:themeColor="text1"/>
          <w14:textFill>
            <w14:solidFill>
              <w14:schemeClr w14:val="tx1"/>
            </w14:solidFill>
          </w14:textFill>
        </w:rPr>
        <w:t>运维记录</w:t>
      </w:r>
      <w:bookmarkEnd w:id="327"/>
      <w:bookmarkEnd w:id="328"/>
      <w:bookmarkEnd w:id="329"/>
    </w:p>
    <w:p w14:paraId="556B1655">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（1）运维记录应包括巡检记录、运行记录、维护（养护）记录、运维评估记录、人员培训记录、安全管理记录、投诉反馈记录、重大事故报告及处理结果记录。</w:t>
      </w:r>
    </w:p>
    <w:p w14:paraId="57749E2B">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（2）巡检记录应包括巡查时间、具体位置、巡查内容、非正常情况说明，并有相关人员签名。</w:t>
      </w:r>
    </w:p>
    <w:p w14:paraId="4A900E9D">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（3）运行记录应包括进、出水水量和水质、污泥排放及外运处置数量、工艺控制参数、设备运行情况、物资消耗、交接班情况。</w:t>
      </w:r>
    </w:p>
    <w:p w14:paraId="4B70421D">
      <w:pPr>
        <w:pStyle w:val="52"/>
        <w:rPr>
          <w:color w:val="000000" w:themeColor="text1"/>
          <w14:textFill>
            <w14:solidFill>
              <w14:schemeClr w14:val="tx1"/>
            </w14:solidFill>
          </w14:textFill>
        </w:rPr>
      </w:pPr>
      <w:r>
        <w:rPr>
          <w:color w:val="000000" w:themeColor="text1"/>
          <w14:textFill>
            <w14:solidFill>
              <w14:schemeClr w14:val="tx1"/>
            </w14:solidFill>
          </w14:textFill>
        </w:rPr>
        <w:t>（4）维护（养护）记录应包括设施维护记录、设备维护保养记录、维护耗材记录。</w:t>
      </w:r>
    </w:p>
    <w:p w14:paraId="113C7F86">
      <w:pPr>
        <w:pStyle w:val="52"/>
        <w:rPr>
          <w:color w:val="000000" w:themeColor="text1"/>
          <w14:textFill>
            <w14:solidFill>
              <w14:schemeClr w14:val="tx1"/>
            </w14:solidFill>
          </w14:textFill>
        </w:rPr>
      </w:pPr>
      <w:r>
        <w:rPr>
          <w:color w:val="000000" w:themeColor="text1"/>
          <w14:textFill>
            <w14:solidFill>
              <w14:schemeClr w14:val="tx1"/>
            </w14:solidFill>
          </w14:textFill>
        </w:rPr>
        <w:t>（5）应建立统计报表制度，定期形成统计报表，全面反映设施、设备的情况。</w:t>
      </w:r>
    </w:p>
    <w:p w14:paraId="0D79914E">
      <w:pPr>
        <w:pStyle w:val="52"/>
        <w:rPr>
          <w:color w:val="000000" w:themeColor="text1"/>
          <w14:textFill>
            <w14:solidFill>
              <w14:schemeClr w14:val="tx1"/>
            </w14:solidFill>
          </w14:textFill>
        </w:rPr>
      </w:pPr>
      <w:r>
        <w:rPr>
          <w:color w:val="000000" w:themeColor="text1"/>
          <w14:textFill>
            <w14:solidFill>
              <w14:schemeClr w14:val="tx1"/>
            </w14:solidFill>
          </w14:textFill>
        </w:rPr>
        <w:t>（6）采用自动化运维的处理设施，可采用符合自动化运维特点的记录方式。</w:t>
      </w:r>
    </w:p>
    <w:p w14:paraId="0055A8B8">
      <w:pPr>
        <w:pStyle w:val="52"/>
        <w:rPr>
          <w:color w:val="000000" w:themeColor="text1"/>
          <w14:textFill>
            <w14:solidFill>
              <w14:schemeClr w14:val="tx1"/>
            </w14:solidFill>
          </w14:textFill>
        </w:rPr>
      </w:pPr>
      <w:r>
        <w:rPr>
          <w:color w:val="000000" w:themeColor="text1"/>
          <w14:textFill>
            <w14:solidFill>
              <w14:schemeClr w14:val="tx1"/>
            </w14:solidFill>
          </w14:textFill>
        </w:rPr>
        <w:t>（7）档案管理应规范有序，确保资料完整齐全。</w:t>
      </w:r>
    </w:p>
    <w:p w14:paraId="6100FF40">
      <w:pPr>
        <w:pStyle w:val="52"/>
        <w:rPr>
          <w:color w:val="000000" w:themeColor="text1"/>
          <w14:textFill>
            <w14:solidFill>
              <w14:schemeClr w14:val="tx1"/>
            </w14:solidFill>
          </w14:textFill>
        </w:rPr>
      </w:pPr>
      <w:r>
        <w:rPr>
          <w:color w:val="000000" w:themeColor="text1"/>
          <w14:textFill>
            <w14:solidFill>
              <w14:schemeClr w14:val="tx1"/>
            </w14:solidFill>
          </w14:textFill>
        </w:rPr>
        <w:t>（8）档案包括文书档案、科技档案、会计档案和人事档案等，分别建立行政、财务、物资、生产、安全、环保、水质、基本建设、设备、人事、电子、声像等档案。</w:t>
      </w:r>
    </w:p>
    <w:p w14:paraId="4A59906A">
      <w:pPr>
        <w:pStyle w:val="6"/>
        <w:rPr>
          <w:color w:val="000000" w:themeColor="text1"/>
          <w14:textFill>
            <w14:solidFill>
              <w14:schemeClr w14:val="tx1"/>
            </w14:solidFill>
          </w14:textFill>
        </w:rPr>
      </w:pPr>
      <w:bookmarkStart w:id="330" w:name="_Toc112692651"/>
      <w:bookmarkStart w:id="331" w:name="_Toc112693949"/>
      <w:bookmarkStart w:id="332" w:name="_Toc112694084"/>
      <w:r>
        <w:rPr>
          <w:color w:val="000000" w:themeColor="text1"/>
          <w14:textFill>
            <w14:solidFill>
              <w14:schemeClr w14:val="tx1"/>
            </w14:solidFill>
          </w14:textFill>
        </w:rPr>
        <w:t>运维考核</w:t>
      </w:r>
      <w:bookmarkEnd w:id="330"/>
      <w:bookmarkEnd w:id="331"/>
      <w:bookmarkEnd w:id="332"/>
    </w:p>
    <w:p w14:paraId="2EE76F5B">
      <w:pPr>
        <w:pStyle w:val="52"/>
        <w:rPr>
          <w:color w:val="000000" w:themeColor="text1"/>
          <w:lang w:val="zh-CN"/>
          <w14:textFill>
            <w14:solidFill>
              <w14:schemeClr w14:val="tx1"/>
            </w14:solidFill>
          </w14:textFill>
        </w:rPr>
      </w:pPr>
      <w:r>
        <w:rPr>
          <w:color w:val="000000" w:themeColor="text1"/>
          <w14:textFill>
            <w14:solidFill>
              <w14:schemeClr w14:val="tx1"/>
            </w14:solidFill>
          </w14:textFill>
        </w:rPr>
        <w:t>运维考核内容详见章节7.3制定完善北峰山区乡镇生活污水设施运行维护考核办法。</w:t>
      </w:r>
    </w:p>
    <w:p w14:paraId="5202F9F1">
      <w:pPr>
        <w:pStyle w:val="4"/>
        <w:rPr>
          <w:rFonts w:ascii="Times New Roman" w:hAnsi="Times New Roman" w:eastAsiaTheme="minorEastAsia"/>
          <w:color w:val="000000" w:themeColor="text1"/>
          <w14:textFill>
            <w14:solidFill>
              <w14:schemeClr w14:val="tx1"/>
            </w14:solidFill>
          </w14:textFill>
        </w:rPr>
      </w:pPr>
      <w:bookmarkStart w:id="333" w:name="_Toc112693950"/>
      <w:bookmarkStart w:id="334" w:name="_Toc112694085"/>
      <w:bookmarkStart w:id="335" w:name="_Toc112861056"/>
      <w:r>
        <w:rPr>
          <w:rFonts w:hint="eastAsia" w:ascii="宋体" w:hAnsi="宋体" w:eastAsia="宋体" w:cs="宋体"/>
          <w:color w:val="000000" w:themeColor="text1"/>
          <w14:textFill>
            <w14:solidFill>
              <w14:schemeClr w14:val="tx1"/>
            </w14:solidFill>
          </w14:textFill>
        </w:rPr>
        <w:t>管网运维</w:t>
      </w:r>
      <w:bookmarkEnd w:id="333"/>
      <w:bookmarkEnd w:id="334"/>
      <w:bookmarkEnd w:id="335"/>
    </w:p>
    <w:p w14:paraId="3F75197E">
      <w:pPr>
        <w:pStyle w:val="6"/>
        <w:rPr>
          <w:color w:val="000000" w:themeColor="text1"/>
          <w14:textFill>
            <w14:solidFill>
              <w14:schemeClr w14:val="tx1"/>
            </w14:solidFill>
          </w14:textFill>
        </w:rPr>
      </w:pPr>
      <w:bookmarkStart w:id="336" w:name="_Toc112692653"/>
      <w:bookmarkStart w:id="337" w:name="_Toc112693951"/>
      <w:bookmarkStart w:id="338" w:name="_Toc112694086"/>
      <w:r>
        <w:rPr>
          <w:color w:val="000000" w:themeColor="text1"/>
          <w14:textFill>
            <w14:solidFill>
              <w14:schemeClr w14:val="tx1"/>
            </w14:solidFill>
          </w14:textFill>
        </w:rPr>
        <w:t>总体目标</w:t>
      </w:r>
      <w:bookmarkEnd w:id="336"/>
      <w:bookmarkEnd w:id="337"/>
      <w:bookmarkEnd w:id="338"/>
    </w:p>
    <w:p w14:paraId="30FE4090">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确保污水管道通畅、杜绝污水外溢、检查井、进水井内无淤积物，污水井盖无缺失、无破损、无轧响，雨天少积水和内涝现象，保证各管网性能良好、运行正常、稳定。</w:t>
      </w:r>
    </w:p>
    <w:p w14:paraId="366F1D29">
      <w:pPr>
        <w:pStyle w:val="6"/>
        <w:rPr>
          <w:color w:val="000000" w:themeColor="text1"/>
          <w14:textFill>
            <w14:solidFill>
              <w14:schemeClr w14:val="tx1"/>
            </w14:solidFill>
          </w14:textFill>
        </w:rPr>
      </w:pPr>
      <w:bookmarkStart w:id="339" w:name="_Toc112692654"/>
      <w:bookmarkStart w:id="340" w:name="_Toc112693952"/>
      <w:bookmarkStart w:id="341" w:name="_Toc112694087"/>
      <w:r>
        <w:rPr>
          <w:color w:val="000000" w:themeColor="text1"/>
          <w14:textFill>
            <w14:solidFill>
              <w14:schemeClr w14:val="tx1"/>
            </w14:solidFill>
          </w14:textFill>
        </w:rPr>
        <w:t>污水管网维护工作内容</w:t>
      </w:r>
      <w:bookmarkEnd w:id="339"/>
      <w:bookmarkEnd w:id="340"/>
      <w:bookmarkEnd w:id="341"/>
    </w:p>
    <w:p w14:paraId="16977DB5">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污水管网维护的主要工作内容包括：各路段污水管道、检查井、污水泵站等进行日常检修巡查；日常维护、零星修缮和应急维护处理等。</w:t>
      </w:r>
    </w:p>
    <w:p w14:paraId="71A97FA4">
      <w:pPr>
        <w:pStyle w:val="7"/>
        <w:rPr>
          <w:color w:val="000000" w:themeColor="text1"/>
          <w14:textFill>
            <w14:solidFill>
              <w14:schemeClr w14:val="tx1"/>
            </w14:solidFill>
          </w14:textFill>
        </w:rPr>
      </w:pPr>
      <w:r>
        <w:rPr>
          <w:color w:val="000000" w:themeColor="text1"/>
          <w14:textFill>
            <w14:solidFill>
              <w14:schemeClr w14:val="tx1"/>
            </w14:solidFill>
          </w14:textFill>
        </w:rPr>
        <w:t>日常检修巡查</w:t>
      </w:r>
    </w:p>
    <w:p w14:paraId="62182AEE">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巡查管道有无乱开挖现象，如有应及时查看开挖单位是否具有审批手续，如无，应立即制止其开挖行为；</w:t>
      </w:r>
    </w:p>
    <w:p w14:paraId="55F14CEB">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巡查管道有无乱接管现象，如有，则应立即制止；</w:t>
      </w:r>
    </w:p>
    <w:p w14:paraId="466C202A">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巡查市政道路周边用户或工地有无乱排水现象，如有，则应立即制止；</w:t>
      </w:r>
    </w:p>
    <w:p w14:paraId="17D6EECF">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定期检查污水井盖有无摔坏、缺失，井座有无凸起或沉降，如有，则应立即上报管委会，并进行相应的处理；</w:t>
      </w:r>
    </w:p>
    <w:p w14:paraId="547B9D85">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w:t>
      </w:r>
      <w:r>
        <w:rPr>
          <w:color w:val="000000" w:themeColor="text1"/>
          <w14:textFill>
            <w14:solidFill>
              <w14:schemeClr w14:val="tx1"/>
            </w14:solidFill>
          </w14:textFill>
        </w:rPr>
        <w:t>检查路面是否有污水外溢现象，如有，应及时排查，并进行处理；</w:t>
      </w:r>
    </w:p>
    <w:p w14:paraId="1225B60F">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⑥</w:t>
      </w:r>
      <w:r>
        <w:rPr>
          <w:color w:val="000000" w:themeColor="text1"/>
          <w14:textFill>
            <w14:solidFill>
              <w14:schemeClr w14:val="tx1"/>
            </w14:solidFill>
          </w14:textFill>
        </w:rPr>
        <w:t>检查管道是否有堵塞、渗漏现象，如有，应立即设置警示标志，按操作规范立即进行处理，同时上报管委会。若经简单疏通处理后仍未能解决问题，则需进行污水管网的清淤疏通施工流程或修缮程序；</w:t>
      </w:r>
    </w:p>
    <w:p w14:paraId="76EEF579">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⑦</w:t>
      </w:r>
      <w:r>
        <w:rPr>
          <w:color w:val="000000" w:themeColor="text1"/>
          <w14:textFill>
            <w14:solidFill>
              <w14:schemeClr w14:val="tx1"/>
            </w14:solidFill>
          </w14:textFill>
        </w:rPr>
        <w:t>定期巡查泵站,对格栅区栅渣进行定期清理,并对泵站内的水泵进行检修与保养；及时排除水泵跳闸停转等故障现象；</w:t>
      </w:r>
    </w:p>
    <w:p w14:paraId="2645A833">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⑧</w:t>
      </w:r>
      <w:r>
        <w:rPr>
          <w:color w:val="000000" w:themeColor="text1"/>
          <w14:textFill>
            <w14:solidFill>
              <w14:schemeClr w14:val="tx1"/>
            </w14:solidFill>
          </w14:textFill>
        </w:rPr>
        <w:t>巡查倒虹井，定期检查倒虹管段是否有堵塞或污水外溢，及时对堵塞的管道进行清淤处理；</w:t>
      </w:r>
    </w:p>
    <w:p w14:paraId="5E2F72B3">
      <w:pPr>
        <w:pStyle w:val="52"/>
        <w:rPr>
          <w:color w:val="000000" w:themeColor="text1"/>
          <w14:textFill>
            <w14:solidFill>
              <w14:schemeClr w14:val="tx1"/>
            </w14:solidFill>
          </w14:textFill>
        </w:rPr>
      </w:pPr>
      <w:r>
        <w:rPr>
          <w:color w:val="000000" w:themeColor="text1"/>
          <w14:textFill>
            <w14:solidFill>
              <w14:schemeClr w14:val="tx1"/>
            </w14:solidFill>
          </w14:textFill>
        </w:rPr>
        <w:t>实施巡查以人工巡查为主、车辆巡查为辅的模式进行，巡视频率每天早晚各一次，巡视人员就其巡视片区内污水流量（污水占管道截面高度）、污水颜色、检查井及井盖完好情况做好记录并上报公司;同时对于主要道路及污水量较大的污水管道采用车辆实时巡视。</w:t>
      </w:r>
    </w:p>
    <w:p w14:paraId="475F0E7C">
      <w:pPr>
        <w:pStyle w:val="52"/>
        <w:rPr>
          <w:color w:val="000000" w:themeColor="text1"/>
          <w14:textFill>
            <w14:solidFill>
              <w14:schemeClr w14:val="tx1"/>
            </w14:solidFill>
          </w14:textFill>
        </w:rPr>
      </w:pPr>
      <w:r>
        <w:rPr>
          <w:color w:val="000000" w:themeColor="text1"/>
          <w14:textFill>
            <w14:solidFill>
              <w14:schemeClr w14:val="tx1"/>
            </w14:solidFill>
          </w14:textFill>
        </w:rPr>
        <w:t>除了日常的巡查以外，运维单位还应进行季度普查，即一年四季每季度有计划地进行一次全面管网设施普查，使用仪器设备，打开检查井或进入管道内部进行查看，对管道功能性及结构性进行检查，内容包括积泥、裂缝、变形、错口、脱节、渗漏等情况。通过普查更新服务范围污水管网的基础情况信息，得出排水管网完好率，用以指导下季度维修计划制定。</w:t>
      </w:r>
    </w:p>
    <w:p w14:paraId="4B4B5996">
      <w:pPr>
        <w:pStyle w:val="52"/>
        <w:rPr>
          <w:color w:val="000000" w:themeColor="text1"/>
          <w14:textFill>
            <w14:solidFill>
              <w14:schemeClr w14:val="tx1"/>
            </w14:solidFill>
          </w14:textFill>
        </w:rPr>
      </w:pPr>
      <w:r>
        <w:rPr>
          <w:color w:val="000000" w:themeColor="text1"/>
          <w14:textFill>
            <w14:solidFill>
              <w14:schemeClr w14:val="tx1"/>
            </w14:solidFill>
          </w14:textFill>
        </w:rPr>
        <w:t>针对季度普查得到的信息，应组织季度维修，对季度普查出的问题管网设施，日常养护无法完成的，积淤厚且长的管线、检查井进行人工清淤和管道冲洗;渗漏、错口、变形、脱节管道的修补，视管径粗细、管道材质等情况，根据实际情况采用合适有效的办法进行修复，采用人工修复如焊接、浇筑混凝土封；或机械修复如机械喷涂防水防渗漏涂料等。</w:t>
      </w:r>
    </w:p>
    <w:p w14:paraId="0EF093D3">
      <w:pPr>
        <w:pStyle w:val="52"/>
        <w:rPr>
          <w:color w:val="000000" w:themeColor="text1"/>
          <w14:textFill>
            <w14:solidFill>
              <w14:schemeClr w14:val="tx1"/>
            </w14:solidFill>
          </w14:textFill>
        </w:rPr>
      </w:pPr>
      <w:r>
        <w:rPr>
          <w:color w:val="000000" w:themeColor="text1"/>
          <w14:textFill>
            <w14:solidFill>
              <w14:schemeClr w14:val="tx1"/>
            </w14:solidFill>
          </w14:textFill>
        </w:rPr>
        <w:t>此外，每隔3年，运维单位应对全范围污水管网进行一次CCTV检测，以便对各片区污水管网的健康状况有整体评估，以便指导下一个年度的污水管网维护工作。</w:t>
      </w:r>
    </w:p>
    <w:p w14:paraId="34B0C48D">
      <w:pPr>
        <w:pStyle w:val="7"/>
        <w:rPr>
          <w:color w:val="000000" w:themeColor="text1"/>
          <w14:textFill>
            <w14:solidFill>
              <w14:schemeClr w14:val="tx1"/>
            </w14:solidFill>
          </w14:textFill>
        </w:rPr>
      </w:pPr>
      <w:r>
        <w:rPr>
          <w:color w:val="000000" w:themeColor="text1"/>
          <w14:textFill>
            <w14:solidFill>
              <w14:schemeClr w14:val="tx1"/>
            </w14:solidFill>
          </w14:textFill>
        </w:rPr>
        <w:t>零星修缮</w:t>
      </w:r>
    </w:p>
    <w:p w14:paraId="1CF32857">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对堵塞、破损的排水设施、污水管道及检查井进行疏通、清淤及修复，确保设施完好、管道通畅；</w:t>
      </w:r>
    </w:p>
    <w:p w14:paraId="430DC723">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按照下井、清淤方案及规范作业，确保安全、质量；</w:t>
      </w:r>
    </w:p>
    <w:p w14:paraId="2A708B54">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人员、设备及进度安排合理、紧凑，确保达到进度要求；</w:t>
      </w:r>
    </w:p>
    <w:p w14:paraId="499E9C09">
      <w:pPr>
        <w:pStyle w:val="52"/>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文明施工，确保达到文明作业要求，避免收到市民投诉。</w:t>
      </w:r>
    </w:p>
    <w:p w14:paraId="34B9D2C7">
      <w:pPr>
        <w:pStyle w:val="7"/>
        <w:rPr>
          <w:color w:val="000000" w:themeColor="text1"/>
          <w14:textFill>
            <w14:solidFill>
              <w14:schemeClr w14:val="tx1"/>
            </w14:solidFill>
          </w14:textFill>
        </w:rPr>
      </w:pPr>
      <w:r>
        <w:rPr>
          <w:color w:val="000000" w:themeColor="text1"/>
          <w14:textFill>
            <w14:solidFill>
              <w14:schemeClr w14:val="tx1"/>
            </w14:solidFill>
          </w14:textFill>
        </w:rPr>
        <w:t>事故应急维护处理</w:t>
      </w:r>
    </w:p>
    <w:p w14:paraId="3C129A24">
      <w:pPr>
        <w:pStyle w:val="52"/>
        <w:rPr>
          <w:color w:val="000000" w:themeColor="text1"/>
          <w14:textFill>
            <w14:solidFill>
              <w14:schemeClr w14:val="tx1"/>
            </w14:solidFill>
          </w14:textFill>
        </w:rPr>
      </w:pPr>
      <w:r>
        <w:rPr>
          <w:color w:val="000000" w:themeColor="text1"/>
          <w14:textFill>
            <w14:solidFill>
              <w14:schemeClr w14:val="tx1"/>
            </w14:solidFill>
          </w14:textFill>
        </w:rPr>
        <w:t>若有突发事故造成污水管道爆炸、破损等，应立即启动应急响应预案，并第一时间上报管委会相关负责人，成立专项领导小组，统筹指导污水管网事故应急处理全过程。工作内容包括但不限于周边人员的安全疏散、事故排放废水的应急收集、储存与后期处理、事故现场冲洗废水的收集、储存与后期处理、对破损的污水管道的修复。</w:t>
      </w:r>
    </w:p>
    <w:p w14:paraId="0E9823FF">
      <w:pPr>
        <w:pStyle w:val="6"/>
        <w:rPr>
          <w:color w:val="000000" w:themeColor="text1"/>
          <w14:textFill>
            <w14:solidFill>
              <w14:schemeClr w14:val="tx1"/>
            </w14:solidFill>
          </w14:textFill>
        </w:rPr>
      </w:pPr>
      <w:bookmarkStart w:id="342" w:name="_Toc112692655"/>
      <w:bookmarkStart w:id="343" w:name="_Toc112693953"/>
      <w:bookmarkStart w:id="344" w:name="_Toc112694088"/>
      <w:r>
        <w:rPr>
          <w:color w:val="000000" w:themeColor="text1"/>
          <w14:textFill>
            <w14:solidFill>
              <w14:schemeClr w14:val="tx1"/>
            </w14:solidFill>
          </w14:textFill>
        </w:rPr>
        <w:t>日常巡检要求</w:t>
      </w:r>
      <w:bookmarkEnd w:id="342"/>
      <w:bookmarkEnd w:id="343"/>
      <w:bookmarkEnd w:id="344"/>
    </w:p>
    <w:p w14:paraId="570BDB9B">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①</w:t>
      </w:r>
      <w:r>
        <w:rPr>
          <w:color w:val="000000" w:themeColor="text1"/>
          <w:lang w:val="zh-CN"/>
          <w14:textFill>
            <w14:solidFill>
              <w14:schemeClr w14:val="tx1"/>
            </w14:solidFill>
          </w14:textFill>
        </w:rPr>
        <w:t>制定日常巡查管理机制，在日常巡查中要做好养护记录，每周向主管单位上报一次；</w:t>
      </w:r>
    </w:p>
    <w:p w14:paraId="73F7B909">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②</w:t>
      </w:r>
      <w:r>
        <w:rPr>
          <w:color w:val="000000" w:themeColor="text1"/>
          <w:lang w:val="zh-CN"/>
          <w14:textFill>
            <w14:solidFill>
              <w14:schemeClr w14:val="tx1"/>
            </w14:solidFill>
          </w14:textFill>
        </w:rPr>
        <w:t>每日安排固定人员（含装备）在固定时间段沿固定的路线进行巡查，日常巡查人员数量根据片区需要合理确定。巡查人员统一着装，言行举止规范；</w:t>
      </w:r>
    </w:p>
    <w:p w14:paraId="65F4EB8F">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③</w:t>
      </w:r>
      <w:r>
        <w:rPr>
          <w:color w:val="000000" w:themeColor="text1"/>
          <w:lang w:val="zh-CN"/>
          <w14:textFill>
            <w14:solidFill>
              <w14:schemeClr w14:val="tx1"/>
            </w14:solidFill>
          </w14:textFill>
        </w:rPr>
        <w:t>为保证巡查质量，巡查工具为GPS巡逻车，每个片区至少配备一部工具车用于巡查，巡查工具要求标识清晰；</w:t>
      </w:r>
    </w:p>
    <w:p w14:paraId="59EF36D8">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④</w:t>
      </w:r>
      <w:r>
        <w:rPr>
          <w:color w:val="000000" w:themeColor="text1"/>
          <w:lang w:val="zh-CN"/>
          <w14:textFill>
            <w14:solidFill>
              <w14:schemeClr w14:val="tx1"/>
            </w14:solidFill>
          </w14:textFill>
        </w:rPr>
        <w:t>巡查范围包括乡镇镇区范围内的各污水管道、检查井，做好巡查记录并详细填写巡检记录单，巡检记录单内容至少包括各污水管道、检查井、泵站及巡查负责人信息、每日巡查情况描述、负责人签字确认等。恶劣天气或特殊情况，第三方运维机构应及时增加巡检次数，确保管道畅通；</w:t>
      </w:r>
    </w:p>
    <w:p w14:paraId="17A65875">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⑤</w:t>
      </w:r>
      <w:r>
        <w:rPr>
          <w:color w:val="000000" w:themeColor="text1"/>
          <w:lang w:val="zh-CN"/>
          <w14:textFill>
            <w14:solidFill>
              <w14:schemeClr w14:val="tx1"/>
            </w14:solidFill>
          </w14:textFill>
        </w:rPr>
        <w:t>主管单位需制定日常检查计划并不定期进行抽查。如发现有不符合考核标准情况的，计入月考核成绩中；</w:t>
      </w:r>
    </w:p>
    <w:p w14:paraId="721C1C25">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⑥</w:t>
      </w:r>
      <w:r>
        <w:rPr>
          <w:color w:val="000000" w:themeColor="text1"/>
          <w:lang w:val="zh-CN"/>
          <w14:textFill>
            <w14:solidFill>
              <w14:schemeClr w14:val="tx1"/>
            </w14:solidFill>
          </w14:textFill>
        </w:rPr>
        <w:t>因第三方运维单位日常巡视或检修不到位，收到市民反馈或举报经查实的或造成安全事故的，责任由第三方运维单位自行承担，并将该事件另计入月度考核中。造成重大安全责任事故的，扣除当月巡视费用，并保留追究其赔偿责任和法律责任的权利。</w:t>
      </w:r>
    </w:p>
    <w:p w14:paraId="07EF2310">
      <w:pPr>
        <w:pStyle w:val="6"/>
        <w:rPr>
          <w:color w:val="000000" w:themeColor="text1"/>
          <w14:textFill>
            <w14:solidFill>
              <w14:schemeClr w14:val="tx1"/>
            </w14:solidFill>
          </w14:textFill>
        </w:rPr>
      </w:pPr>
      <w:bookmarkStart w:id="345" w:name="_Toc112692656"/>
      <w:bookmarkStart w:id="346" w:name="_Toc112693954"/>
      <w:bookmarkStart w:id="347" w:name="_Toc112694089"/>
      <w:r>
        <w:rPr>
          <w:color w:val="000000" w:themeColor="text1"/>
          <w14:textFill>
            <w14:solidFill>
              <w14:schemeClr w14:val="tx1"/>
            </w14:solidFill>
          </w14:textFill>
        </w:rPr>
        <w:t>管网零星修缮要求</w:t>
      </w:r>
      <w:bookmarkEnd w:id="345"/>
      <w:bookmarkEnd w:id="346"/>
      <w:bookmarkEnd w:id="347"/>
    </w:p>
    <w:p w14:paraId="5A122462">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①</w:t>
      </w:r>
      <w:r>
        <w:rPr>
          <w:color w:val="000000" w:themeColor="text1"/>
          <w:lang w:val="zh-CN"/>
          <w14:textFill>
            <w14:solidFill>
              <w14:schemeClr w14:val="tx1"/>
            </w14:solidFill>
          </w14:textFill>
        </w:rPr>
        <w:t>进入施工现场后，避开路口先在两头设置警示牌，沿线摆放警示桩，用小彩旗连接各警示桩，然后将施工现场做好安全防护，并由专人看管疏导交通；</w:t>
      </w:r>
    </w:p>
    <w:p w14:paraId="7712E04C">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②</w:t>
      </w:r>
      <w:r>
        <w:rPr>
          <w:color w:val="000000" w:themeColor="text1"/>
          <w:lang w:val="zh-CN"/>
          <w14:textFill>
            <w14:solidFill>
              <w14:schemeClr w14:val="tx1"/>
            </w14:solidFill>
          </w14:textFill>
        </w:rPr>
        <w:t>打开井盖、通风：施工人员进入检查井前，井室内必需使大气中的氧气进入检查井中或用鼓风机进行换气通风，测量井室内氧气的含量，施工人员进入井内必需佩戴安全带、防毒面具及氧气罐；</w:t>
      </w:r>
    </w:p>
    <w:p w14:paraId="3A5CC2A4">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③</w:t>
      </w:r>
      <w:r>
        <w:rPr>
          <w:color w:val="000000" w:themeColor="text1"/>
          <w:lang w:val="zh-CN"/>
          <w14:textFill>
            <w14:solidFill>
              <w14:schemeClr w14:val="tx1"/>
            </w14:solidFill>
          </w14:textFill>
        </w:rPr>
        <w:t>封堵、截污：设置堵口将自上而下的第一个工作段处用封堵把井室进水管道口堵死,然后将下游检查井出水口和其他管线通口堵死,只留下该段管道的进水口和出水口；</w:t>
      </w:r>
    </w:p>
    <w:p w14:paraId="158D1B8A">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④</w:t>
      </w:r>
      <w:r>
        <w:rPr>
          <w:color w:val="000000" w:themeColor="text1"/>
          <w:lang w:val="zh-CN"/>
          <w14:textFill>
            <w14:solidFill>
              <w14:schemeClr w14:val="tx1"/>
            </w14:solidFill>
          </w14:textFill>
        </w:rPr>
        <w:t>降水、排水：使用潜水泵将检查井内污水排出至露出井底淤泥。将需要疏通的管线进行分段，分段的办法根据管径与长度分配，相同管径两检查井之间为一段（要严格实施雨污分流，污水抽入污水系统，雨水抽入雨水系统，不得混淆）。</w:t>
      </w:r>
    </w:p>
    <w:p w14:paraId="41D2EDBF">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⑤</w:t>
      </w:r>
      <w:r>
        <w:rPr>
          <w:color w:val="000000" w:themeColor="text1"/>
          <w:lang w:val="zh-CN"/>
          <w14:textFill>
            <w14:solidFill>
              <w14:schemeClr w14:val="tx1"/>
            </w14:solidFill>
          </w14:textFill>
        </w:rPr>
        <w:t>清淤：用稀释淤泥、吸污、高压清洗车疏通等方式进行清理，在下井施工前对施工人员安全措施安排完毕后，对检查井内剩余的砖、石、部分淤泥等残留物进行人工清理，直到清理完毕为止。</w:t>
      </w:r>
    </w:p>
    <w:p w14:paraId="451D514F">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⑥</w:t>
      </w:r>
      <w:r>
        <w:rPr>
          <w:color w:val="000000" w:themeColor="text1"/>
          <w:lang w:val="zh-CN"/>
          <w14:textFill>
            <w14:solidFill>
              <w14:schemeClr w14:val="tx1"/>
            </w14:solidFill>
          </w14:textFill>
        </w:rPr>
        <w:t>清淤检查：下游污水检查井逐个进行清淤，在施工清淤期间对上游首先清理的检查井进行封堵，以防上游的淤泥流入管道或下游施工期间对管道进行充水时流入上游检查井和管道中。</w:t>
      </w:r>
    </w:p>
    <w:p w14:paraId="0D47AA03">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⑦</w:t>
      </w:r>
      <w:r>
        <w:rPr>
          <w:color w:val="000000" w:themeColor="text1"/>
          <w:lang w:val="zh-CN"/>
          <w14:textFill>
            <w14:solidFill>
              <w14:schemeClr w14:val="tx1"/>
            </w14:solidFill>
          </w14:textFill>
        </w:rPr>
        <w:t>淤泥外运：完工验收前将开挖可利用或废弃的土方、淤泥运至规范的淤泥堆放点或采购人制定的堆放区域，并加以保护、处理，不得随意堆放或沿途滴撒漏造成二次污染。</w:t>
      </w:r>
    </w:p>
    <w:p w14:paraId="710AA1F0">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⑧</w:t>
      </w:r>
      <w:r>
        <w:rPr>
          <w:color w:val="000000" w:themeColor="text1"/>
          <w:lang w:val="zh-CN"/>
          <w14:textFill>
            <w14:solidFill>
              <w14:schemeClr w14:val="tx1"/>
            </w14:solidFill>
          </w14:textFill>
        </w:rPr>
        <w:t>管道疏通、清淤、填埋及修复等操作均应符合《排水管道维护安全技术规程》(CJJ6-2009)等现行相关规定，对工程量原始数据进行测量、记录，经管委会相关负责人复查、签证确认；清淤、修缮人员应有专业人员担任，不得与巡查人员混用。</w:t>
      </w:r>
    </w:p>
    <w:p w14:paraId="2B679013">
      <w:pPr>
        <w:pStyle w:val="6"/>
        <w:rPr>
          <w:color w:val="000000" w:themeColor="text1"/>
          <w14:textFill>
            <w14:solidFill>
              <w14:schemeClr w14:val="tx1"/>
            </w14:solidFill>
          </w14:textFill>
        </w:rPr>
      </w:pPr>
      <w:bookmarkStart w:id="348" w:name="_Toc112692657"/>
      <w:bookmarkStart w:id="349" w:name="_Toc112693955"/>
      <w:bookmarkStart w:id="350" w:name="_Toc112694090"/>
      <w:r>
        <w:rPr>
          <w:color w:val="000000" w:themeColor="text1"/>
          <w14:textFill>
            <w14:solidFill>
              <w14:schemeClr w14:val="tx1"/>
            </w14:solidFill>
          </w14:textFill>
        </w:rPr>
        <w:t>工程质量保证措施</w:t>
      </w:r>
      <w:bookmarkEnd w:id="348"/>
      <w:bookmarkEnd w:id="349"/>
      <w:bookmarkEnd w:id="350"/>
    </w:p>
    <w:p w14:paraId="2D8DAC9F">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①</w:t>
      </w:r>
      <w:r>
        <w:rPr>
          <w:color w:val="000000" w:themeColor="text1"/>
          <w:lang w:val="zh-CN"/>
          <w14:textFill>
            <w14:solidFill>
              <w14:schemeClr w14:val="tx1"/>
            </w14:solidFill>
          </w14:textFill>
        </w:rPr>
        <w:t>组织措施</w:t>
      </w:r>
    </w:p>
    <w:p w14:paraId="16F494A4">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第三方运维机构需设有专职质检工程师对整个工程进行全方位施工质量检查，施工时坚持自检、互检、交接检制度，使工程质量在施工全过程都处于受控状态之中。同时用检测控制工序，让工序控制过程，靠过程控制整体。管道分段上报管委会及监理进行验收，合格后进入下道工序施工。从施工每一道工序，每一个细节入手，全过程的跟踪检测，以确保工程质量。</w:t>
      </w:r>
    </w:p>
    <w:p w14:paraId="451C7BEA">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②</w:t>
      </w:r>
      <w:r>
        <w:rPr>
          <w:color w:val="000000" w:themeColor="text1"/>
          <w:lang w:val="zh-CN"/>
          <w14:textFill>
            <w14:solidFill>
              <w14:schemeClr w14:val="tx1"/>
            </w14:solidFill>
          </w14:textFill>
        </w:rPr>
        <w:t>管理措施</w:t>
      </w:r>
    </w:p>
    <w:p w14:paraId="3EA65528">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A.严格质量标准</w:t>
      </w:r>
    </w:p>
    <w:p w14:paraId="7E814FEA">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工程严格实施标准化作业，做到全部工序有标准，有检查，并把新技术、新工艺、新方法，运用到各项施工生产中去，切实保证标准化的作业质量。对于不合格工程要坚决推倒重来，决不遗留隐患、后患。</w:t>
      </w:r>
    </w:p>
    <w:p w14:paraId="5ED94B58">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B.严格执行签证制度</w:t>
      </w:r>
    </w:p>
    <w:p w14:paraId="34C4AE3C">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严格执行监理工程师签证制度，上一道工序没有通过，下一道工序不得进行。</w:t>
      </w:r>
    </w:p>
    <w:p w14:paraId="18B1F46A">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③</w:t>
      </w:r>
      <w:r>
        <w:rPr>
          <w:color w:val="000000" w:themeColor="text1"/>
          <w:lang w:val="zh-CN"/>
          <w14:textFill>
            <w14:solidFill>
              <w14:schemeClr w14:val="tx1"/>
            </w14:solidFill>
          </w14:textFill>
        </w:rPr>
        <w:t>安全保证措施</w:t>
      </w:r>
    </w:p>
    <w:p w14:paraId="5FEA6A6E">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A.施工安全管理措施</w:t>
      </w:r>
    </w:p>
    <w:p w14:paraId="1688051B">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a.进场前应熟悉现场外围的环境，对作业进行安全培训，未受教育者，管委会有权拒绝其上岗。</w:t>
      </w:r>
    </w:p>
    <w:p w14:paraId="57353018">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b.清洗车周围应设置围挡，路人不得靠近。</w:t>
      </w:r>
    </w:p>
    <w:p w14:paraId="56A93908">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c.施工时，按规定设置警示灯，夜间采用照明车，确保车辆、行人安全。并设专职安全员加强夜间巡查，确保施工安全。</w:t>
      </w:r>
    </w:p>
    <w:p w14:paraId="67BADE78">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B.防护安全管理措施</w:t>
      </w:r>
    </w:p>
    <w:p w14:paraId="7F8F4897">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a.养护人员作业时，必须穿着标志服、戴安全帽、增强防毒意识，按规定穿戴好劳动防护用具;养护作业现场，应设置安全警示标志和指示标志，养护材料堆放整齐，工程完工后及时清理现场不得妨碍交通，养护机具操作要严格执行安全操作规定，确保安全生产。现场作业人员和机械操作手严禁酒后上岗，电工、驾驶员上岗严格遵照有关规定进行作业。</w:t>
      </w:r>
    </w:p>
    <w:p w14:paraId="17233CB1">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b.安全员深入施工现场监督检查，发生问题尽快解决。</w:t>
      </w:r>
    </w:p>
    <w:p w14:paraId="0F00B977">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c.加强安全教育，提高施工人员的安全意识，自我防范意识、培养安全生产所必须具备的操作技能。</w:t>
      </w:r>
    </w:p>
    <w:p w14:paraId="594BE869">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C.施工现场文明施工措施</w:t>
      </w:r>
    </w:p>
    <w:p w14:paraId="099F15EC">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a.在工程起点处设置统一样式的施工标牌，并保持整洁完好。</w:t>
      </w:r>
    </w:p>
    <w:p w14:paraId="5BEFD5A4">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b.现场及时清理，淤泥外运做到工完、场地清，保持施工现场的整洁干净。</w:t>
      </w:r>
    </w:p>
    <w:p w14:paraId="2F5BB988">
      <w:pPr>
        <w:pStyle w:val="6"/>
        <w:rPr>
          <w:color w:val="000000" w:themeColor="text1"/>
          <w14:textFill>
            <w14:solidFill>
              <w14:schemeClr w14:val="tx1"/>
            </w14:solidFill>
          </w14:textFill>
        </w:rPr>
      </w:pPr>
      <w:bookmarkStart w:id="351" w:name="_Toc112692658"/>
      <w:bookmarkStart w:id="352" w:name="_Toc112693956"/>
      <w:bookmarkStart w:id="353" w:name="_Toc112694091"/>
      <w:r>
        <w:rPr>
          <w:color w:val="000000" w:themeColor="text1"/>
          <w14:textFill>
            <w14:solidFill>
              <w14:schemeClr w14:val="tx1"/>
            </w14:solidFill>
          </w14:textFill>
        </w:rPr>
        <w:t>管网维护内业资料管理</w:t>
      </w:r>
      <w:bookmarkEnd w:id="351"/>
      <w:bookmarkEnd w:id="352"/>
      <w:bookmarkEnd w:id="353"/>
    </w:p>
    <w:p w14:paraId="559B368D">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①</w:t>
      </w:r>
      <w:r>
        <w:rPr>
          <w:color w:val="000000" w:themeColor="text1"/>
          <w:lang w:val="zh-CN"/>
          <w14:textFill>
            <w14:solidFill>
              <w14:schemeClr w14:val="tx1"/>
            </w14:solidFill>
          </w14:textFill>
        </w:rPr>
        <w:t>妥善保管各种图纸、说明书和有关资料，集中存放，由专人定期整理。</w:t>
      </w:r>
    </w:p>
    <w:p w14:paraId="4F1F9D49">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②</w:t>
      </w:r>
      <w:r>
        <w:rPr>
          <w:color w:val="000000" w:themeColor="text1"/>
          <w:lang w:val="zh-CN"/>
          <w14:textFill>
            <w14:solidFill>
              <w14:schemeClr w14:val="tx1"/>
            </w14:solidFill>
          </w14:textFill>
        </w:rPr>
        <w:t>建立管道定期巡查记录表及养护日志，并妥善保存。</w:t>
      </w:r>
    </w:p>
    <w:p w14:paraId="711256D6">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③</w:t>
      </w:r>
      <w:r>
        <w:rPr>
          <w:color w:val="000000" w:themeColor="text1"/>
          <w:lang w:val="zh-CN"/>
          <w14:textFill>
            <w14:solidFill>
              <w14:schemeClr w14:val="tx1"/>
            </w14:solidFill>
          </w14:textFill>
        </w:rPr>
        <w:t>各种记录在当天工作完成后要及时整理。施工日记、巡查记录和派工单等要装订成册，标识明确。</w:t>
      </w:r>
    </w:p>
    <w:p w14:paraId="6550D928">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④</w:t>
      </w:r>
      <w:r>
        <w:rPr>
          <w:color w:val="000000" w:themeColor="text1"/>
          <w:lang w:val="zh-CN"/>
          <w14:textFill>
            <w14:solidFill>
              <w14:schemeClr w14:val="tx1"/>
            </w14:solidFill>
          </w14:textFill>
        </w:rPr>
        <w:t>各种养护报表、值班记录，要妥善保存。对于管道零星修缮等内容，要做好施工方案等技术方面资料的收集、归档工作。</w:t>
      </w:r>
    </w:p>
    <w:p w14:paraId="443887BB">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⑤</w:t>
      </w:r>
      <w:r>
        <w:rPr>
          <w:color w:val="000000" w:themeColor="text1"/>
          <w:lang w:val="zh-CN"/>
          <w14:textFill>
            <w14:solidFill>
              <w14:schemeClr w14:val="tx1"/>
            </w14:solidFill>
          </w14:textFill>
        </w:rPr>
        <w:t>养护人员应相对固定，认真填写养护日志，并做到养护人员在故障突发时随叫随到。</w:t>
      </w:r>
    </w:p>
    <w:p w14:paraId="0411D6D2">
      <w:pPr>
        <w:pStyle w:val="6"/>
        <w:rPr>
          <w:color w:val="000000" w:themeColor="text1"/>
          <w14:textFill>
            <w14:solidFill>
              <w14:schemeClr w14:val="tx1"/>
            </w14:solidFill>
          </w14:textFill>
        </w:rPr>
      </w:pPr>
      <w:bookmarkStart w:id="354" w:name="_Toc112692659"/>
      <w:bookmarkStart w:id="355" w:name="_Toc112693957"/>
      <w:bookmarkStart w:id="356" w:name="_Toc112694092"/>
      <w:r>
        <w:rPr>
          <w:color w:val="000000" w:themeColor="text1"/>
          <w14:textFill>
            <w14:solidFill>
              <w14:schemeClr w14:val="tx1"/>
            </w14:solidFill>
          </w14:textFill>
        </w:rPr>
        <w:t>应急维护处理制度</w:t>
      </w:r>
      <w:bookmarkEnd w:id="354"/>
      <w:bookmarkEnd w:id="355"/>
      <w:bookmarkEnd w:id="356"/>
    </w:p>
    <w:p w14:paraId="2DDB57C1">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第三方运维单位需制定具有可操作性的应急处理措施方案。方案内容应包括但不限于一般性突发应急问题处理、质量管理措施、效率保证措施、安全管理措施。</w:t>
      </w:r>
    </w:p>
    <w:p w14:paraId="13A2C5AE">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①</w:t>
      </w:r>
      <w:r>
        <w:rPr>
          <w:color w:val="000000" w:themeColor="text1"/>
          <w:lang w:val="zh-CN"/>
          <w14:textFill>
            <w14:solidFill>
              <w14:schemeClr w14:val="tx1"/>
            </w14:solidFill>
          </w14:textFill>
        </w:rPr>
        <w:t>响应时间及派工流程</w:t>
      </w:r>
    </w:p>
    <w:p w14:paraId="19422A8E">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A.可预见：发现（或接到通知）</w:t>
      </w:r>
      <w:r>
        <w:rPr>
          <w:color w:val="000000" w:themeColor="text1"/>
          <w14:textFill>
            <w14:solidFill>
              <w14:schemeClr w14:val="tx1"/>
            </w14:solidFill>
          </w14:textFill>
        </w:rPr>
        <w:t>—</w:t>
      </w:r>
      <w:r>
        <w:rPr>
          <w:color w:val="000000" w:themeColor="text1"/>
          <w:lang w:val="zh-CN"/>
          <w14:textFill>
            <w14:solidFill>
              <w14:schemeClr w14:val="tx1"/>
            </w14:solidFill>
          </w14:textFill>
        </w:rPr>
        <w:t>立即响应并将具体情况电话告知主管单位管理人员</w:t>
      </w:r>
      <w:r>
        <w:rPr>
          <w:color w:val="000000" w:themeColor="text1"/>
          <w14:textFill>
            <w14:solidFill>
              <w14:schemeClr w14:val="tx1"/>
            </w14:solidFill>
          </w14:textFill>
        </w:rPr>
        <w:t>—</w:t>
      </w:r>
      <w:r>
        <w:rPr>
          <w:color w:val="000000" w:themeColor="text1"/>
          <w:lang w:val="zh-CN"/>
          <w14:textFill>
            <w14:solidFill>
              <w14:schemeClr w14:val="tx1"/>
            </w14:solidFill>
          </w14:textFill>
        </w:rPr>
        <w:t>紧急情况发生时20分钟内应到达现场进行初步围封处理</w:t>
      </w:r>
      <w:r>
        <w:rPr>
          <w:color w:val="000000" w:themeColor="text1"/>
          <w14:textFill>
            <w14:solidFill>
              <w14:schemeClr w14:val="tx1"/>
            </w14:solidFill>
          </w14:textFill>
        </w:rPr>
        <w:t>—</w:t>
      </w:r>
      <w:r>
        <w:rPr>
          <w:color w:val="000000" w:themeColor="text1"/>
          <w:lang w:val="zh-CN"/>
          <w14:textFill>
            <w14:solidFill>
              <w14:schemeClr w14:val="tx1"/>
            </w14:solidFill>
          </w14:textFill>
        </w:rPr>
        <w:t>管理人员进行检查核实后确定处理方案,签发派工单</w:t>
      </w:r>
      <w:r>
        <w:rPr>
          <w:color w:val="000000" w:themeColor="text1"/>
          <w14:textFill>
            <w14:solidFill>
              <w14:schemeClr w14:val="tx1"/>
            </w14:solidFill>
          </w14:textFill>
        </w:rPr>
        <w:t>—</w:t>
      </w:r>
      <w:r>
        <w:rPr>
          <w:color w:val="000000" w:themeColor="text1"/>
          <w:lang w:val="zh-CN"/>
          <w14:textFill>
            <w14:solidFill>
              <w14:schemeClr w14:val="tx1"/>
            </w14:solidFill>
          </w14:textFill>
        </w:rPr>
        <w:t>如进行疏通后仍出现积水现象，及时分析原因，制定处理措施</w:t>
      </w:r>
      <w:r>
        <w:rPr>
          <w:color w:val="000000" w:themeColor="text1"/>
          <w14:textFill>
            <w14:solidFill>
              <w14:schemeClr w14:val="tx1"/>
            </w14:solidFill>
          </w14:textFill>
        </w:rPr>
        <w:t>—</w:t>
      </w:r>
      <w:r>
        <w:rPr>
          <w:color w:val="000000" w:themeColor="text1"/>
          <w:lang w:val="zh-CN"/>
          <w14:textFill>
            <w14:solidFill>
              <w14:schemeClr w14:val="tx1"/>
            </w14:solidFill>
          </w14:textFill>
        </w:rPr>
        <w:t>将具体情况电话告知主管单位管理人员，经核实确认后进行处理</w:t>
      </w:r>
      <w:r>
        <w:rPr>
          <w:color w:val="000000" w:themeColor="text1"/>
          <w14:textFill>
            <w14:solidFill>
              <w14:schemeClr w14:val="tx1"/>
            </w14:solidFill>
          </w14:textFill>
        </w:rPr>
        <w:t>—</w:t>
      </w:r>
      <w:r>
        <w:rPr>
          <w:color w:val="000000" w:themeColor="text1"/>
          <w:lang w:val="zh-CN"/>
          <w14:textFill>
            <w14:solidFill>
              <w14:schemeClr w14:val="tx1"/>
            </w14:solidFill>
          </w14:textFill>
        </w:rPr>
        <w:t>对现场工程量原始数据进行测量、记录（含拍照）</w:t>
      </w:r>
      <w:r>
        <w:rPr>
          <w:color w:val="000000" w:themeColor="text1"/>
          <w14:textFill>
            <w14:solidFill>
              <w14:schemeClr w14:val="tx1"/>
            </w14:solidFill>
          </w14:textFill>
        </w:rPr>
        <w:t>—</w:t>
      </w:r>
      <w:r>
        <w:rPr>
          <w:color w:val="000000" w:themeColor="text1"/>
          <w:lang w:val="zh-CN"/>
          <w14:textFill>
            <w14:solidFill>
              <w14:schemeClr w14:val="tx1"/>
            </w14:solidFill>
          </w14:textFill>
        </w:rPr>
        <w:t>管理人员进行复查及签证确认。</w:t>
      </w:r>
    </w:p>
    <w:p w14:paraId="65A18200">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B.不可预见：日常巡检发现(或接到通知)</w:t>
      </w:r>
      <w:r>
        <w:rPr>
          <w:color w:val="000000" w:themeColor="text1"/>
          <w14:textFill>
            <w14:solidFill>
              <w14:schemeClr w14:val="tx1"/>
            </w14:solidFill>
          </w14:textFill>
        </w:rPr>
        <w:t>—</w:t>
      </w:r>
      <w:r>
        <w:rPr>
          <w:color w:val="000000" w:themeColor="text1"/>
          <w:lang w:val="zh-CN"/>
          <w14:textFill>
            <w14:solidFill>
              <w14:schemeClr w14:val="tx1"/>
            </w14:solidFill>
          </w14:textFill>
        </w:rPr>
        <w:t>立即响应</w:t>
      </w:r>
      <w:r>
        <w:rPr>
          <w:color w:val="000000" w:themeColor="text1"/>
          <w14:textFill>
            <w14:solidFill>
              <w14:schemeClr w14:val="tx1"/>
            </w14:solidFill>
          </w14:textFill>
        </w:rPr>
        <w:t>—</w:t>
      </w:r>
      <w:r>
        <w:rPr>
          <w:color w:val="000000" w:themeColor="text1"/>
          <w:lang w:val="zh-CN"/>
          <w14:textFill>
            <w14:solidFill>
              <w14:schemeClr w14:val="tx1"/>
            </w14:solidFill>
          </w14:textFill>
        </w:rPr>
        <w:t>20分钟内到达现场并将具体情况电话告知主管单位管理人员</w:t>
      </w:r>
      <w:r>
        <w:rPr>
          <w:color w:val="000000" w:themeColor="text1"/>
          <w14:textFill>
            <w14:solidFill>
              <w14:schemeClr w14:val="tx1"/>
            </w14:solidFill>
          </w14:textFill>
        </w:rPr>
        <w:t>—</w:t>
      </w:r>
      <w:r>
        <w:rPr>
          <w:color w:val="000000" w:themeColor="text1"/>
          <w:lang w:val="zh-CN"/>
          <w14:textFill>
            <w14:solidFill>
              <w14:schemeClr w14:val="tx1"/>
            </w14:solidFill>
          </w14:textFill>
        </w:rPr>
        <w:t>对现场进行拍照、记录</w:t>
      </w:r>
      <w:r>
        <w:rPr>
          <w:color w:val="000000" w:themeColor="text1"/>
          <w14:textFill>
            <w14:solidFill>
              <w14:schemeClr w14:val="tx1"/>
            </w14:solidFill>
          </w14:textFill>
        </w:rPr>
        <w:t>—</w:t>
      </w:r>
      <w:r>
        <w:rPr>
          <w:color w:val="000000" w:themeColor="text1"/>
          <w:lang w:val="zh-CN"/>
          <w14:textFill>
            <w14:solidFill>
              <w14:schemeClr w14:val="tx1"/>
            </w14:solidFill>
          </w14:textFill>
        </w:rPr>
        <w:t>管理人员到达现场或得到管理人员许可下进行相关作业</w:t>
      </w:r>
      <w:r>
        <w:rPr>
          <w:color w:val="000000" w:themeColor="text1"/>
          <w14:textFill>
            <w14:solidFill>
              <w14:schemeClr w14:val="tx1"/>
            </w14:solidFill>
          </w14:textFill>
        </w:rPr>
        <w:t>—</w:t>
      </w:r>
      <w:r>
        <w:rPr>
          <w:color w:val="000000" w:themeColor="text1"/>
          <w:lang w:val="zh-CN"/>
          <w14:textFill>
            <w14:solidFill>
              <w14:schemeClr w14:val="tx1"/>
            </w14:solidFill>
          </w14:textFill>
        </w:rPr>
        <w:t>将抢修工程量签证单（并附打印照片)送至管理人员</w:t>
      </w:r>
      <w:r>
        <w:rPr>
          <w:color w:val="000000" w:themeColor="text1"/>
          <w14:textFill>
            <w14:solidFill>
              <w14:schemeClr w14:val="tx1"/>
            </w14:solidFill>
          </w14:textFill>
        </w:rPr>
        <w:t>—</w:t>
      </w:r>
      <w:r>
        <w:rPr>
          <w:color w:val="000000" w:themeColor="text1"/>
          <w:lang w:val="zh-CN"/>
          <w14:textFill>
            <w14:solidFill>
              <w14:schemeClr w14:val="tx1"/>
            </w14:solidFill>
          </w14:textFill>
        </w:rPr>
        <w:t>经管理人员复查及签证确认。</w:t>
      </w:r>
    </w:p>
    <w:p w14:paraId="7C13D2A3">
      <w:pPr>
        <w:pStyle w:val="6"/>
        <w:rPr>
          <w:color w:val="000000" w:themeColor="text1"/>
          <w14:textFill>
            <w14:solidFill>
              <w14:schemeClr w14:val="tx1"/>
            </w14:solidFill>
          </w14:textFill>
        </w:rPr>
      </w:pPr>
      <w:bookmarkStart w:id="357" w:name="_Toc112693958"/>
      <w:bookmarkStart w:id="358" w:name="_Toc112692660"/>
      <w:bookmarkStart w:id="359" w:name="_Toc112694093"/>
      <w:r>
        <w:rPr>
          <w:color w:val="000000" w:themeColor="text1"/>
          <w14:textFill>
            <w14:solidFill>
              <w14:schemeClr w14:val="tx1"/>
            </w14:solidFill>
          </w14:textFill>
        </w:rPr>
        <w:t>安全管理制度</w:t>
      </w:r>
      <w:bookmarkEnd w:id="357"/>
      <w:bookmarkEnd w:id="358"/>
      <w:bookmarkEnd w:id="359"/>
    </w:p>
    <w:p w14:paraId="7B443F65">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①</w:t>
      </w:r>
      <w:r>
        <w:rPr>
          <w:color w:val="000000" w:themeColor="text1"/>
          <w:lang w:val="zh-CN"/>
          <w14:textFill>
            <w14:solidFill>
              <w14:schemeClr w14:val="tx1"/>
            </w14:solidFill>
          </w14:textFill>
        </w:rPr>
        <w:t>坚持“安全第一，预防为主”的安全方针，建立维护作业安全制度，制定安全操作规范。</w:t>
      </w:r>
    </w:p>
    <w:p w14:paraId="0CDBC9CD">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制度建设是科学管理的依据，也是安全管理实践的科学总结，规章制度的建设是加强安全技术管理的一个重要措施。根据污水管网维护工作的特点，应建立各种安全管理规章制度，如污水管道维护安全技术规程，下井作业制度，管网养护设备安全操作规程等。这些管理制度应写明抢修工作的工作方法，明确具体实施的意见和要求，规范技术安全的工作程序，做到工作的每个环节都有法可依，有章可循。</w:t>
      </w:r>
    </w:p>
    <w:p w14:paraId="5A54E730">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②</w:t>
      </w:r>
      <w:r>
        <w:rPr>
          <w:color w:val="000000" w:themeColor="text1"/>
          <w:lang w:val="zh-CN"/>
          <w14:textFill>
            <w14:solidFill>
              <w14:schemeClr w14:val="tx1"/>
            </w14:solidFill>
          </w14:textFill>
        </w:rPr>
        <w:t>明确安全责任制</w:t>
      </w:r>
    </w:p>
    <w:p w14:paraId="456B1082">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根据安全生产法律法规和污水管网维护作业实际，各级部门、操作人员在安全生产方面应该做的事及应负的责任予以明确和确实落实。有明确维护施工组织机构和负责人，根据维护作业现场的实际情况和环境因素的状态，有侧重地制定安全技术和劳动保护措施。在施工作业过程中严格落实和执行安全施工制度和技术规程，做到分工明确，责任到人。</w:t>
      </w:r>
    </w:p>
    <w:p w14:paraId="7A2A606F">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③</w:t>
      </w:r>
      <w:r>
        <w:rPr>
          <w:color w:val="000000" w:themeColor="text1"/>
          <w:lang w:val="zh-CN"/>
          <w14:textFill>
            <w14:solidFill>
              <w14:schemeClr w14:val="tx1"/>
            </w14:solidFill>
          </w14:textFill>
        </w:rPr>
        <w:t>强化安全教育</w:t>
      </w:r>
    </w:p>
    <w:p w14:paraId="0CD05139">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很多事故都是由于作业人员没有受过安全教育，不知道所从事作业的危害因素和预防措施，从而违章指挥或违规操作酿成事故。安全教育工作是实现安全作业、文明作业、提高员工安全意识和安全素质、防止产生不安全行为、减少认识失误的重要途径。</w:t>
      </w:r>
    </w:p>
    <w:p w14:paraId="2B62547A">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A建立安全教育的长效机制，做好经常性的安全教育。做好各级管理人员和作业人员的安全教育的同时，还必须把经常性的安全教育贯穿于安全管理的全过程，并根据接受教育的对象和不同特点，采取多层次、多渠道、多方法、多种形式进行安全教育。</w:t>
      </w:r>
    </w:p>
    <w:p w14:paraId="33F8CABC">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B特种作业人员，除按一般性安全教育外，还要按照国家、行业、地方和企业规定进行特种专业培训、资格考核取得特种作业人员操作证后方可上岗。再就对季节性变化、工作对象改变、工种变换、新工艺、新材料、新设备的使用以及发现事故隐患或事故后，应进行特定的适时的安全教育。</w:t>
      </w:r>
    </w:p>
    <w:p w14:paraId="59B5A897">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C组织进行必要的安全理论知识培训和实际操作培训，通过培训让员工了解掌握安全知识的内涵，熟悉掌握安全作业的基本施工程序和基本操作要点，更好的运用到实际作业中去。</w:t>
      </w:r>
    </w:p>
    <w:p w14:paraId="45D49ED4">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④</w:t>
      </w:r>
      <w:r>
        <w:rPr>
          <w:color w:val="000000" w:themeColor="text1"/>
          <w:lang w:val="zh-CN"/>
          <w14:textFill>
            <w14:solidFill>
              <w14:schemeClr w14:val="tx1"/>
            </w14:solidFill>
          </w14:textFill>
        </w:rPr>
        <w:t>规范安全检查和施工现场的安全管理，避免把主要精力放在快速维护作业上，而忽视了作业现场的安全管理措施。</w:t>
      </w:r>
    </w:p>
    <w:p w14:paraId="2F5098A5">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A进行危害识别，查找不安全因素和不安全行为，提出消除或控制不安全因素的方法和纠正不安全行为的措施。</w:t>
      </w:r>
    </w:p>
    <w:p w14:paraId="0B97DFF0">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B及时发现和制止违章指挥和违规作业行为，杜绝侥幸心理。确保安全措施的有效投入，做好施工现场的安全防护，为施工人员提供良好的安全施工环境。</w:t>
      </w:r>
    </w:p>
    <w:p w14:paraId="1B12C666">
      <w:pPr>
        <w:pStyle w:val="52"/>
        <w:rPr>
          <w:color w:val="000000" w:themeColor="text1"/>
          <w:lang w:val="zh-CN"/>
          <w14:textFill>
            <w14:solidFill>
              <w14:schemeClr w14:val="tx1"/>
            </w14:solidFill>
          </w14:textFill>
        </w:rPr>
      </w:pPr>
      <w:r>
        <w:rPr>
          <w:rFonts w:hint="eastAsia" w:ascii="宋体" w:hAnsi="宋体" w:cs="宋体"/>
          <w:color w:val="000000" w:themeColor="text1"/>
          <w:lang w:val="zh-CN"/>
          <w14:textFill>
            <w14:solidFill>
              <w14:schemeClr w14:val="tx1"/>
            </w14:solidFill>
          </w14:textFill>
        </w:rPr>
        <w:t>⑤</w:t>
      </w:r>
      <w:r>
        <w:rPr>
          <w:color w:val="000000" w:themeColor="text1"/>
          <w:lang w:val="zh-CN"/>
          <w14:textFill>
            <w14:solidFill>
              <w14:schemeClr w14:val="tx1"/>
            </w14:solidFill>
          </w14:textFill>
        </w:rPr>
        <w:t>采用先进的检测手段，辅以机械通风措施</w:t>
      </w:r>
    </w:p>
    <w:p w14:paraId="27C62BB9">
      <w:pPr>
        <w:pStyle w:val="52"/>
        <w:rPr>
          <w:color w:val="000000" w:themeColor="text1"/>
          <w:lang w:val="zh-CN"/>
          <w14:textFill>
            <w14:solidFill>
              <w14:schemeClr w14:val="tx1"/>
            </w14:solidFill>
          </w14:textFill>
        </w:rPr>
      </w:pPr>
      <w:r>
        <w:rPr>
          <w:color w:val="000000" w:themeColor="text1"/>
          <w:lang w:val="zh-CN"/>
          <w14:textFill>
            <w14:solidFill>
              <w14:schemeClr w14:val="tx1"/>
            </w14:solidFill>
          </w14:textFill>
        </w:rPr>
        <w:t>检修前要进行多方面检测，最好采用先进的检测仪器进行检测，强制通风使有害气体含量达到安全标准后才开始维护作业。尤其要注意一种情况，就是硫化氢等在泥水中没有大量释放，工人下井后空气流量增大，造成水中毒气突然上升。因此，必须不间断向井内强制通风，在养护施工作业期间定时对其检测，确保安全。</w:t>
      </w:r>
    </w:p>
    <w:p w14:paraId="560DD1EA">
      <w:pPr>
        <w:pStyle w:val="6"/>
        <w:rPr>
          <w:color w:val="000000" w:themeColor="text1"/>
          <w14:textFill>
            <w14:solidFill>
              <w14:schemeClr w14:val="tx1"/>
            </w14:solidFill>
          </w14:textFill>
        </w:rPr>
      </w:pPr>
      <w:bookmarkStart w:id="360" w:name="_Toc112692661"/>
      <w:bookmarkStart w:id="361" w:name="_Toc112693959"/>
      <w:bookmarkStart w:id="362" w:name="_Toc112694094"/>
      <w:r>
        <w:rPr>
          <w:color w:val="000000" w:themeColor="text1"/>
          <w14:textFill>
            <w14:solidFill>
              <w14:schemeClr w14:val="tx1"/>
            </w14:solidFill>
          </w14:textFill>
        </w:rPr>
        <w:t>运维考核管理办法</w:t>
      </w:r>
      <w:bookmarkEnd w:id="360"/>
      <w:bookmarkEnd w:id="361"/>
      <w:bookmarkEnd w:id="362"/>
    </w:p>
    <w:p w14:paraId="204B4764">
      <w:pPr>
        <w:pStyle w:val="52"/>
        <w:rPr>
          <w:color w:val="000000" w:themeColor="text1"/>
          <w14:textFill>
            <w14:solidFill>
              <w14:schemeClr w14:val="tx1"/>
            </w14:solidFill>
          </w14:textFill>
        </w:rPr>
      </w:pPr>
      <w:r>
        <w:rPr>
          <w:color w:val="000000" w:themeColor="text1"/>
          <w14:textFill>
            <w14:solidFill>
              <w14:schemeClr w14:val="tx1"/>
            </w14:solidFill>
          </w14:textFill>
        </w:rPr>
        <w:t>运维考核内容详见章节7.3制定完善北峰山区乡镇生活污水设施运行维护考核办法。</w:t>
      </w:r>
    </w:p>
    <w:p w14:paraId="26046594">
      <w:pPr>
        <w:widowControl/>
        <w:jc w:val="left"/>
        <w:rPr>
          <w:rFonts w:eastAsia="楷体"/>
          <w:b/>
          <w:color w:val="000000" w:themeColor="text1"/>
          <w:kern w:val="44"/>
          <w:sz w:val="44"/>
          <w:szCs w:val="44"/>
          <w:lang w:val="zh-CN"/>
          <w14:textFill>
            <w14:solidFill>
              <w14:schemeClr w14:val="tx1"/>
            </w14:solidFill>
          </w14:textFill>
        </w:rPr>
      </w:pPr>
      <w:bookmarkStart w:id="363" w:name="_Toc112693960"/>
      <w:bookmarkStart w:id="364" w:name="_Toc112694095"/>
      <w:bookmarkStart w:id="365" w:name="_Toc112861057"/>
      <w:r>
        <w:rPr>
          <w:color w:val="000000" w:themeColor="text1"/>
          <w14:textFill>
            <w14:solidFill>
              <w14:schemeClr w14:val="tx1"/>
            </w14:solidFill>
          </w14:textFill>
        </w:rPr>
        <w:br w:type="page"/>
      </w:r>
    </w:p>
    <w:p w14:paraId="6B509DCA">
      <w:pPr>
        <w:pStyle w:val="3"/>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规划保障措施</w:t>
      </w:r>
      <w:bookmarkEnd w:id="363"/>
      <w:bookmarkEnd w:id="364"/>
      <w:bookmarkEnd w:id="365"/>
    </w:p>
    <w:p w14:paraId="18784A9A">
      <w:pPr>
        <w:pStyle w:val="4"/>
        <w:rPr>
          <w:rFonts w:ascii="Times New Roman" w:hAnsi="Times New Roman" w:eastAsiaTheme="minorEastAsia"/>
          <w:color w:val="000000" w:themeColor="text1"/>
          <w14:textFill>
            <w14:solidFill>
              <w14:schemeClr w14:val="tx1"/>
            </w14:solidFill>
          </w14:textFill>
        </w:rPr>
      </w:pPr>
      <w:bookmarkStart w:id="366" w:name="_Toc112693961"/>
      <w:bookmarkStart w:id="367" w:name="_Toc112694096"/>
      <w:bookmarkStart w:id="368" w:name="_Toc112861058"/>
      <w:r>
        <w:rPr>
          <w:rFonts w:hint="eastAsia" w:ascii="宋体" w:hAnsi="宋体" w:eastAsia="宋体" w:cs="宋体"/>
          <w:color w:val="000000" w:themeColor="text1"/>
          <w14:textFill>
            <w14:solidFill>
              <w14:schemeClr w14:val="tx1"/>
            </w14:solidFill>
          </w14:textFill>
        </w:rPr>
        <w:t>加强组织领导，明确责任主体</w:t>
      </w:r>
      <w:bookmarkEnd w:id="366"/>
      <w:bookmarkEnd w:id="367"/>
      <w:bookmarkEnd w:id="368"/>
    </w:p>
    <w:p w14:paraId="39B6B9D1">
      <w:pPr>
        <w:pStyle w:val="52"/>
        <w:rPr>
          <w:color w:val="000000" w:themeColor="text1"/>
          <w14:textFill>
            <w14:solidFill>
              <w14:schemeClr w14:val="tx1"/>
            </w14:solidFill>
          </w14:textFill>
        </w:rPr>
      </w:pPr>
      <w:r>
        <w:rPr>
          <w:color w:val="000000" w:themeColor="text1"/>
          <w14:textFill>
            <w14:solidFill>
              <w14:schemeClr w14:val="tx1"/>
            </w14:solidFill>
          </w14:textFill>
        </w:rPr>
        <w:t>按照“区负总责、乡镇抓落实"的工作机制，把北峰山区乡镇生活污水治理作为乡村振兴战略重点任务优先安排，区级负责建立健全工作推进机制，定目标、定标准、定政策，做好统筹协调、监督考核﹔各部门负责做好项目落地、资金使用、推进实施、运行维护管理等工作，乡镇负责宣传引导、具体组织实施;村级负责做好宣传发动、日常监督等，提升农民环境保护意识。各地在推进城镇污水治理设施及管网建设、新北峰山区乡镇建设、河道整治等工程时，要统筹考虑北峰山区乡镇生活污水治理设施及配套管网建设，做到同步推进，避免多头施工、重复建设。</w:t>
      </w:r>
    </w:p>
    <w:p w14:paraId="0C475008">
      <w:pPr>
        <w:pStyle w:val="4"/>
        <w:rPr>
          <w:rFonts w:ascii="Times New Roman" w:hAnsi="Times New Roman" w:eastAsiaTheme="minorEastAsia"/>
          <w:color w:val="000000" w:themeColor="text1"/>
          <w14:textFill>
            <w14:solidFill>
              <w14:schemeClr w14:val="tx1"/>
            </w14:solidFill>
          </w14:textFill>
        </w:rPr>
      </w:pPr>
      <w:bookmarkStart w:id="369" w:name="_Toc112694097"/>
      <w:bookmarkStart w:id="370" w:name="_Toc112693962"/>
      <w:bookmarkStart w:id="371" w:name="_Toc112861059"/>
      <w:r>
        <w:rPr>
          <w:rFonts w:hint="eastAsia" w:ascii="宋体" w:hAnsi="宋体" w:eastAsia="宋体" w:cs="宋体"/>
          <w:color w:val="000000" w:themeColor="text1"/>
          <w14:textFill>
            <w14:solidFill>
              <w14:schemeClr w14:val="tx1"/>
            </w14:solidFill>
          </w14:textFill>
        </w:rPr>
        <w:t>厘清职责，明确治理要求</w:t>
      </w:r>
      <w:bookmarkEnd w:id="369"/>
      <w:bookmarkEnd w:id="370"/>
      <w:bookmarkEnd w:id="371"/>
    </w:p>
    <w:p w14:paraId="63CEB4F4">
      <w:pPr>
        <w:pStyle w:val="52"/>
        <w:rPr>
          <w:color w:val="000000" w:themeColor="text1"/>
          <w14:textFill>
            <w14:solidFill>
              <w14:schemeClr w14:val="tx1"/>
            </w14:solidFill>
          </w14:textFill>
        </w:rPr>
      </w:pPr>
      <w:r>
        <w:rPr>
          <w:color w:val="000000" w:themeColor="text1"/>
          <w14:textFill>
            <w14:solidFill>
              <w14:schemeClr w14:val="tx1"/>
            </w14:solidFill>
          </w14:textFill>
        </w:rPr>
        <w:t>结合《晋安区农村生活污水治理五年行动计划》的工作开展，将北峰山区乡镇生活污水纳入通盘考虑，将乡镇生活污水治理纳入农村生活污水治理专班中一体协调推进。</w:t>
      </w:r>
    </w:p>
    <w:p w14:paraId="1A1DFFFD">
      <w:pPr>
        <w:pStyle w:val="52"/>
        <w:rPr>
          <w:color w:val="000000" w:themeColor="text1"/>
          <w14:textFill>
            <w14:solidFill>
              <w14:schemeClr w14:val="tx1"/>
            </w14:solidFill>
          </w14:textFill>
        </w:rPr>
      </w:pPr>
      <w:r>
        <w:rPr>
          <w:color w:val="000000" w:themeColor="text1"/>
          <w14:textFill>
            <w14:solidFill>
              <w14:schemeClr w14:val="tx1"/>
            </w14:solidFill>
          </w14:textFill>
        </w:rPr>
        <w:t>1、落实属地责任。区人民政府是组织实施乡镇生活污水治理的责任主体，要依法依规做好项目审批、用地征地、施工建设等工作。将乡镇生活污水治理工作纳入区农村生活污水提升治理工作领导小组中一并落实，一体推进。</w:t>
      </w:r>
    </w:p>
    <w:p w14:paraId="76C3101C">
      <w:pPr>
        <w:pStyle w:val="52"/>
        <w:rPr>
          <w:color w:val="000000" w:themeColor="text1"/>
          <w14:textFill>
            <w14:solidFill>
              <w14:schemeClr w14:val="tx1"/>
            </w14:solidFill>
          </w14:textFill>
        </w:rPr>
      </w:pPr>
      <w:r>
        <w:rPr>
          <w:color w:val="000000" w:themeColor="text1"/>
          <w14:textFill>
            <w14:solidFill>
              <w14:schemeClr w14:val="tx1"/>
            </w14:solidFill>
          </w14:textFill>
        </w:rPr>
        <w:t>2、强化部门协同。晋安生态环境局协助区政府抓好乡镇生活污水治理，负责解读相关技术标准指南，指导项目推进，开展工作监督等。区建设局负责乡镇生活污水治理项目的技术指导和组织管理。区卫健局会同区农业农村局指导无需纳管处理的户厕三格化粪池尾水开展资源化利用，不得直接排入水体。区发改局、财政局、农业农村局、税务局等部门要协调上级部门加大政策、资金、要素保障，协调落实用电和税收支持政策，积极支持地方实施城乡供排水一体化。</w:t>
      </w:r>
    </w:p>
    <w:p w14:paraId="2DF795AE">
      <w:pPr>
        <w:pStyle w:val="4"/>
        <w:rPr>
          <w:rFonts w:ascii="Times New Roman" w:hAnsi="Times New Roman" w:eastAsiaTheme="minorEastAsia"/>
          <w:color w:val="000000" w:themeColor="text1"/>
          <w14:textFill>
            <w14:solidFill>
              <w14:schemeClr w14:val="tx1"/>
            </w14:solidFill>
          </w14:textFill>
        </w:rPr>
      </w:pPr>
      <w:bookmarkStart w:id="372" w:name="_Toc112693963"/>
      <w:bookmarkStart w:id="373" w:name="_Toc112694098"/>
      <w:bookmarkStart w:id="374" w:name="_Toc112861060"/>
      <w:r>
        <w:rPr>
          <w:rFonts w:hint="eastAsia" w:ascii="宋体" w:hAnsi="宋体" w:eastAsia="宋体" w:cs="宋体"/>
          <w:color w:val="000000" w:themeColor="text1"/>
          <w14:textFill>
            <w14:solidFill>
              <w14:schemeClr w14:val="tx1"/>
            </w14:solidFill>
          </w14:textFill>
        </w:rPr>
        <w:t>统筹资金，创新投融资模式</w:t>
      </w:r>
      <w:bookmarkEnd w:id="372"/>
      <w:bookmarkEnd w:id="373"/>
      <w:bookmarkEnd w:id="374"/>
    </w:p>
    <w:p w14:paraId="74641469">
      <w:pPr>
        <w:pStyle w:val="52"/>
        <w:rPr>
          <w:color w:val="000000" w:themeColor="text1"/>
          <w14:textFill>
            <w14:solidFill>
              <w14:schemeClr w14:val="tx1"/>
            </w14:solidFill>
          </w14:textFill>
        </w:rPr>
      </w:pPr>
      <w:r>
        <w:rPr>
          <w:color w:val="000000" w:themeColor="text1"/>
          <w14:textFill>
            <w14:solidFill>
              <w14:schemeClr w14:val="tx1"/>
            </w14:solidFill>
          </w14:textFill>
        </w:rPr>
        <w:t>通过集中新增财力、盘活存量资金、安排政府债券等多种方式加大支持力度，统筹北峰山区乡镇人居环境整治、北峰山区乡镇环境综合整治、北峰山区乡镇改厕、污水管网建设、乡村振兴、小流域治理、山水林田湖草、中央环保专项资金等各级各专项资金，采取上下结合、先建后补、以工代赈等多种方式，吸引各方参与北峰山区乡镇生活污水治理工作。充分发挥市场作用，综合运用股权融资、债券融资等多种方式，鼓励和引导社会资本、金融资本参与北峰山区乡镇生活污水治理设施项目的建设和运营。</w:t>
      </w:r>
    </w:p>
    <w:p w14:paraId="1A853BF4">
      <w:pPr>
        <w:pStyle w:val="4"/>
        <w:rPr>
          <w:rFonts w:ascii="Times New Roman" w:hAnsi="Times New Roman" w:eastAsiaTheme="minorEastAsia"/>
          <w:color w:val="000000" w:themeColor="text1"/>
          <w:lang w:val="en-US"/>
          <w14:textFill>
            <w14:solidFill>
              <w14:schemeClr w14:val="tx1"/>
            </w14:solidFill>
          </w14:textFill>
        </w:rPr>
      </w:pPr>
      <w:bookmarkStart w:id="375" w:name="_Toc112693964"/>
      <w:bookmarkStart w:id="376" w:name="_Toc112694099"/>
      <w:bookmarkStart w:id="377" w:name="_Toc112861061"/>
      <w:r>
        <w:rPr>
          <w:rFonts w:hint="eastAsia" w:ascii="宋体" w:hAnsi="宋体" w:eastAsia="宋体" w:cs="宋体"/>
          <w:color w:val="000000" w:themeColor="text1"/>
          <w14:textFill>
            <w14:solidFill>
              <w14:schemeClr w14:val="tx1"/>
            </w14:solidFill>
          </w14:textFill>
        </w:rPr>
        <w:t>完善政策措施</w:t>
      </w:r>
      <w:r>
        <w:rPr>
          <w:rFonts w:hint="eastAsia" w:ascii="宋体" w:hAnsi="宋体" w:eastAsia="宋体" w:cs="宋体"/>
          <w:color w:val="000000" w:themeColor="text1"/>
          <w:lang w:val="en-US"/>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提供高效支持</w:t>
      </w:r>
      <w:bookmarkEnd w:id="375"/>
      <w:bookmarkEnd w:id="376"/>
      <w:bookmarkEnd w:id="377"/>
    </w:p>
    <w:p w14:paraId="7E7CD081">
      <w:pPr>
        <w:pStyle w:val="52"/>
        <w:rPr>
          <w:color w:val="000000" w:themeColor="text1"/>
          <w14:textFill>
            <w14:solidFill>
              <w14:schemeClr w14:val="tx1"/>
            </w14:solidFill>
          </w14:textFill>
        </w:rPr>
      </w:pPr>
      <w:r>
        <w:rPr>
          <w:color w:val="000000" w:themeColor="text1"/>
          <w14:textFill>
            <w14:solidFill>
              <w14:schemeClr w14:val="tx1"/>
            </w14:solidFill>
          </w14:textFill>
        </w:rPr>
        <w:t>各部门要将北峰山区乡镇生活污水治理项目审批事项纳入审批制度改革内容，尽量简化北峰山区乡镇生活污水治理项目的建议书、规划选址、用地、环评、可研初设、竣工验收等环节的审批程序，减少审批前置条件和审批环节，提高审批效率。项目实施方案经批准后即可申请立项，不必取得设施的用地预审意见和规划选址意见；实施方案达到初设阶段各项技术要求，经区级业务主管部门技术审查和财政部门资金审查并报区级政府批准后，即可开展施工图设计及财政预审；项目竣工后，由区级政府组织各相关单位组成验收组，对项目进行竣工验收。落实并完善用地、用电、税收等优惠政策，各级政府优先保障北峰山区乡镇生活污水治理设施及配套管网建设用地，可通过划拨方式提供土地使用权；北峰山区乡镇生活污水治理用电电价按照所在地农业用电价格执行。</w:t>
      </w:r>
    </w:p>
    <w:p w14:paraId="439B701D">
      <w:pPr>
        <w:pStyle w:val="4"/>
        <w:rPr>
          <w:rFonts w:ascii="Times New Roman" w:hAnsi="Times New Roman" w:eastAsiaTheme="minorEastAsia"/>
          <w:color w:val="000000" w:themeColor="text1"/>
          <w14:textFill>
            <w14:solidFill>
              <w14:schemeClr w14:val="tx1"/>
            </w14:solidFill>
          </w14:textFill>
        </w:rPr>
      </w:pPr>
      <w:bookmarkStart w:id="378" w:name="_Toc112693965"/>
      <w:bookmarkStart w:id="379" w:name="_Toc112694100"/>
      <w:bookmarkStart w:id="380" w:name="_Toc112861062"/>
      <w:r>
        <w:rPr>
          <w:rFonts w:hint="eastAsia" w:ascii="宋体" w:hAnsi="宋体" w:eastAsia="宋体" w:cs="宋体"/>
          <w:color w:val="000000" w:themeColor="text1"/>
          <w14:textFill>
            <w14:solidFill>
              <w14:schemeClr w14:val="tx1"/>
            </w14:solidFill>
          </w14:textFill>
        </w:rPr>
        <w:t>多措并举，强化监督管理</w:t>
      </w:r>
      <w:bookmarkEnd w:id="378"/>
      <w:bookmarkEnd w:id="379"/>
      <w:bookmarkEnd w:id="380"/>
    </w:p>
    <w:p w14:paraId="30E1B350">
      <w:pPr>
        <w:pStyle w:val="52"/>
        <w:rPr>
          <w:color w:val="000000" w:themeColor="text1"/>
          <w14:textFill>
            <w14:solidFill>
              <w14:schemeClr w14:val="tx1"/>
            </w14:solidFill>
          </w14:textFill>
        </w:rPr>
      </w:pPr>
      <w:r>
        <w:rPr>
          <w:color w:val="000000" w:themeColor="text1"/>
          <w14:textFill>
            <w14:solidFill>
              <w14:schemeClr w14:val="tx1"/>
            </w14:solidFill>
          </w14:textFill>
        </w:rPr>
        <w:t>健全日常考评机制，对北峰山区乡镇环境综合整治工作进行不定期督察和综合评比；跟踪监督项目工程设施运行效果，巩固项目成果。建立日常巡查制度，对在建项目进行督促管理。进一步明确北峰山区乡镇环境综合整治适用的治理工艺、排放标准和维护要求，统一规范。建立区、乡镇、村三级联动监管队伍，区级质量监督管理以晋安区生态环境保护局为牵头单位，区住建局、水利局、卫健委为配合单位，各相关乡镇、村相应成立乡镇、村领导小组，加强工程建设进度与质量的监管。区级监管采用不定期“双随机、一公开”监管手段，随机抽取检查对象、随机选派检查人员，对项目建筑材料、建筑构配件的质量，现场工程量签证、质量评定等内业资料，安全生产、文明施工、竣工验收以及监管人员在岗在位等方面情况进行监督。检查结果统一在区级信息平台发布，及时公开监管信息，形成监管合力。镇、村由村监会、老协会等联合成立材料保管组，做好“日入库、日出库”材料清单。</w:t>
      </w:r>
    </w:p>
    <w:p w14:paraId="342A0A89">
      <w:pPr>
        <w:pStyle w:val="4"/>
        <w:rPr>
          <w:rFonts w:ascii="Times New Roman" w:hAnsi="Times New Roman" w:eastAsiaTheme="minorEastAsia"/>
          <w:color w:val="000000" w:themeColor="text1"/>
          <w14:textFill>
            <w14:solidFill>
              <w14:schemeClr w14:val="tx1"/>
            </w14:solidFill>
          </w14:textFill>
        </w:rPr>
      </w:pPr>
      <w:bookmarkStart w:id="381" w:name="_Toc112861063"/>
      <w:bookmarkStart w:id="382" w:name="_Toc112694101"/>
      <w:bookmarkStart w:id="383" w:name="_Toc112693966"/>
      <w:r>
        <w:rPr>
          <w:rFonts w:hint="eastAsia" w:ascii="宋体" w:hAnsi="宋体" w:eastAsia="宋体" w:cs="宋体"/>
          <w:color w:val="000000" w:themeColor="text1"/>
          <w14:textFill>
            <w14:solidFill>
              <w14:schemeClr w14:val="tx1"/>
            </w14:solidFill>
          </w14:textFill>
        </w:rPr>
        <w:t>充分征求，广泛听取意见</w:t>
      </w:r>
      <w:bookmarkEnd w:id="381"/>
      <w:bookmarkEnd w:id="382"/>
      <w:bookmarkEnd w:id="383"/>
    </w:p>
    <w:p w14:paraId="520BE17D">
      <w:pPr>
        <w:pStyle w:val="52"/>
        <w:rPr>
          <w:color w:val="000000" w:themeColor="text1"/>
          <w14:textFill>
            <w14:solidFill>
              <w14:schemeClr w14:val="tx1"/>
            </w14:solidFill>
          </w14:textFill>
        </w:rPr>
      </w:pPr>
      <w:r>
        <w:rPr>
          <w:color w:val="000000" w:themeColor="text1"/>
          <w14:textFill>
            <w14:solidFill>
              <w14:schemeClr w14:val="tx1"/>
            </w14:solidFill>
          </w14:textFill>
        </w:rPr>
        <w:t>方案设计、施工、监督管理、运行管理过程充分征求、听取、综合各方村民意见建议。积极组织、发动村内党员群众、老人协会、村民代表等成立施工监督组、问题协调组等全程参与施工，参与问题讨论、调解化解矛盾、督促按实施工，确保施工过程和工程质量高效率、高质量。北峰山区乡镇生活污水治理工程点多、面广、线长，且需要长期管护，为确保污水收集的常态化和有效性，项目竣工后，由村委会成立日常运行管理小组，全面负责污水收集项目后期运行管理和日常维护，实现长效管理。</w:t>
      </w:r>
      <w:r>
        <w:rPr>
          <w:color w:val="000000" w:themeColor="text1"/>
          <w14:textFill>
            <w14:solidFill>
              <w14:schemeClr w14:val="tx1"/>
            </w14:solidFill>
          </w14:textFill>
        </w:rPr>
        <w:br w:type="page"/>
      </w:r>
    </w:p>
    <w:p w14:paraId="3A8BB9CF">
      <w:pPr>
        <w:pStyle w:val="3"/>
        <w:rPr>
          <w:rFonts w:ascii="Times New Roman" w:hAnsi="Times New Roman"/>
          <w:color w:val="000000" w:themeColor="text1"/>
          <w14:textFill>
            <w14:solidFill>
              <w14:schemeClr w14:val="tx1"/>
            </w14:solidFill>
          </w14:textFill>
        </w:rPr>
      </w:pPr>
      <w:bookmarkStart w:id="384" w:name="_Toc112693967"/>
      <w:bookmarkStart w:id="385" w:name="_Toc112694102"/>
      <w:bookmarkStart w:id="386" w:name="_Toc112861064"/>
      <w:r>
        <w:rPr>
          <w:rFonts w:ascii="Times New Roman" w:hAnsi="Times New Roman"/>
          <w:color w:val="000000" w:themeColor="text1"/>
          <w14:textFill>
            <w14:solidFill>
              <w14:schemeClr w14:val="tx1"/>
            </w14:solidFill>
          </w14:textFill>
        </w:rPr>
        <w:t>效益分析</w:t>
      </w:r>
      <w:bookmarkEnd w:id="384"/>
      <w:bookmarkEnd w:id="385"/>
      <w:bookmarkEnd w:id="386"/>
    </w:p>
    <w:p w14:paraId="17A5C85D">
      <w:pPr>
        <w:pStyle w:val="4"/>
        <w:rPr>
          <w:rFonts w:ascii="Times New Roman" w:hAnsi="Times New Roman" w:eastAsiaTheme="minorEastAsia"/>
          <w:color w:val="000000" w:themeColor="text1"/>
          <w14:textFill>
            <w14:solidFill>
              <w14:schemeClr w14:val="tx1"/>
            </w14:solidFill>
          </w14:textFill>
        </w:rPr>
      </w:pPr>
      <w:bookmarkStart w:id="387" w:name="_Toc112693968"/>
      <w:bookmarkStart w:id="388" w:name="_Toc112694103"/>
      <w:bookmarkStart w:id="389" w:name="_Toc112861065"/>
      <w:r>
        <w:rPr>
          <w:rFonts w:hint="eastAsia" w:ascii="宋体" w:hAnsi="宋体" w:eastAsia="宋体" w:cs="宋体"/>
          <w:color w:val="000000" w:themeColor="text1"/>
          <w14:textFill>
            <w14:solidFill>
              <w14:schemeClr w14:val="tx1"/>
            </w14:solidFill>
          </w14:textFill>
        </w:rPr>
        <w:t>经济效益</w:t>
      </w:r>
      <w:bookmarkEnd w:id="387"/>
      <w:bookmarkEnd w:id="388"/>
      <w:bookmarkEnd w:id="389"/>
    </w:p>
    <w:p w14:paraId="7D3D8DB7">
      <w:pPr>
        <w:pStyle w:val="52"/>
        <w:rPr>
          <w:color w:val="000000" w:themeColor="text1"/>
          <w14:textFill>
            <w14:solidFill>
              <w14:schemeClr w14:val="tx1"/>
            </w14:solidFill>
          </w14:textFill>
        </w:rPr>
      </w:pPr>
      <w:r>
        <w:rPr>
          <w:color w:val="000000" w:themeColor="text1"/>
          <w14:textFill>
            <w14:solidFill>
              <w14:schemeClr w14:val="tx1"/>
            </w14:solidFill>
          </w14:textFill>
        </w:rPr>
        <w:t>北峰山区乡镇污水治理设施作为北峰山区乡镇基础设施的重要组成部分，其本身并不产生直接的经济效益，但对经济发展的贡献巨大。通过污水治理可以避免和减轻污水直排对工农业生产造成不良影响，提高农副产品和工业产品质量；可以大大改善北峰山区乡镇地区的投资环境，有利于提升招商引资的综合竞争力和乡村旅游等乡村振兴产业发展，为北峰山区乡镇提供更多的就业环境和家庭收入，促进国民经济发展。</w:t>
      </w:r>
    </w:p>
    <w:p w14:paraId="30587500">
      <w:pPr>
        <w:pStyle w:val="4"/>
        <w:rPr>
          <w:rFonts w:ascii="Times New Roman" w:hAnsi="Times New Roman" w:eastAsiaTheme="minorEastAsia"/>
          <w:color w:val="000000" w:themeColor="text1"/>
          <w14:textFill>
            <w14:solidFill>
              <w14:schemeClr w14:val="tx1"/>
            </w14:solidFill>
          </w14:textFill>
        </w:rPr>
      </w:pPr>
      <w:bookmarkStart w:id="390" w:name="_Toc112693969"/>
      <w:bookmarkStart w:id="391" w:name="_Toc112694104"/>
      <w:bookmarkStart w:id="392" w:name="_Toc112861066"/>
      <w:r>
        <w:rPr>
          <w:rFonts w:hint="eastAsia" w:ascii="宋体" w:hAnsi="宋体" w:eastAsia="宋体" w:cs="宋体"/>
          <w:color w:val="000000" w:themeColor="text1"/>
          <w14:textFill>
            <w14:solidFill>
              <w14:schemeClr w14:val="tx1"/>
            </w14:solidFill>
          </w14:textFill>
        </w:rPr>
        <w:t>社会效益</w:t>
      </w:r>
      <w:bookmarkEnd w:id="390"/>
      <w:bookmarkEnd w:id="391"/>
      <w:bookmarkEnd w:id="392"/>
    </w:p>
    <w:p w14:paraId="299D47BD">
      <w:pPr>
        <w:pStyle w:val="52"/>
        <w:rPr>
          <w:color w:val="000000" w:themeColor="text1"/>
          <w14:textFill>
            <w14:solidFill>
              <w14:schemeClr w14:val="tx1"/>
            </w14:solidFill>
          </w14:textFill>
        </w:rPr>
      </w:pPr>
      <w:r>
        <w:rPr>
          <w:color w:val="000000" w:themeColor="text1"/>
          <w14:textFill>
            <w14:solidFill>
              <w14:schemeClr w14:val="tx1"/>
            </w14:solidFill>
          </w14:textFill>
        </w:rPr>
        <w:t>北峰山区乡镇人居环境改善将提高乡村的整体形象，北峰山区乡镇水质改善将提高人民生活水平与生活质量，减少疾病爆发或流行病的潜在危险，</w:t>
      </w:r>
      <w:r>
        <w:rPr>
          <w:color w:val="000000" w:themeColor="text1"/>
          <w:spacing w:val="-3"/>
          <w14:textFill>
            <w14:solidFill>
              <w14:schemeClr w14:val="tx1"/>
            </w14:solidFill>
          </w14:textFill>
        </w:rPr>
        <w:t>减少</w:t>
      </w:r>
      <w:r>
        <w:rPr>
          <w:color w:val="000000" w:themeColor="text1"/>
          <w14:textFill>
            <w14:solidFill>
              <w14:schemeClr w14:val="tx1"/>
            </w14:solidFill>
          </w14:textFill>
        </w:rPr>
        <w:t>社会保障费用支出。北峰山区乡镇污水治理是改善北峰山区乡镇人居环境和水质质量的重要举措，可以进一步提高北峰山区乡镇农民的幸福感和获得感。</w:t>
      </w:r>
    </w:p>
    <w:p w14:paraId="7B7A48A7">
      <w:pPr>
        <w:pStyle w:val="4"/>
        <w:rPr>
          <w:rFonts w:ascii="Times New Roman" w:hAnsi="Times New Roman" w:eastAsiaTheme="minorEastAsia"/>
          <w:color w:val="000000" w:themeColor="text1"/>
          <w14:textFill>
            <w14:solidFill>
              <w14:schemeClr w14:val="tx1"/>
            </w14:solidFill>
          </w14:textFill>
        </w:rPr>
      </w:pPr>
      <w:bookmarkStart w:id="393" w:name="_Toc112693970"/>
      <w:bookmarkStart w:id="394" w:name="_Toc112694105"/>
      <w:bookmarkStart w:id="395" w:name="_Toc112861067"/>
      <w:r>
        <w:rPr>
          <w:rFonts w:hint="eastAsia" w:ascii="宋体" w:hAnsi="宋体" w:eastAsia="宋体" w:cs="宋体"/>
          <w:color w:val="000000" w:themeColor="text1"/>
          <w14:textFill>
            <w14:solidFill>
              <w14:schemeClr w14:val="tx1"/>
            </w14:solidFill>
          </w14:textFill>
        </w:rPr>
        <w:t>环境效益</w:t>
      </w:r>
      <w:bookmarkEnd w:id="393"/>
      <w:bookmarkEnd w:id="394"/>
      <w:bookmarkEnd w:id="395"/>
    </w:p>
    <w:p w14:paraId="53CF59E5">
      <w:pPr>
        <w:pStyle w:val="52"/>
        <w:rPr>
          <w:color w:val="000000" w:themeColor="text1"/>
          <w14:textFill>
            <w14:solidFill>
              <w14:schemeClr w14:val="tx1"/>
            </w14:solidFill>
          </w14:textFill>
        </w:rPr>
      </w:pPr>
      <w:r>
        <w:rPr>
          <w:color w:val="000000" w:themeColor="text1"/>
          <w14:textFill>
            <w14:solidFill>
              <w14:schemeClr w14:val="tx1"/>
            </w14:solidFill>
          </w14:textFill>
        </w:rPr>
        <w:t>若北峰山区乡镇生活污水不加管控和治理，任意排放至自然环境，日积月累将对北峰山区乡镇环境造成破坏，尤其是北峰山区乡镇水体接纳了超过环境容量的污染物后失去自净功能，逐步转变为黑臭水体。通过规划的逐步实施，北峰山区乡镇生活污水将得到有效</w:t>
      </w:r>
      <w:r>
        <w:rPr>
          <w:color w:val="000000" w:themeColor="text1"/>
          <w:spacing w:val="-3"/>
          <w14:textFill>
            <w14:solidFill>
              <w14:schemeClr w14:val="tx1"/>
            </w14:solidFill>
          </w14:textFill>
        </w:rPr>
        <w:t>治理</w:t>
      </w:r>
      <w:r>
        <w:rPr>
          <w:color w:val="000000" w:themeColor="text1"/>
          <w14:textFill>
            <w14:solidFill>
              <w14:schemeClr w14:val="tx1"/>
            </w14:solidFill>
          </w14:textFill>
        </w:rPr>
        <w:t>和管控，主要污染物得到有效削减，进一步提升北峰山区乡镇水环境质量。根据《福建省北峰山区乡镇生活污水治理技术指南》，经济条件较好，卫生设施较齐全，生活用水指标取值80L/人·天，污水排放系数取值0.7。按照晋安区北峰山区乡镇常住人口行测算，到2030年，按治理率90%计算，可以减排的主要污染物负荷量见表10.3-1。</w:t>
      </w:r>
      <w:r>
        <w:rPr>
          <w:color w:val="000000" w:themeColor="text1"/>
          <w14:textFill>
            <w14:solidFill>
              <w14:schemeClr w14:val="tx1"/>
            </w14:solidFill>
          </w14:textFill>
        </w:rPr>
        <w:br w:type="page"/>
      </w:r>
    </w:p>
    <w:p w14:paraId="4D695783">
      <w:pPr>
        <w:pStyle w:val="442"/>
        <w:rPr>
          <w:color w:val="000000" w:themeColor="text1"/>
          <w14:textFill>
            <w14:solidFill>
              <w14:schemeClr w14:val="tx1"/>
            </w14:solidFill>
          </w14:textFill>
        </w:rPr>
      </w:pPr>
      <w:r>
        <w:rPr>
          <w:color w:val="000000" w:themeColor="text1"/>
          <w14:textFill>
            <w14:solidFill>
              <w14:schemeClr w14:val="tx1"/>
            </w14:solidFill>
          </w14:textFill>
        </w:rPr>
        <w:t>表10.3-1水质预测表</w:t>
      </w:r>
    </w:p>
    <w:tbl>
      <w:tblPr>
        <w:tblStyle w:val="5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824"/>
        <w:gridCol w:w="1410"/>
        <w:gridCol w:w="1267"/>
        <w:gridCol w:w="933"/>
        <w:gridCol w:w="1178"/>
        <w:gridCol w:w="1005"/>
        <w:gridCol w:w="897"/>
      </w:tblGrid>
      <w:tr w14:paraId="3F02F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71" w:type="pct"/>
            <w:shd w:val="clear" w:color="auto" w:fill="auto"/>
            <w:vAlign w:val="center"/>
          </w:tcPr>
          <w:p w14:paraId="1F78637C">
            <w:pPr>
              <w:pStyle w:val="476"/>
              <w:rPr>
                <w:b/>
                <w:color w:val="000000" w:themeColor="text1"/>
                <w14:textFill>
                  <w14:solidFill>
                    <w14:schemeClr w14:val="tx1"/>
                  </w14:solidFill>
                </w14:textFill>
              </w:rPr>
            </w:pPr>
            <w:r>
              <w:rPr>
                <w:b/>
                <w:color w:val="000000" w:themeColor="text1"/>
                <w14:textFill>
                  <w14:solidFill>
                    <w14:schemeClr w14:val="tx1"/>
                  </w14:solidFill>
                </w14:textFill>
              </w:rPr>
              <w:t>项目</w:t>
            </w:r>
          </w:p>
        </w:tc>
        <w:tc>
          <w:tcPr>
            <w:tcW w:w="828" w:type="pct"/>
            <w:shd w:val="clear" w:color="auto" w:fill="auto"/>
            <w:vAlign w:val="center"/>
          </w:tcPr>
          <w:p w14:paraId="355B5473">
            <w:pPr>
              <w:pStyle w:val="476"/>
              <w:rPr>
                <w:b/>
                <w:color w:val="000000" w:themeColor="text1"/>
                <w14:textFill>
                  <w14:solidFill>
                    <w14:schemeClr w14:val="tx1"/>
                  </w14:solidFill>
                </w14:textFill>
              </w:rPr>
            </w:pPr>
            <w:r>
              <w:rPr>
                <w:b/>
                <w:color w:val="000000" w:themeColor="text1"/>
                <w14:textFill>
                  <w14:solidFill>
                    <w14:schemeClr w14:val="tx1"/>
                  </w14:solidFill>
                </w14:textFill>
              </w:rPr>
              <w:t>CODcr</w:t>
            </w:r>
          </w:p>
        </w:tc>
        <w:tc>
          <w:tcPr>
            <w:tcW w:w="744" w:type="pct"/>
            <w:shd w:val="clear" w:color="auto" w:fill="auto"/>
            <w:vAlign w:val="center"/>
          </w:tcPr>
          <w:p w14:paraId="7CD97FE7">
            <w:pPr>
              <w:pStyle w:val="476"/>
              <w:rPr>
                <w:b/>
                <w:color w:val="000000" w:themeColor="text1"/>
                <w14:textFill>
                  <w14:solidFill>
                    <w14:schemeClr w14:val="tx1"/>
                  </w14:solidFill>
                </w14:textFill>
              </w:rPr>
            </w:pPr>
            <w:r>
              <w:rPr>
                <w:b/>
                <w:color w:val="000000" w:themeColor="text1"/>
                <w14:textFill>
                  <w14:solidFill>
                    <w14:schemeClr w14:val="tx1"/>
                  </w14:solidFill>
                </w14:textFill>
              </w:rPr>
              <w:t>BOD</w:t>
            </w:r>
            <w:r>
              <w:rPr>
                <w:b/>
                <w:color w:val="000000" w:themeColor="text1"/>
                <w:vertAlign w:val="subscript"/>
                <w14:textFill>
                  <w14:solidFill>
                    <w14:schemeClr w14:val="tx1"/>
                  </w14:solidFill>
                </w14:textFill>
              </w:rPr>
              <w:t>5</w:t>
            </w:r>
          </w:p>
        </w:tc>
        <w:tc>
          <w:tcPr>
            <w:tcW w:w="548" w:type="pct"/>
            <w:shd w:val="clear" w:color="auto" w:fill="auto"/>
            <w:vAlign w:val="center"/>
          </w:tcPr>
          <w:p w14:paraId="624C8BE5">
            <w:pPr>
              <w:pStyle w:val="476"/>
              <w:rPr>
                <w:b/>
                <w:color w:val="000000" w:themeColor="text1"/>
                <w14:textFill>
                  <w14:solidFill>
                    <w14:schemeClr w14:val="tx1"/>
                  </w14:solidFill>
                </w14:textFill>
              </w:rPr>
            </w:pPr>
            <w:r>
              <w:rPr>
                <w:b/>
                <w:color w:val="000000" w:themeColor="text1"/>
                <w14:textFill>
                  <w14:solidFill>
                    <w14:schemeClr w14:val="tx1"/>
                  </w14:solidFill>
                </w14:textFill>
              </w:rPr>
              <w:t>SS</w:t>
            </w:r>
          </w:p>
        </w:tc>
        <w:tc>
          <w:tcPr>
            <w:tcW w:w="692" w:type="pct"/>
            <w:shd w:val="clear" w:color="auto" w:fill="auto"/>
            <w:vAlign w:val="center"/>
          </w:tcPr>
          <w:p w14:paraId="21F1A461">
            <w:pPr>
              <w:pStyle w:val="476"/>
              <w:rPr>
                <w:b/>
                <w:color w:val="000000" w:themeColor="text1"/>
                <w14:textFill>
                  <w14:solidFill>
                    <w14:schemeClr w14:val="tx1"/>
                  </w14:solidFill>
                </w14:textFill>
              </w:rPr>
            </w:pPr>
            <w:r>
              <w:rPr>
                <w:b/>
                <w:color w:val="000000" w:themeColor="text1"/>
                <w14:textFill>
                  <w14:solidFill>
                    <w14:schemeClr w14:val="tx1"/>
                  </w14:solidFill>
                </w14:textFill>
              </w:rPr>
              <w:t>TP</w:t>
            </w:r>
          </w:p>
        </w:tc>
        <w:tc>
          <w:tcPr>
            <w:tcW w:w="590" w:type="pct"/>
            <w:shd w:val="clear" w:color="auto" w:fill="auto"/>
            <w:vAlign w:val="center"/>
          </w:tcPr>
          <w:p w14:paraId="1978918B">
            <w:pPr>
              <w:pStyle w:val="476"/>
              <w:rPr>
                <w:b/>
                <w:color w:val="000000" w:themeColor="text1"/>
                <w14:textFill>
                  <w14:solidFill>
                    <w14:schemeClr w14:val="tx1"/>
                  </w14:solidFill>
                </w14:textFill>
              </w:rPr>
            </w:pPr>
            <w:r>
              <w:rPr>
                <w:b/>
                <w:color w:val="000000" w:themeColor="text1"/>
                <w14:textFill>
                  <w14:solidFill>
                    <w14:schemeClr w14:val="tx1"/>
                  </w14:solidFill>
                </w14:textFill>
              </w:rPr>
              <w:t>氨氮</w:t>
            </w:r>
          </w:p>
        </w:tc>
        <w:tc>
          <w:tcPr>
            <w:tcW w:w="527" w:type="pct"/>
            <w:shd w:val="clear" w:color="auto" w:fill="8EAADB" w:themeFill="accent1" w:themeFillTint="99"/>
            <w:vAlign w:val="center"/>
          </w:tcPr>
          <w:p w14:paraId="2AE254BF">
            <w:pPr>
              <w:pStyle w:val="476"/>
              <w:rPr>
                <w:b/>
                <w:color w:val="000000" w:themeColor="text1"/>
                <w14:textFill>
                  <w14:solidFill>
                    <w14:schemeClr w14:val="tx1"/>
                  </w14:solidFill>
                </w14:textFill>
              </w:rPr>
            </w:pPr>
            <w:r>
              <w:rPr>
                <w:b/>
                <w:color w:val="000000" w:themeColor="text1"/>
                <w14:textFill>
                  <w14:solidFill>
                    <w14:schemeClr w14:val="tx1"/>
                  </w14:solidFill>
                </w14:textFill>
              </w:rPr>
              <w:t>pH值</w:t>
            </w:r>
          </w:p>
        </w:tc>
      </w:tr>
      <w:tr w14:paraId="662C4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71" w:type="pct"/>
            <w:vAlign w:val="center"/>
          </w:tcPr>
          <w:p w14:paraId="0A522D75">
            <w:pPr>
              <w:pStyle w:val="476"/>
              <w:rPr>
                <w:color w:val="000000" w:themeColor="text1"/>
                <w14:textFill>
                  <w14:solidFill>
                    <w14:schemeClr w14:val="tx1"/>
                  </w14:solidFill>
                </w14:textFill>
              </w:rPr>
            </w:pPr>
            <w:r>
              <w:rPr>
                <w:color w:val="000000" w:themeColor="text1"/>
                <w14:textFill>
                  <w14:solidFill>
                    <w14:schemeClr w14:val="tx1"/>
                  </w14:solidFill>
                </w14:textFill>
              </w:rPr>
              <w:t>进水水质</w:t>
            </w:r>
          </w:p>
          <w:p w14:paraId="514CB4BF">
            <w:pPr>
              <w:pStyle w:val="476"/>
              <w:rPr>
                <w:color w:val="000000" w:themeColor="text1"/>
                <w14:textFill>
                  <w14:solidFill>
                    <w14:schemeClr w14:val="tx1"/>
                  </w14:solidFill>
                </w14:textFill>
              </w:rPr>
            </w:pPr>
            <w:r>
              <w:rPr>
                <w:color w:val="000000" w:themeColor="text1"/>
                <w14:textFill>
                  <w14:solidFill>
                    <w14:schemeClr w14:val="tx1"/>
                  </w14:solidFill>
                </w14:textFill>
              </w:rPr>
              <w:t>（mg/L）</w:t>
            </w:r>
          </w:p>
        </w:tc>
        <w:tc>
          <w:tcPr>
            <w:tcW w:w="828" w:type="pct"/>
            <w:vAlign w:val="center"/>
          </w:tcPr>
          <w:p w14:paraId="36DD9F91">
            <w:pPr>
              <w:pStyle w:val="476"/>
              <w:rPr>
                <w:color w:val="000000" w:themeColor="text1"/>
                <w14:textFill>
                  <w14:solidFill>
                    <w14:schemeClr w14:val="tx1"/>
                  </w14:solidFill>
                </w14:textFill>
              </w:rPr>
            </w:pPr>
            <w:r>
              <w:rPr>
                <w:color w:val="000000" w:themeColor="text1"/>
                <w14:textFill>
                  <w14:solidFill>
                    <w14:schemeClr w14:val="tx1"/>
                  </w14:solidFill>
                </w14:textFill>
              </w:rPr>
              <w:t>250</w:t>
            </w:r>
          </w:p>
        </w:tc>
        <w:tc>
          <w:tcPr>
            <w:tcW w:w="744" w:type="pct"/>
            <w:vAlign w:val="center"/>
          </w:tcPr>
          <w:p w14:paraId="00C16C95">
            <w:pPr>
              <w:pStyle w:val="476"/>
              <w:rPr>
                <w:color w:val="000000" w:themeColor="text1"/>
                <w14:textFill>
                  <w14:solidFill>
                    <w14:schemeClr w14:val="tx1"/>
                  </w14:solidFill>
                </w14:textFill>
              </w:rPr>
            </w:pPr>
            <w:r>
              <w:rPr>
                <w:color w:val="000000" w:themeColor="text1"/>
                <w14:textFill>
                  <w14:solidFill>
                    <w14:schemeClr w14:val="tx1"/>
                  </w14:solidFill>
                </w14:textFill>
              </w:rPr>
              <w:t>100</w:t>
            </w:r>
          </w:p>
        </w:tc>
        <w:tc>
          <w:tcPr>
            <w:tcW w:w="548" w:type="pct"/>
            <w:vAlign w:val="center"/>
          </w:tcPr>
          <w:p w14:paraId="436FF034">
            <w:pPr>
              <w:pStyle w:val="476"/>
              <w:rPr>
                <w:color w:val="000000" w:themeColor="text1"/>
                <w14:textFill>
                  <w14:solidFill>
                    <w14:schemeClr w14:val="tx1"/>
                  </w14:solidFill>
                </w14:textFill>
              </w:rPr>
            </w:pPr>
            <w:r>
              <w:rPr>
                <w:color w:val="000000" w:themeColor="text1"/>
                <w14:textFill>
                  <w14:solidFill>
                    <w14:schemeClr w14:val="tx1"/>
                  </w14:solidFill>
                </w14:textFill>
              </w:rPr>
              <w:t>100</w:t>
            </w:r>
          </w:p>
        </w:tc>
        <w:tc>
          <w:tcPr>
            <w:tcW w:w="692" w:type="pct"/>
            <w:vAlign w:val="center"/>
          </w:tcPr>
          <w:p w14:paraId="3A7B8AC6">
            <w:pPr>
              <w:pStyle w:val="476"/>
              <w:rPr>
                <w:color w:val="000000" w:themeColor="text1"/>
                <w14:textFill>
                  <w14:solidFill>
                    <w14:schemeClr w14:val="tx1"/>
                  </w14:solidFill>
                </w14:textFill>
              </w:rPr>
            </w:pPr>
            <w:r>
              <w:rPr>
                <w:color w:val="000000" w:themeColor="text1"/>
                <w14:textFill>
                  <w14:solidFill>
                    <w14:schemeClr w14:val="tx1"/>
                  </w14:solidFill>
                </w14:textFill>
              </w:rPr>
              <w:t>5</w:t>
            </w:r>
          </w:p>
        </w:tc>
        <w:tc>
          <w:tcPr>
            <w:tcW w:w="590" w:type="pct"/>
            <w:vAlign w:val="center"/>
          </w:tcPr>
          <w:p w14:paraId="3F1A05C7">
            <w:pPr>
              <w:pStyle w:val="476"/>
              <w:rPr>
                <w:color w:val="000000" w:themeColor="text1"/>
                <w14:textFill>
                  <w14:solidFill>
                    <w14:schemeClr w14:val="tx1"/>
                  </w14:solidFill>
                </w14:textFill>
              </w:rPr>
            </w:pPr>
            <w:r>
              <w:rPr>
                <w:color w:val="000000" w:themeColor="text1"/>
                <w14:textFill>
                  <w14:solidFill>
                    <w14:schemeClr w14:val="tx1"/>
                  </w14:solidFill>
                </w14:textFill>
              </w:rPr>
              <w:t>30</w:t>
            </w:r>
          </w:p>
        </w:tc>
        <w:tc>
          <w:tcPr>
            <w:tcW w:w="527" w:type="pct"/>
            <w:vAlign w:val="center"/>
          </w:tcPr>
          <w:p w14:paraId="7CEB01ED">
            <w:pPr>
              <w:pStyle w:val="476"/>
              <w:rPr>
                <w:color w:val="000000" w:themeColor="text1"/>
                <w14:textFill>
                  <w14:solidFill>
                    <w14:schemeClr w14:val="tx1"/>
                  </w14:solidFill>
                </w14:textFill>
              </w:rPr>
            </w:pPr>
            <w:r>
              <w:rPr>
                <w:color w:val="000000" w:themeColor="text1"/>
                <w14:textFill>
                  <w14:solidFill>
                    <w14:schemeClr w14:val="tx1"/>
                  </w14:solidFill>
                </w14:textFill>
              </w:rPr>
              <w:t>6-9</w:t>
            </w:r>
          </w:p>
        </w:tc>
      </w:tr>
      <w:tr w14:paraId="4FB61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000" w:type="pct"/>
            <w:gridSpan w:val="7"/>
            <w:vAlign w:val="center"/>
          </w:tcPr>
          <w:p w14:paraId="0FF1BECB">
            <w:pPr>
              <w:pStyle w:val="476"/>
              <w:rPr>
                <w:b/>
                <w:color w:val="000000" w:themeColor="text1"/>
                <w14:textFill>
                  <w14:solidFill>
                    <w14:schemeClr w14:val="tx1"/>
                  </w14:solidFill>
                </w14:textFill>
              </w:rPr>
            </w:pPr>
            <w:r>
              <w:rPr>
                <w:b/>
                <w:bCs/>
                <w:color w:val="000000" w:themeColor="text1"/>
                <w14:textFill>
                  <w14:solidFill>
                    <w14:schemeClr w14:val="tx1"/>
                  </w14:solidFill>
                </w14:textFill>
              </w:rPr>
              <w:t>晋安区北峰山区乡镇居民生活污水主要污染物负荷量（单位：吨/年）</w:t>
            </w:r>
          </w:p>
        </w:tc>
      </w:tr>
      <w:tr w14:paraId="012F2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71" w:type="pct"/>
            <w:vAlign w:val="center"/>
          </w:tcPr>
          <w:p w14:paraId="754992EF">
            <w:pPr>
              <w:pStyle w:val="476"/>
              <w:rPr>
                <w:color w:val="000000" w:themeColor="text1"/>
                <w14:textFill>
                  <w14:solidFill>
                    <w14:schemeClr w14:val="tx1"/>
                  </w14:solidFill>
                </w14:textFill>
              </w:rPr>
            </w:pPr>
            <w:r>
              <w:rPr>
                <w:color w:val="000000" w:themeColor="text1"/>
                <w14:textFill>
                  <w14:solidFill>
                    <w14:schemeClr w14:val="tx1"/>
                  </w14:solidFill>
                </w14:textFill>
              </w:rPr>
              <w:t>主要指标</w:t>
            </w:r>
          </w:p>
        </w:tc>
        <w:tc>
          <w:tcPr>
            <w:tcW w:w="828" w:type="pct"/>
            <w:vAlign w:val="center"/>
          </w:tcPr>
          <w:p w14:paraId="4DEF1E2D">
            <w:pPr>
              <w:pStyle w:val="476"/>
              <w:rPr>
                <w:color w:val="000000" w:themeColor="text1"/>
                <w14:textFill>
                  <w14:solidFill>
                    <w14:schemeClr w14:val="tx1"/>
                  </w14:solidFill>
                </w14:textFill>
              </w:rPr>
            </w:pPr>
            <w:r>
              <w:rPr>
                <w:color w:val="000000" w:themeColor="text1"/>
                <w14:textFill>
                  <w14:solidFill>
                    <w14:schemeClr w14:val="tx1"/>
                  </w14:solidFill>
                </w14:textFill>
              </w:rPr>
              <w:t>污水量</w:t>
            </w:r>
          </w:p>
        </w:tc>
        <w:tc>
          <w:tcPr>
            <w:tcW w:w="744" w:type="pct"/>
            <w:vAlign w:val="center"/>
          </w:tcPr>
          <w:p w14:paraId="50ADACBD">
            <w:pPr>
              <w:pStyle w:val="476"/>
              <w:rPr>
                <w:color w:val="000000" w:themeColor="text1"/>
                <w14:textFill>
                  <w14:solidFill>
                    <w14:schemeClr w14:val="tx1"/>
                  </w14:solidFill>
                </w14:textFill>
              </w:rPr>
            </w:pPr>
            <w:r>
              <w:rPr>
                <w:color w:val="000000" w:themeColor="text1"/>
                <w14:textFill>
                  <w14:solidFill>
                    <w14:schemeClr w14:val="tx1"/>
                  </w14:solidFill>
                </w14:textFill>
              </w:rPr>
              <w:t>CODcr</w:t>
            </w:r>
          </w:p>
        </w:tc>
        <w:tc>
          <w:tcPr>
            <w:tcW w:w="548" w:type="pct"/>
            <w:vAlign w:val="center"/>
          </w:tcPr>
          <w:p w14:paraId="0AF2A7F1">
            <w:pPr>
              <w:pStyle w:val="476"/>
              <w:rPr>
                <w:color w:val="000000" w:themeColor="text1"/>
                <w14:textFill>
                  <w14:solidFill>
                    <w14:schemeClr w14:val="tx1"/>
                  </w14:solidFill>
                </w14:textFill>
              </w:rPr>
            </w:pPr>
            <w:r>
              <w:rPr>
                <w:color w:val="000000" w:themeColor="text1"/>
                <w14:textFill>
                  <w14:solidFill>
                    <w14:schemeClr w14:val="tx1"/>
                  </w14:solidFill>
                </w14:textFill>
              </w:rPr>
              <w:t>BOD</w:t>
            </w:r>
            <w:r>
              <w:rPr>
                <w:color w:val="000000" w:themeColor="text1"/>
                <w:vertAlign w:val="subscript"/>
                <w14:textFill>
                  <w14:solidFill>
                    <w14:schemeClr w14:val="tx1"/>
                  </w14:solidFill>
                </w14:textFill>
              </w:rPr>
              <w:t>5</w:t>
            </w:r>
          </w:p>
        </w:tc>
        <w:tc>
          <w:tcPr>
            <w:tcW w:w="692" w:type="pct"/>
            <w:vAlign w:val="center"/>
          </w:tcPr>
          <w:p w14:paraId="771E9108">
            <w:pPr>
              <w:pStyle w:val="476"/>
              <w:rPr>
                <w:color w:val="000000" w:themeColor="text1"/>
                <w14:textFill>
                  <w14:solidFill>
                    <w14:schemeClr w14:val="tx1"/>
                  </w14:solidFill>
                </w14:textFill>
              </w:rPr>
            </w:pPr>
            <w:r>
              <w:rPr>
                <w:color w:val="000000" w:themeColor="text1"/>
                <w14:textFill>
                  <w14:solidFill>
                    <w14:schemeClr w14:val="tx1"/>
                  </w14:solidFill>
                </w14:textFill>
              </w:rPr>
              <w:t>SS</w:t>
            </w:r>
          </w:p>
        </w:tc>
        <w:tc>
          <w:tcPr>
            <w:tcW w:w="590" w:type="pct"/>
            <w:vAlign w:val="center"/>
          </w:tcPr>
          <w:p w14:paraId="19D392F9">
            <w:pPr>
              <w:pStyle w:val="476"/>
              <w:rPr>
                <w:color w:val="000000" w:themeColor="text1"/>
                <w14:textFill>
                  <w14:solidFill>
                    <w14:schemeClr w14:val="tx1"/>
                  </w14:solidFill>
                </w14:textFill>
              </w:rPr>
            </w:pPr>
            <w:r>
              <w:rPr>
                <w:color w:val="000000" w:themeColor="text1"/>
                <w14:textFill>
                  <w14:solidFill>
                    <w14:schemeClr w14:val="tx1"/>
                  </w14:solidFill>
                </w14:textFill>
              </w:rPr>
              <w:t>TP</w:t>
            </w:r>
          </w:p>
        </w:tc>
        <w:tc>
          <w:tcPr>
            <w:tcW w:w="527" w:type="pct"/>
            <w:vAlign w:val="center"/>
          </w:tcPr>
          <w:p w14:paraId="02A137CC">
            <w:pPr>
              <w:pStyle w:val="476"/>
              <w:rPr>
                <w:color w:val="000000" w:themeColor="text1"/>
                <w14:textFill>
                  <w14:solidFill>
                    <w14:schemeClr w14:val="tx1"/>
                  </w14:solidFill>
                </w14:textFill>
              </w:rPr>
            </w:pPr>
            <w:r>
              <w:rPr>
                <w:color w:val="000000" w:themeColor="text1"/>
                <w14:textFill>
                  <w14:solidFill>
                    <w14:schemeClr w14:val="tx1"/>
                  </w14:solidFill>
                </w14:textFill>
              </w:rPr>
              <w:t>氨氮</w:t>
            </w:r>
          </w:p>
        </w:tc>
      </w:tr>
      <w:tr w14:paraId="33317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71" w:type="pct"/>
            <w:vAlign w:val="center"/>
          </w:tcPr>
          <w:p w14:paraId="4BE63CF1">
            <w:pPr>
              <w:pStyle w:val="476"/>
              <w:rPr>
                <w:color w:val="000000" w:themeColor="text1"/>
                <w14:textFill>
                  <w14:solidFill>
                    <w14:schemeClr w14:val="tx1"/>
                  </w14:solidFill>
                </w14:textFill>
              </w:rPr>
            </w:pPr>
            <w:r>
              <w:rPr>
                <w:color w:val="000000" w:themeColor="text1"/>
                <w14:textFill>
                  <w14:solidFill>
                    <w14:schemeClr w14:val="tx1"/>
                  </w14:solidFill>
                </w14:textFill>
              </w:rPr>
              <w:t>污染物负荷量</w:t>
            </w:r>
          </w:p>
        </w:tc>
        <w:tc>
          <w:tcPr>
            <w:tcW w:w="828" w:type="pct"/>
            <w:vAlign w:val="center"/>
          </w:tcPr>
          <w:p w14:paraId="7584DD0A">
            <w:pPr>
              <w:pStyle w:val="476"/>
              <w:rPr>
                <w:color w:val="000000" w:themeColor="text1"/>
                <w14:textFill>
                  <w14:solidFill>
                    <w14:schemeClr w14:val="tx1"/>
                  </w14:solidFill>
                </w14:textFill>
              </w:rPr>
            </w:pPr>
            <w:r>
              <w:rPr>
                <w:color w:val="000000" w:themeColor="text1"/>
                <w14:textFill>
                  <w14:solidFill>
                    <w14:schemeClr w14:val="tx1"/>
                  </w14:solidFill>
                </w14:textFill>
              </w:rPr>
              <w:t>275186</w:t>
            </w:r>
          </w:p>
        </w:tc>
        <w:tc>
          <w:tcPr>
            <w:tcW w:w="744" w:type="pct"/>
            <w:vAlign w:val="center"/>
          </w:tcPr>
          <w:p w14:paraId="1451A401">
            <w:pPr>
              <w:pStyle w:val="476"/>
              <w:rPr>
                <w:color w:val="000000" w:themeColor="text1"/>
                <w14:textFill>
                  <w14:solidFill>
                    <w14:schemeClr w14:val="tx1"/>
                  </w14:solidFill>
                </w14:textFill>
              </w:rPr>
            </w:pPr>
            <w:r>
              <w:rPr>
                <w:color w:val="000000" w:themeColor="text1"/>
                <w14:textFill>
                  <w14:solidFill>
                    <w14:schemeClr w14:val="tx1"/>
                  </w14:solidFill>
                </w14:textFill>
              </w:rPr>
              <w:t>68.8</w:t>
            </w:r>
          </w:p>
        </w:tc>
        <w:tc>
          <w:tcPr>
            <w:tcW w:w="548" w:type="pct"/>
            <w:vAlign w:val="center"/>
          </w:tcPr>
          <w:p w14:paraId="12E39961">
            <w:pPr>
              <w:pStyle w:val="476"/>
              <w:rPr>
                <w:color w:val="000000" w:themeColor="text1"/>
                <w14:textFill>
                  <w14:solidFill>
                    <w14:schemeClr w14:val="tx1"/>
                  </w14:solidFill>
                </w14:textFill>
              </w:rPr>
            </w:pPr>
            <w:r>
              <w:rPr>
                <w:color w:val="000000" w:themeColor="text1"/>
                <w14:textFill>
                  <w14:solidFill>
                    <w14:schemeClr w14:val="tx1"/>
                  </w14:solidFill>
                </w14:textFill>
              </w:rPr>
              <w:t>27.5</w:t>
            </w:r>
          </w:p>
        </w:tc>
        <w:tc>
          <w:tcPr>
            <w:tcW w:w="692" w:type="pct"/>
            <w:vAlign w:val="center"/>
          </w:tcPr>
          <w:p w14:paraId="6A0108AF">
            <w:pPr>
              <w:pStyle w:val="476"/>
              <w:rPr>
                <w:color w:val="000000" w:themeColor="text1"/>
                <w14:textFill>
                  <w14:solidFill>
                    <w14:schemeClr w14:val="tx1"/>
                  </w14:solidFill>
                </w14:textFill>
              </w:rPr>
            </w:pPr>
            <w:r>
              <w:rPr>
                <w:color w:val="000000" w:themeColor="text1"/>
                <w14:textFill>
                  <w14:solidFill>
                    <w14:schemeClr w14:val="tx1"/>
                  </w14:solidFill>
                </w14:textFill>
              </w:rPr>
              <w:t>27.5</w:t>
            </w:r>
          </w:p>
        </w:tc>
        <w:tc>
          <w:tcPr>
            <w:tcW w:w="590" w:type="pct"/>
            <w:vAlign w:val="center"/>
          </w:tcPr>
          <w:p w14:paraId="6A2D3F43">
            <w:pPr>
              <w:pStyle w:val="476"/>
              <w:rPr>
                <w:color w:val="000000" w:themeColor="text1"/>
                <w14:textFill>
                  <w14:solidFill>
                    <w14:schemeClr w14:val="tx1"/>
                  </w14:solidFill>
                </w14:textFill>
              </w:rPr>
            </w:pPr>
            <w:r>
              <w:rPr>
                <w:color w:val="000000" w:themeColor="text1"/>
                <w14:textFill>
                  <w14:solidFill>
                    <w14:schemeClr w14:val="tx1"/>
                  </w14:solidFill>
                </w14:textFill>
              </w:rPr>
              <w:t>1.4</w:t>
            </w:r>
          </w:p>
        </w:tc>
        <w:tc>
          <w:tcPr>
            <w:tcW w:w="527" w:type="pct"/>
            <w:vAlign w:val="center"/>
          </w:tcPr>
          <w:p w14:paraId="643E046F">
            <w:pPr>
              <w:pStyle w:val="476"/>
              <w:rPr>
                <w:color w:val="000000" w:themeColor="text1"/>
                <w14:textFill>
                  <w14:solidFill>
                    <w14:schemeClr w14:val="tx1"/>
                  </w14:solidFill>
                </w14:textFill>
              </w:rPr>
            </w:pPr>
            <w:r>
              <w:rPr>
                <w:color w:val="000000" w:themeColor="text1"/>
                <w14:textFill>
                  <w14:solidFill>
                    <w14:schemeClr w14:val="tx1"/>
                  </w14:solidFill>
                </w14:textFill>
              </w:rPr>
              <w:t>8.3</w:t>
            </w:r>
          </w:p>
        </w:tc>
      </w:tr>
    </w:tbl>
    <w:p w14:paraId="4902E61A">
      <w:pPr>
        <w:pStyle w:val="5"/>
        <w:ind w:firstLine="0"/>
        <w:rPr>
          <w:color w:val="000000" w:themeColor="text1"/>
          <w:lang w:val="en-US"/>
          <w14:textFill>
            <w14:solidFill>
              <w14:schemeClr w14:val="tx1"/>
            </w14:solidFill>
          </w14:textFill>
        </w:rPr>
      </w:pPr>
      <w:r>
        <w:rPr>
          <w:color w:val="000000" w:themeColor="text1"/>
          <w:lang w:val="en-US"/>
          <w14:textFill>
            <w14:solidFill>
              <w14:schemeClr w14:val="tx1"/>
            </w14:solidFill>
          </w14:textFill>
        </w:rPr>
        <w:br w:type="page"/>
      </w:r>
    </w:p>
    <w:p w14:paraId="7E611E9A">
      <w:pPr>
        <w:pStyle w:val="3"/>
        <w:rPr>
          <w:rFonts w:ascii="Times New Roman" w:hAnsi="Times New Roman"/>
          <w:color w:val="000000" w:themeColor="text1"/>
          <w14:textFill>
            <w14:solidFill>
              <w14:schemeClr w14:val="tx1"/>
            </w14:solidFill>
          </w14:textFill>
        </w:rPr>
      </w:pPr>
      <w:bookmarkStart w:id="396" w:name="_Toc112693971"/>
      <w:bookmarkStart w:id="397" w:name="_Toc112694106"/>
      <w:bookmarkStart w:id="398" w:name="_Toc112861068"/>
      <w:r>
        <w:rPr>
          <w:rFonts w:ascii="Times New Roman" w:hAnsi="Times New Roman"/>
          <w:color w:val="000000" w:themeColor="text1"/>
          <w14:textFill>
            <w14:solidFill>
              <w14:schemeClr w14:val="tx1"/>
            </w14:solidFill>
          </w14:textFill>
        </w:rPr>
        <w:t>结论与建议</w:t>
      </w:r>
      <w:bookmarkEnd w:id="396"/>
      <w:bookmarkEnd w:id="397"/>
      <w:bookmarkEnd w:id="398"/>
    </w:p>
    <w:p w14:paraId="5F9CB5A7">
      <w:pPr>
        <w:pStyle w:val="4"/>
        <w:rPr>
          <w:rFonts w:ascii="Times New Roman" w:hAnsi="Times New Roman" w:eastAsiaTheme="minorEastAsia"/>
          <w:color w:val="000000" w:themeColor="text1"/>
          <w14:textFill>
            <w14:solidFill>
              <w14:schemeClr w14:val="tx1"/>
            </w14:solidFill>
          </w14:textFill>
        </w:rPr>
      </w:pPr>
      <w:bookmarkStart w:id="399" w:name="_Toc112693972"/>
      <w:bookmarkStart w:id="400" w:name="_Toc112694107"/>
      <w:bookmarkStart w:id="401" w:name="_Toc112861069"/>
      <w:r>
        <w:rPr>
          <w:rFonts w:hint="eastAsia" w:ascii="宋体" w:hAnsi="宋体" w:eastAsia="宋体" w:cs="宋体"/>
          <w:color w:val="000000" w:themeColor="text1"/>
          <w14:textFill>
            <w14:solidFill>
              <w14:schemeClr w14:val="tx1"/>
            </w14:solidFill>
          </w14:textFill>
        </w:rPr>
        <w:t>主要成效</w:t>
      </w:r>
      <w:bookmarkEnd w:id="399"/>
      <w:bookmarkEnd w:id="400"/>
      <w:bookmarkEnd w:id="401"/>
    </w:p>
    <w:p w14:paraId="1C93A244">
      <w:pPr>
        <w:pStyle w:val="52"/>
        <w:rPr>
          <w:color w:val="000000" w:themeColor="text1"/>
          <w14:textFill>
            <w14:solidFill>
              <w14:schemeClr w14:val="tx1"/>
            </w14:solidFill>
          </w14:textFill>
        </w:rPr>
      </w:pPr>
      <w:r>
        <w:rPr>
          <w:color w:val="000000" w:themeColor="text1"/>
          <w14:textFill>
            <w14:solidFill>
              <w14:schemeClr w14:val="tx1"/>
            </w14:solidFill>
          </w14:textFill>
        </w:rPr>
        <w:t>1、晋安区2018年完成了北峰三个乡镇污水处理设施的提标改造工作，污水处理设施出水均已满足城镇污水处理厂排放标准一级A标准，现状污水处理设施能够满足近期城镇生活污水治理的需要。</w:t>
      </w:r>
    </w:p>
    <w:p w14:paraId="413F2304">
      <w:pPr>
        <w:pStyle w:val="52"/>
        <w:rPr>
          <w:color w:val="000000" w:themeColor="text1"/>
          <w14:textFill>
            <w14:solidFill>
              <w14:schemeClr w14:val="tx1"/>
            </w14:solidFill>
          </w14:textFill>
        </w:rPr>
      </w:pPr>
      <w:r>
        <w:rPr>
          <w:color w:val="000000" w:themeColor="text1"/>
          <w14:textFill>
            <w14:solidFill>
              <w14:schemeClr w14:val="tx1"/>
            </w14:solidFill>
          </w14:textFill>
        </w:rPr>
        <w:t>2、晋安区现状行政村北峰山区乡镇生活污水治理主要以纳管为主，仅有部分村庄内居民居住零散偏远，不能进行集中污水治理。</w:t>
      </w:r>
    </w:p>
    <w:p w14:paraId="08CC9AF7">
      <w:pPr>
        <w:pStyle w:val="52"/>
        <w:rPr>
          <w:color w:val="000000" w:themeColor="text1"/>
          <w14:textFill>
            <w14:solidFill>
              <w14:schemeClr w14:val="tx1"/>
            </w14:solidFill>
          </w14:textFill>
        </w:rPr>
      </w:pPr>
      <w:r>
        <w:rPr>
          <w:color w:val="000000" w:themeColor="text1"/>
          <w14:textFill>
            <w14:solidFill>
              <w14:schemeClr w14:val="tx1"/>
            </w14:solidFill>
          </w14:textFill>
        </w:rPr>
        <w:t>3、晋安区人民政府</w:t>
      </w:r>
      <w:r>
        <w:rPr>
          <w:rFonts w:hint="eastAsia"/>
          <w:color w:val="000000" w:themeColor="text1"/>
          <w:lang w:eastAsia="zh-CN"/>
          <w14:textFill>
            <w14:solidFill>
              <w14:schemeClr w14:val="tx1"/>
            </w14:solidFill>
          </w14:textFill>
        </w:rPr>
        <w:t>已经</w:t>
      </w:r>
      <w:r>
        <w:rPr>
          <w:color w:val="000000" w:themeColor="text1"/>
          <w14:textFill>
            <w14:solidFill>
              <w14:schemeClr w14:val="tx1"/>
            </w14:solidFill>
          </w14:textFill>
        </w:rPr>
        <w:t>于2018年12月对北峰山区乡镇生活污水处理工程进行了PPP项目招标运行，由福建北峰海峡环保科技有限公司中标该PPP项目的运营。目前已完成合同约定的新建项目以及存量污水治理设施的接收。并开展对存在问题的污水治理设施及配套管网的调查及整改、修复工作。目前设施运营良好，整体PPP项目运行正常，按合同约定稳定进展。</w:t>
      </w:r>
    </w:p>
    <w:p w14:paraId="36908B9E">
      <w:pPr>
        <w:pStyle w:val="4"/>
        <w:rPr>
          <w:rFonts w:ascii="Times New Roman" w:hAnsi="Times New Roman" w:eastAsiaTheme="minorEastAsia"/>
          <w:color w:val="000000" w:themeColor="text1"/>
          <w14:textFill>
            <w14:solidFill>
              <w14:schemeClr w14:val="tx1"/>
            </w14:solidFill>
          </w14:textFill>
        </w:rPr>
      </w:pPr>
      <w:bookmarkStart w:id="402" w:name="_Toc112861070"/>
      <w:bookmarkStart w:id="403" w:name="_Toc112694108"/>
      <w:bookmarkStart w:id="404" w:name="_Toc112693973"/>
      <w:r>
        <w:rPr>
          <w:rFonts w:hint="eastAsia" w:ascii="宋体" w:hAnsi="宋体" w:eastAsia="宋体" w:cs="宋体"/>
          <w:color w:val="000000" w:themeColor="text1"/>
          <w14:textFill>
            <w14:solidFill>
              <w14:schemeClr w14:val="tx1"/>
            </w14:solidFill>
          </w14:textFill>
        </w:rPr>
        <w:t>存在主要问题</w:t>
      </w:r>
      <w:bookmarkEnd w:id="402"/>
      <w:bookmarkEnd w:id="403"/>
      <w:bookmarkEnd w:id="404"/>
    </w:p>
    <w:p w14:paraId="61B26F90">
      <w:pPr>
        <w:pStyle w:val="52"/>
        <w:rPr>
          <w:color w:val="000000" w:themeColor="text1"/>
          <w14:textFill>
            <w14:solidFill>
              <w14:schemeClr w14:val="tx1"/>
            </w14:solidFill>
          </w14:textFill>
        </w:rPr>
      </w:pPr>
      <w:r>
        <w:rPr>
          <w:color w:val="000000" w:themeColor="text1"/>
          <w14:textFill>
            <w14:solidFill>
              <w14:schemeClr w14:val="tx1"/>
            </w14:solidFill>
          </w14:textFill>
        </w:rPr>
        <w:t>1、少量居民及老旧房屋未建设三格化粪池，卫生间粪便废水直接排进管网，导致管网堵塞，甚至部分治理终端附近居民将粪便废水直接进入终端，而导致治理设施失效。</w:t>
      </w:r>
    </w:p>
    <w:p w14:paraId="717C888A">
      <w:pPr>
        <w:pStyle w:val="52"/>
        <w:rPr>
          <w:color w:val="000000" w:themeColor="text1"/>
          <w14:textFill>
            <w14:solidFill>
              <w14:schemeClr w14:val="tx1"/>
            </w14:solidFill>
          </w14:textFill>
        </w:rPr>
      </w:pPr>
      <w:r>
        <w:rPr>
          <w:color w:val="000000" w:themeColor="text1"/>
          <w14:textFill>
            <w14:solidFill>
              <w14:schemeClr w14:val="tx1"/>
            </w14:solidFill>
          </w14:textFill>
        </w:rPr>
        <w:t>2、存在管网堵塞、破损等现象，导致实际污水收集率较低，管网建设资料缺失，运营维护造成了极大的困难。</w:t>
      </w:r>
    </w:p>
    <w:p w14:paraId="0FAC5018">
      <w:pPr>
        <w:pStyle w:val="52"/>
        <w:rPr>
          <w:color w:val="000000" w:themeColor="text1"/>
          <w14:textFill>
            <w14:solidFill>
              <w14:schemeClr w14:val="tx1"/>
            </w14:solidFill>
          </w14:textFill>
        </w:rPr>
      </w:pPr>
      <w:r>
        <w:rPr>
          <w:color w:val="000000" w:themeColor="text1"/>
          <w14:textFill>
            <w14:solidFill>
              <w14:schemeClr w14:val="tx1"/>
            </w14:solidFill>
          </w14:textFill>
        </w:rPr>
        <w:t>3、存在雨污混流情况，雨水进入污水处理系统，终端进水浓度低。</w:t>
      </w:r>
    </w:p>
    <w:p w14:paraId="282975C8">
      <w:pPr>
        <w:pStyle w:val="52"/>
        <w:rPr>
          <w:color w:val="000000" w:themeColor="text1"/>
          <w14:textFill>
            <w14:solidFill>
              <w14:schemeClr w14:val="tx1"/>
            </w14:solidFill>
          </w14:textFill>
        </w:rPr>
      </w:pPr>
      <w:r>
        <w:rPr>
          <w:color w:val="000000" w:themeColor="text1"/>
          <w14:textFill>
            <w14:solidFill>
              <w14:schemeClr w14:val="tx1"/>
            </w14:solidFill>
          </w14:textFill>
        </w:rPr>
        <w:t>4、部分集镇区餐饮服务业发达，大量餐饮废水未经处理排入市政管网，对管网和设施运行存在影响。</w:t>
      </w:r>
    </w:p>
    <w:p w14:paraId="19456AE3">
      <w:pPr>
        <w:pStyle w:val="4"/>
        <w:rPr>
          <w:rFonts w:ascii="Times New Roman" w:hAnsi="Times New Roman" w:eastAsiaTheme="minorEastAsia"/>
          <w:color w:val="000000" w:themeColor="text1"/>
          <w14:textFill>
            <w14:solidFill>
              <w14:schemeClr w14:val="tx1"/>
            </w14:solidFill>
          </w14:textFill>
        </w:rPr>
      </w:pPr>
      <w:bookmarkStart w:id="405" w:name="_Toc112693974"/>
      <w:bookmarkStart w:id="406" w:name="_Toc112694109"/>
      <w:bookmarkStart w:id="407" w:name="_Toc112861071"/>
      <w:r>
        <w:rPr>
          <w:rFonts w:hint="eastAsia" w:ascii="宋体" w:hAnsi="宋体" w:eastAsia="宋体" w:cs="宋体"/>
          <w:color w:val="000000" w:themeColor="text1"/>
          <w14:textFill>
            <w14:solidFill>
              <w14:schemeClr w14:val="tx1"/>
            </w14:solidFill>
          </w14:textFill>
        </w:rPr>
        <w:t>建议</w:t>
      </w:r>
      <w:bookmarkEnd w:id="405"/>
      <w:bookmarkEnd w:id="406"/>
      <w:bookmarkEnd w:id="407"/>
    </w:p>
    <w:p w14:paraId="3BD2EEB7">
      <w:pPr>
        <w:pStyle w:val="52"/>
        <w:rPr>
          <w:color w:val="000000" w:themeColor="text1"/>
          <w14:textFill>
            <w14:solidFill>
              <w14:schemeClr w14:val="tx1"/>
            </w14:solidFill>
          </w14:textFill>
        </w:rPr>
      </w:pPr>
      <w:r>
        <w:rPr>
          <w:color w:val="000000" w:themeColor="text1"/>
          <w14:textFill>
            <w14:solidFill>
              <w14:schemeClr w14:val="tx1"/>
            </w14:solidFill>
          </w14:textFill>
        </w:rPr>
        <w:t>1、建议卫健部门负责推进厕所革命，督促三（四）格化粪池规范化建设，做好粪污无害化处理，确保北峰山区各乡镇实现100%三格化粪池改造。水利部门负责推动北峰山区乡镇生活污水治理纳入城乡供排水一体化，将北峰山区乡镇水环境治理纳入河（湖）长制。</w:t>
      </w:r>
    </w:p>
    <w:p w14:paraId="09BF2885">
      <w:pPr>
        <w:pStyle w:val="52"/>
        <w:rPr>
          <w:color w:val="000000" w:themeColor="text1"/>
          <w14:textFill>
            <w14:solidFill>
              <w14:schemeClr w14:val="tx1"/>
            </w14:solidFill>
          </w14:textFill>
        </w:rPr>
      </w:pPr>
      <w:r>
        <w:rPr>
          <w:color w:val="000000" w:themeColor="text1"/>
          <w14:textFill>
            <w14:solidFill>
              <w14:schemeClr w14:val="tx1"/>
            </w14:solidFill>
          </w14:textFill>
        </w:rPr>
        <w:t>2、资金保障。建议加大财政投入，拓宽融资渠道。通过集中新增财力、盘活存量资金、安排政府债券等多种方式加大支持力度，统筹乡村振兴、北峰山区乡镇人居环境整治、北峰山区乡镇环境综合整治、北峰山区乡镇改厕、污水管网建设、小流域治理、美丽乡村建设、流域生态补偿、河湖整治等各级各专项资金，采取上下结合、横向统筹的办法，打好政策资金“组合拳”。鼓励金融机构立足自身优势和风险偏好，综合运用股权融资、债权融资等多种方式，对北峰山区乡镇生活污水治理项目提供信贷融资服务。</w:t>
      </w:r>
    </w:p>
    <w:p w14:paraId="4A98ABFD">
      <w:pPr>
        <w:pStyle w:val="52"/>
        <w:rPr>
          <w:color w:val="000000" w:themeColor="text1"/>
          <w14:textFill>
            <w14:solidFill>
              <w14:schemeClr w14:val="tx1"/>
            </w14:solidFill>
          </w14:textFill>
        </w:rPr>
      </w:pPr>
      <w:r>
        <w:rPr>
          <w:color w:val="000000" w:themeColor="text1"/>
          <w14:textFill>
            <w14:solidFill>
              <w14:schemeClr w14:val="tx1"/>
            </w14:solidFill>
          </w14:textFill>
        </w:rPr>
        <w:t>3、加强培训宣传，引导全民参与。利用电视报刊、“两微一端”等宣传平台，采用群众喜闻乐见形式，加强北峰山区乡镇生活污水治理政策、案例宣传。充分发挥村党组织战斗堡垒作用、党员干部模范带头作用，发动组织群众全程参与北峰山区乡镇生活污水治理规划、建设、运营、管理。引导北峰山区乡镇居民利用村规民约等自治办法，倡导节约用水，提高环保意识，从源头减少北峰山区乡镇生活污水。畅通群众监督机制，接受媒体监督，设立群众举报平台和举报电话，对反映问题及时反馈并督促整改到位。</w:t>
      </w:r>
    </w:p>
    <w:p w14:paraId="67B5A57D">
      <w:pPr>
        <w:pStyle w:val="52"/>
        <w:rPr>
          <w:color w:val="000000" w:themeColor="text1"/>
          <w:sz w:val="32"/>
          <w14:textFill>
            <w14:solidFill>
              <w14:schemeClr w14:val="tx1"/>
            </w14:solidFill>
          </w14:textFill>
        </w:rPr>
      </w:pPr>
      <w:r>
        <w:rPr>
          <w:color w:val="000000" w:themeColor="text1"/>
          <w14:textFill>
            <w14:solidFill>
              <w14:schemeClr w14:val="tx1"/>
            </w14:solidFill>
          </w14:textFill>
        </w:rPr>
        <w:t>4、严格日常督导。实行北峰山区乡镇生活污水治理责任制，充分利用乡镇村级河道专管员、环保网格员加强日常工作调度，严格目标管理。</w:t>
      </w:r>
    </w:p>
    <w:p w14:paraId="44CC2ECC">
      <w:pPr>
        <w:widowControl/>
        <w:jc w:val="left"/>
        <w:rPr>
          <w:color w:val="000000" w:themeColor="text1"/>
          <w:szCs w:val="20"/>
          <w14:textFill>
            <w14:solidFill>
              <w14:schemeClr w14:val="tx1"/>
            </w14:solidFill>
          </w14:textFill>
        </w:rPr>
      </w:pPr>
      <w:r>
        <w:rPr>
          <w:color w:val="000000" w:themeColor="text1"/>
          <w14:textFill>
            <w14:solidFill>
              <w14:schemeClr w14:val="tx1"/>
            </w14:solidFill>
          </w14:textFill>
        </w:rPr>
        <w:br w:type="page"/>
      </w:r>
    </w:p>
    <w:p w14:paraId="5A676A06">
      <w:pPr>
        <w:pStyle w:val="5"/>
        <w:ind w:firstLine="0"/>
        <w:rPr>
          <w:b/>
          <w:bCs/>
          <w:color w:val="000000" w:themeColor="text1"/>
          <w:lang w:val="en-US"/>
          <w14:textFill>
            <w14:solidFill>
              <w14:schemeClr w14:val="tx1"/>
            </w14:solidFill>
          </w14:textFill>
        </w:rPr>
        <w:sectPr>
          <w:pgSz w:w="11906" w:h="16838"/>
          <w:pgMar w:top="1701" w:right="1701" w:bottom="1701" w:left="1701" w:header="851" w:footer="992" w:gutter="0"/>
          <w:cols w:space="720" w:num="1"/>
          <w:docGrid w:type="linesAndChars" w:linePitch="312" w:charSpace="0"/>
        </w:sectPr>
      </w:pPr>
    </w:p>
    <w:p w14:paraId="0FBE35E7">
      <w:pPr>
        <w:pStyle w:val="5"/>
        <w:ind w:firstLine="0"/>
        <w:rPr>
          <w:b/>
          <w:bCs/>
          <w:color w:val="000000" w:themeColor="text1"/>
          <w:sz w:val="28"/>
          <w:szCs w:val="24"/>
          <w:lang w:val="en-US"/>
          <w14:textFill>
            <w14:solidFill>
              <w14:schemeClr w14:val="tx1"/>
            </w14:solidFill>
          </w14:textFill>
        </w:rPr>
      </w:pPr>
      <w:r>
        <w:rPr>
          <w:b/>
          <w:bCs/>
          <w:color w:val="000000" w:themeColor="text1"/>
          <w:sz w:val="28"/>
          <w:szCs w:val="24"/>
          <w:lang w:val="en-US"/>
          <w14:textFill>
            <w14:solidFill>
              <w14:schemeClr w14:val="tx1"/>
            </w14:solidFill>
          </w14:textFill>
        </w:rPr>
        <w:t>附表1   “十四五”乡镇生活污水治理建设计划及目标汇总表</w:t>
      </w:r>
    </w:p>
    <w:p w14:paraId="229A5A1C">
      <w:pPr>
        <w:pStyle w:val="5"/>
        <w:adjustRightInd w:val="0"/>
        <w:snapToGrid w:val="0"/>
        <w:spacing w:before="156" w:beforeLines="50" w:line="360" w:lineRule="auto"/>
        <w:ind w:firstLine="0"/>
        <w:jc w:val="center"/>
        <w:rPr>
          <w:b/>
          <w:bCs/>
          <w:color w:val="000000" w:themeColor="text1"/>
          <w:sz w:val="24"/>
          <w:szCs w:val="22"/>
          <w:lang w:val="en-US"/>
          <w14:textFill>
            <w14:solidFill>
              <w14:schemeClr w14:val="tx1"/>
            </w14:solidFill>
          </w14:textFill>
        </w:rPr>
      </w:pPr>
      <w:r>
        <w:rPr>
          <w:b/>
          <w:bCs/>
          <w:color w:val="000000" w:themeColor="text1"/>
          <w:sz w:val="24"/>
          <w:szCs w:val="22"/>
          <w:lang w:val="en-US"/>
          <w14:textFill>
            <w14:solidFill>
              <w14:schemeClr w14:val="tx1"/>
            </w14:solidFill>
          </w14:textFill>
        </w:rPr>
        <w:t>“十四五”乡镇生活污水治理建设计划及目标汇总表</w:t>
      </w:r>
    </w:p>
    <w:tbl>
      <w:tblPr>
        <w:tblStyle w:val="5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1"/>
        <w:gridCol w:w="561"/>
        <w:gridCol w:w="647"/>
        <w:gridCol w:w="641"/>
        <w:gridCol w:w="618"/>
        <w:gridCol w:w="583"/>
        <w:gridCol w:w="561"/>
        <w:gridCol w:w="648"/>
        <w:gridCol w:w="642"/>
        <w:gridCol w:w="562"/>
        <w:gridCol w:w="648"/>
        <w:gridCol w:w="642"/>
        <w:gridCol w:w="562"/>
        <w:gridCol w:w="648"/>
        <w:gridCol w:w="642"/>
        <w:gridCol w:w="562"/>
        <w:gridCol w:w="648"/>
        <w:gridCol w:w="642"/>
        <w:gridCol w:w="562"/>
        <w:gridCol w:w="648"/>
        <w:gridCol w:w="642"/>
        <w:gridCol w:w="432"/>
        <w:gridCol w:w="651"/>
        <w:gridCol w:w="646"/>
      </w:tblGrid>
      <w:tr w14:paraId="3784E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0" w:type="auto"/>
            <w:tcBorders>
              <w:left w:val="single" w:color="auto" w:sz="4" w:space="0"/>
              <w:right w:val="single" w:color="auto" w:sz="4" w:space="0"/>
            </w:tcBorders>
            <w:vAlign w:val="center"/>
          </w:tcPr>
          <w:p w14:paraId="2516036A">
            <w:pPr>
              <w:pStyle w:val="5"/>
              <w:adjustRightInd w:val="0"/>
              <w:snapToGrid w:val="0"/>
              <w:ind w:firstLine="0"/>
              <w:jc w:val="center"/>
              <w:rPr>
                <w:b/>
                <w:bCs/>
                <w:color w:val="auto"/>
                <w:sz w:val="20"/>
                <w:lang w:val="en-US"/>
              </w:rPr>
            </w:pPr>
            <w:r>
              <w:rPr>
                <w:b/>
                <w:bCs/>
                <w:color w:val="auto"/>
                <w:sz w:val="20"/>
                <w:lang w:val="en-US"/>
              </w:rPr>
              <w:t>地区</w:t>
            </w:r>
          </w:p>
        </w:tc>
        <w:tc>
          <w:tcPr>
            <w:tcW w:w="0" w:type="auto"/>
            <w:gridSpan w:val="5"/>
            <w:tcBorders>
              <w:left w:val="single" w:color="auto" w:sz="4" w:space="0"/>
            </w:tcBorders>
            <w:vAlign w:val="center"/>
          </w:tcPr>
          <w:p w14:paraId="1D58B29C">
            <w:pPr>
              <w:pStyle w:val="5"/>
              <w:adjustRightInd w:val="0"/>
              <w:snapToGrid w:val="0"/>
              <w:ind w:firstLine="0"/>
              <w:jc w:val="center"/>
              <w:rPr>
                <w:b/>
                <w:bCs/>
                <w:color w:val="auto"/>
                <w:sz w:val="20"/>
                <w:lang w:val="en-US"/>
              </w:rPr>
            </w:pPr>
            <w:r>
              <w:rPr>
                <w:b/>
                <w:bCs/>
                <w:color w:val="auto"/>
                <w:sz w:val="20"/>
                <w:lang w:val="en-US"/>
              </w:rPr>
              <w:t>2021年建设情况</w:t>
            </w:r>
          </w:p>
        </w:tc>
        <w:tc>
          <w:tcPr>
            <w:tcW w:w="0" w:type="auto"/>
            <w:gridSpan w:val="16"/>
          </w:tcPr>
          <w:p w14:paraId="03D2761C">
            <w:pPr>
              <w:pStyle w:val="5"/>
              <w:adjustRightInd w:val="0"/>
              <w:snapToGrid w:val="0"/>
              <w:ind w:firstLine="0"/>
              <w:jc w:val="center"/>
              <w:rPr>
                <w:b/>
                <w:bCs/>
                <w:color w:val="auto"/>
                <w:sz w:val="20"/>
                <w:lang w:val="en-US"/>
              </w:rPr>
            </w:pPr>
            <w:r>
              <w:rPr>
                <w:b/>
                <w:bCs/>
                <w:color w:val="auto"/>
                <w:sz w:val="20"/>
                <w:lang w:val="en-US"/>
              </w:rPr>
              <w:t>年度建设计划</w:t>
            </w:r>
          </w:p>
        </w:tc>
        <w:tc>
          <w:tcPr>
            <w:tcW w:w="0" w:type="auto"/>
            <w:vMerge w:val="restart"/>
            <w:vAlign w:val="center"/>
          </w:tcPr>
          <w:p w14:paraId="1A4B6BD1">
            <w:pPr>
              <w:pStyle w:val="5"/>
              <w:adjustRightInd w:val="0"/>
              <w:snapToGrid w:val="0"/>
              <w:ind w:firstLine="0"/>
              <w:jc w:val="center"/>
              <w:rPr>
                <w:b/>
                <w:bCs/>
                <w:color w:val="auto"/>
                <w:sz w:val="20"/>
                <w:lang w:val="en-US"/>
              </w:rPr>
            </w:pPr>
            <w:r>
              <w:rPr>
                <w:b/>
                <w:bCs/>
                <w:color w:val="auto"/>
                <w:sz w:val="20"/>
                <w:lang w:val="en-US"/>
              </w:rPr>
              <w:t>“十四五”期末目标(污水处理率)</w:t>
            </w:r>
          </w:p>
        </w:tc>
        <w:tc>
          <w:tcPr>
            <w:tcW w:w="0" w:type="auto"/>
            <w:vMerge w:val="restart"/>
            <w:vAlign w:val="center"/>
          </w:tcPr>
          <w:p w14:paraId="04B6EBEC">
            <w:pPr>
              <w:pStyle w:val="5"/>
              <w:adjustRightInd w:val="0"/>
              <w:snapToGrid w:val="0"/>
              <w:ind w:firstLine="0"/>
              <w:jc w:val="center"/>
              <w:rPr>
                <w:b/>
                <w:bCs/>
                <w:color w:val="auto"/>
                <w:sz w:val="20"/>
                <w:lang w:val="en-US"/>
              </w:rPr>
            </w:pPr>
            <w:r>
              <w:rPr>
                <w:b/>
                <w:bCs/>
                <w:color w:val="auto"/>
                <w:sz w:val="20"/>
                <w:lang w:val="en-US"/>
              </w:rPr>
              <w:t>预期实现全收集全处理年度</w:t>
            </w:r>
          </w:p>
        </w:tc>
      </w:tr>
      <w:tr w14:paraId="59799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0" w:type="auto"/>
            <w:vMerge w:val="restart"/>
            <w:vAlign w:val="center"/>
          </w:tcPr>
          <w:p w14:paraId="5F84ACA6">
            <w:pPr>
              <w:pStyle w:val="5"/>
              <w:adjustRightInd w:val="0"/>
              <w:snapToGrid w:val="0"/>
              <w:ind w:firstLine="0"/>
              <w:jc w:val="center"/>
              <w:rPr>
                <w:b/>
                <w:bCs/>
                <w:color w:val="auto"/>
                <w:sz w:val="20"/>
                <w:lang w:val="en-US"/>
              </w:rPr>
            </w:pPr>
            <w:r>
              <w:rPr>
                <w:b/>
                <w:bCs/>
                <w:color w:val="auto"/>
                <w:sz w:val="20"/>
                <w:lang w:val="en-US"/>
              </w:rPr>
              <w:t>县(市、区)</w:t>
            </w:r>
          </w:p>
        </w:tc>
        <w:tc>
          <w:tcPr>
            <w:tcW w:w="0" w:type="auto"/>
            <w:vMerge w:val="restart"/>
            <w:vAlign w:val="center"/>
          </w:tcPr>
          <w:p w14:paraId="48417DE6">
            <w:pPr>
              <w:pStyle w:val="5"/>
              <w:adjustRightInd w:val="0"/>
              <w:snapToGrid w:val="0"/>
              <w:ind w:firstLine="0"/>
              <w:jc w:val="center"/>
              <w:rPr>
                <w:b/>
                <w:bCs/>
                <w:color w:val="auto"/>
                <w:sz w:val="20"/>
                <w:lang w:val="en-US"/>
              </w:rPr>
            </w:pPr>
            <w:r>
              <w:rPr>
                <w:b/>
                <w:bCs/>
                <w:color w:val="auto"/>
                <w:sz w:val="20"/>
                <w:lang w:val="en-US"/>
              </w:rPr>
              <w:t>新增规模(吨)</w:t>
            </w:r>
          </w:p>
        </w:tc>
        <w:tc>
          <w:tcPr>
            <w:tcW w:w="0" w:type="auto"/>
            <w:vMerge w:val="restart"/>
            <w:vAlign w:val="center"/>
          </w:tcPr>
          <w:p w14:paraId="06A9A49A">
            <w:pPr>
              <w:pStyle w:val="5"/>
              <w:adjustRightInd w:val="0"/>
              <w:snapToGrid w:val="0"/>
              <w:ind w:firstLine="0"/>
              <w:jc w:val="center"/>
              <w:rPr>
                <w:b/>
                <w:bCs/>
                <w:color w:val="auto"/>
                <w:sz w:val="20"/>
                <w:lang w:val="en-US"/>
              </w:rPr>
            </w:pPr>
            <w:r>
              <w:rPr>
                <w:b/>
                <w:bCs/>
                <w:color w:val="auto"/>
                <w:sz w:val="20"/>
                <w:lang w:val="en-US"/>
              </w:rPr>
              <w:t>新建改造管网长度（公里）</w:t>
            </w:r>
          </w:p>
        </w:tc>
        <w:tc>
          <w:tcPr>
            <w:tcW w:w="0" w:type="auto"/>
            <w:vMerge w:val="restart"/>
            <w:vAlign w:val="center"/>
          </w:tcPr>
          <w:p w14:paraId="48F67254">
            <w:pPr>
              <w:pStyle w:val="5"/>
              <w:adjustRightInd w:val="0"/>
              <w:snapToGrid w:val="0"/>
              <w:ind w:firstLine="0"/>
              <w:jc w:val="center"/>
              <w:rPr>
                <w:b/>
                <w:bCs/>
                <w:color w:val="auto"/>
                <w:sz w:val="20"/>
                <w:lang w:val="en-US"/>
              </w:rPr>
            </w:pPr>
            <w:r>
              <w:rPr>
                <w:b/>
                <w:bCs/>
                <w:color w:val="auto"/>
                <w:sz w:val="20"/>
                <w:lang w:val="en-US"/>
              </w:rPr>
              <w:t>投入建设资金（万元）</w:t>
            </w:r>
          </w:p>
        </w:tc>
        <w:tc>
          <w:tcPr>
            <w:tcW w:w="0" w:type="auto"/>
            <w:gridSpan w:val="2"/>
            <w:tcBorders>
              <w:bottom w:val="single" w:color="auto" w:sz="4" w:space="0"/>
            </w:tcBorders>
            <w:vAlign w:val="center"/>
          </w:tcPr>
          <w:p w14:paraId="3581B4B5">
            <w:pPr>
              <w:pStyle w:val="5"/>
              <w:adjustRightInd w:val="0"/>
              <w:snapToGrid w:val="0"/>
              <w:ind w:firstLine="0"/>
              <w:jc w:val="center"/>
              <w:rPr>
                <w:b/>
                <w:bCs/>
                <w:color w:val="auto"/>
                <w:sz w:val="20"/>
                <w:lang w:val="en-US"/>
              </w:rPr>
            </w:pPr>
            <w:r>
              <w:rPr>
                <w:b/>
                <w:bCs/>
                <w:color w:val="auto"/>
                <w:sz w:val="20"/>
                <w:lang w:val="en-US"/>
              </w:rPr>
              <w:t>截止2021年底</w:t>
            </w:r>
          </w:p>
        </w:tc>
        <w:tc>
          <w:tcPr>
            <w:tcW w:w="0" w:type="auto"/>
            <w:gridSpan w:val="3"/>
            <w:tcBorders>
              <w:bottom w:val="single" w:color="auto" w:sz="4" w:space="0"/>
            </w:tcBorders>
            <w:vAlign w:val="center"/>
          </w:tcPr>
          <w:p w14:paraId="6209B92C">
            <w:pPr>
              <w:pStyle w:val="5"/>
              <w:adjustRightInd w:val="0"/>
              <w:snapToGrid w:val="0"/>
              <w:ind w:firstLine="0"/>
              <w:jc w:val="center"/>
              <w:rPr>
                <w:b/>
                <w:bCs/>
                <w:color w:val="auto"/>
                <w:sz w:val="20"/>
                <w:lang w:val="en-US"/>
              </w:rPr>
            </w:pPr>
            <w:r>
              <w:rPr>
                <w:b/>
                <w:bCs/>
                <w:color w:val="auto"/>
                <w:sz w:val="20"/>
                <w:lang w:val="en-US"/>
              </w:rPr>
              <w:t>2022年</w:t>
            </w:r>
          </w:p>
        </w:tc>
        <w:tc>
          <w:tcPr>
            <w:tcW w:w="0" w:type="auto"/>
            <w:gridSpan w:val="3"/>
            <w:tcBorders>
              <w:bottom w:val="single" w:color="auto" w:sz="4" w:space="0"/>
            </w:tcBorders>
            <w:vAlign w:val="center"/>
          </w:tcPr>
          <w:p w14:paraId="0E2F9781">
            <w:pPr>
              <w:pStyle w:val="5"/>
              <w:adjustRightInd w:val="0"/>
              <w:snapToGrid w:val="0"/>
              <w:ind w:firstLine="0"/>
              <w:jc w:val="center"/>
              <w:rPr>
                <w:b/>
                <w:bCs/>
                <w:color w:val="auto"/>
                <w:sz w:val="20"/>
                <w:lang w:val="en-US"/>
              </w:rPr>
            </w:pPr>
            <w:r>
              <w:rPr>
                <w:b/>
                <w:bCs/>
                <w:color w:val="auto"/>
                <w:sz w:val="20"/>
                <w:lang w:val="en-US"/>
              </w:rPr>
              <w:t>2023年</w:t>
            </w:r>
          </w:p>
        </w:tc>
        <w:tc>
          <w:tcPr>
            <w:tcW w:w="0" w:type="auto"/>
            <w:gridSpan w:val="3"/>
            <w:tcBorders>
              <w:bottom w:val="single" w:color="auto" w:sz="4" w:space="0"/>
            </w:tcBorders>
            <w:vAlign w:val="center"/>
          </w:tcPr>
          <w:p w14:paraId="7FEB2773">
            <w:pPr>
              <w:pStyle w:val="5"/>
              <w:adjustRightInd w:val="0"/>
              <w:snapToGrid w:val="0"/>
              <w:ind w:firstLine="0"/>
              <w:jc w:val="center"/>
              <w:rPr>
                <w:b/>
                <w:bCs/>
                <w:color w:val="auto"/>
                <w:sz w:val="20"/>
                <w:lang w:val="en-US"/>
              </w:rPr>
            </w:pPr>
            <w:r>
              <w:rPr>
                <w:b/>
                <w:bCs/>
                <w:color w:val="auto"/>
                <w:sz w:val="20"/>
                <w:lang w:val="en-US"/>
              </w:rPr>
              <w:t>2024年</w:t>
            </w:r>
          </w:p>
        </w:tc>
        <w:tc>
          <w:tcPr>
            <w:tcW w:w="0" w:type="auto"/>
            <w:gridSpan w:val="3"/>
            <w:tcBorders>
              <w:bottom w:val="single" w:color="auto" w:sz="4" w:space="0"/>
            </w:tcBorders>
            <w:vAlign w:val="center"/>
          </w:tcPr>
          <w:p w14:paraId="352EF008">
            <w:pPr>
              <w:pStyle w:val="5"/>
              <w:adjustRightInd w:val="0"/>
              <w:snapToGrid w:val="0"/>
              <w:ind w:firstLine="0"/>
              <w:jc w:val="center"/>
              <w:rPr>
                <w:b/>
                <w:bCs/>
                <w:color w:val="auto"/>
                <w:sz w:val="20"/>
                <w:lang w:val="en-US"/>
              </w:rPr>
            </w:pPr>
            <w:r>
              <w:rPr>
                <w:b/>
                <w:bCs/>
                <w:color w:val="auto"/>
                <w:sz w:val="20"/>
                <w:lang w:val="en-US"/>
              </w:rPr>
              <w:t>2025年</w:t>
            </w:r>
          </w:p>
        </w:tc>
        <w:tc>
          <w:tcPr>
            <w:tcW w:w="0" w:type="auto"/>
            <w:gridSpan w:val="4"/>
            <w:tcBorders>
              <w:bottom w:val="single" w:color="auto" w:sz="4" w:space="0"/>
            </w:tcBorders>
            <w:vAlign w:val="center"/>
          </w:tcPr>
          <w:p w14:paraId="5248F747">
            <w:pPr>
              <w:pStyle w:val="5"/>
              <w:adjustRightInd w:val="0"/>
              <w:snapToGrid w:val="0"/>
              <w:ind w:firstLine="0"/>
              <w:jc w:val="center"/>
              <w:rPr>
                <w:b/>
                <w:bCs/>
                <w:color w:val="auto"/>
                <w:sz w:val="20"/>
                <w:lang w:val="en-US"/>
              </w:rPr>
            </w:pPr>
            <w:r>
              <w:rPr>
                <w:b/>
                <w:bCs/>
                <w:color w:val="auto"/>
                <w:sz w:val="20"/>
                <w:lang w:val="en-US"/>
              </w:rPr>
              <w:t>“十四五”合计</w:t>
            </w:r>
          </w:p>
        </w:tc>
        <w:tc>
          <w:tcPr>
            <w:tcW w:w="0" w:type="auto"/>
            <w:vMerge w:val="continue"/>
            <w:vAlign w:val="center"/>
          </w:tcPr>
          <w:p w14:paraId="781B6D79">
            <w:pPr>
              <w:pStyle w:val="5"/>
              <w:adjustRightInd w:val="0"/>
              <w:snapToGrid w:val="0"/>
              <w:ind w:firstLine="0"/>
              <w:jc w:val="center"/>
              <w:rPr>
                <w:b/>
                <w:bCs/>
                <w:color w:val="auto"/>
                <w:sz w:val="20"/>
                <w:lang w:val="en-US"/>
              </w:rPr>
            </w:pPr>
          </w:p>
        </w:tc>
        <w:tc>
          <w:tcPr>
            <w:tcW w:w="0" w:type="auto"/>
            <w:vMerge w:val="continue"/>
            <w:vAlign w:val="center"/>
          </w:tcPr>
          <w:p w14:paraId="587BC8F2">
            <w:pPr>
              <w:pStyle w:val="5"/>
              <w:adjustRightInd w:val="0"/>
              <w:snapToGrid w:val="0"/>
              <w:ind w:firstLine="0"/>
              <w:jc w:val="center"/>
              <w:rPr>
                <w:b/>
                <w:bCs/>
                <w:color w:val="auto"/>
                <w:sz w:val="20"/>
                <w:lang w:val="en-US"/>
              </w:rPr>
            </w:pPr>
          </w:p>
        </w:tc>
      </w:tr>
      <w:tr w14:paraId="76A4E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5" w:hRule="atLeast"/>
          <w:jc w:val="center"/>
        </w:trPr>
        <w:tc>
          <w:tcPr>
            <w:tcW w:w="0" w:type="auto"/>
            <w:vMerge w:val="continue"/>
            <w:vAlign w:val="center"/>
          </w:tcPr>
          <w:p w14:paraId="284BA6A7">
            <w:pPr>
              <w:pStyle w:val="5"/>
              <w:adjustRightInd w:val="0"/>
              <w:snapToGrid w:val="0"/>
              <w:ind w:firstLine="0"/>
              <w:jc w:val="center"/>
              <w:rPr>
                <w:b/>
                <w:bCs/>
                <w:color w:val="auto"/>
                <w:sz w:val="20"/>
                <w:lang w:val="en-US"/>
              </w:rPr>
            </w:pPr>
          </w:p>
        </w:tc>
        <w:tc>
          <w:tcPr>
            <w:tcW w:w="0" w:type="auto"/>
            <w:vMerge w:val="continue"/>
            <w:vAlign w:val="center"/>
          </w:tcPr>
          <w:p w14:paraId="3427CA21">
            <w:pPr>
              <w:pStyle w:val="5"/>
              <w:adjustRightInd w:val="0"/>
              <w:snapToGrid w:val="0"/>
              <w:ind w:firstLine="0"/>
              <w:jc w:val="center"/>
              <w:rPr>
                <w:b/>
                <w:bCs/>
                <w:color w:val="auto"/>
                <w:sz w:val="20"/>
                <w:lang w:val="en-US"/>
              </w:rPr>
            </w:pPr>
          </w:p>
        </w:tc>
        <w:tc>
          <w:tcPr>
            <w:tcW w:w="0" w:type="auto"/>
            <w:vMerge w:val="continue"/>
            <w:vAlign w:val="center"/>
          </w:tcPr>
          <w:p w14:paraId="47F23AEE">
            <w:pPr>
              <w:pStyle w:val="5"/>
              <w:adjustRightInd w:val="0"/>
              <w:snapToGrid w:val="0"/>
              <w:ind w:firstLine="0"/>
              <w:jc w:val="center"/>
              <w:rPr>
                <w:b/>
                <w:bCs/>
                <w:color w:val="auto"/>
                <w:sz w:val="20"/>
                <w:lang w:val="en-US"/>
              </w:rPr>
            </w:pPr>
          </w:p>
        </w:tc>
        <w:tc>
          <w:tcPr>
            <w:tcW w:w="0" w:type="auto"/>
            <w:vMerge w:val="continue"/>
            <w:vAlign w:val="center"/>
          </w:tcPr>
          <w:p w14:paraId="1578C09F">
            <w:pPr>
              <w:pStyle w:val="5"/>
              <w:adjustRightInd w:val="0"/>
              <w:snapToGrid w:val="0"/>
              <w:ind w:firstLine="0"/>
              <w:jc w:val="center"/>
              <w:rPr>
                <w:b/>
                <w:bCs/>
                <w:color w:val="auto"/>
                <w:sz w:val="20"/>
                <w:lang w:val="en-US"/>
              </w:rPr>
            </w:pPr>
          </w:p>
        </w:tc>
        <w:tc>
          <w:tcPr>
            <w:tcW w:w="0" w:type="auto"/>
            <w:tcBorders>
              <w:top w:val="single" w:color="auto" w:sz="4" w:space="0"/>
            </w:tcBorders>
            <w:vAlign w:val="center"/>
          </w:tcPr>
          <w:p w14:paraId="789E2118">
            <w:pPr>
              <w:pStyle w:val="5"/>
              <w:adjustRightInd w:val="0"/>
              <w:snapToGrid w:val="0"/>
              <w:ind w:firstLine="0"/>
              <w:jc w:val="center"/>
              <w:rPr>
                <w:b/>
                <w:bCs/>
                <w:color w:val="auto"/>
                <w:sz w:val="20"/>
                <w:lang w:val="en-US"/>
              </w:rPr>
            </w:pPr>
            <w:r>
              <w:rPr>
                <w:b/>
                <w:bCs/>
                <w:color w:val="auto"/>
                <w:sz w:val="20"/>
                <w:lang w:val="en-US"/>
              </w:rPr>
              <w:t>总规模</w:t>
            </w:r>
          </w:p>
        </w:tc>
        <w:tc>
          <w:tcPr>
            <w:tcW w:w="0" w:type="auto"/>
            <w:tcBorders>
              <w:top w:val="single" w:color="auto" w:sz="4" w:space="0"/>
            </w:tcBorders>
            <w:vAlign w:val="center"/>
          </w:tcPr>
          <w:p w14:paraId="7146EBB3">
            <w:pPr>
              <w:pStyle w:val="5"/>
              <w:adjustRightInd w:val="0"/>
              <w:snapToGrid w:val="0"/>
              <w:ind w:firstLine="0"/>
              <w:jc w:val="center"/>
              <w:rPr>
                <w:b/>
                <w:bCs/>
                <w:color w:val="auto"/>
                <w:sz w:val="20"/>
                <w:lang w:val="en-US"/>
              </w:rPr>
            </w:pPr>
            <w:r>
              <w:rPr>
                <w:b/>
                <w:bCs/>
                <w:color w:val="auto"/>
                <w:sz w:val="20"/>
                <w:lang w:val="en-US"/>
              </w:rPr>
              <w:t>管网总长度(公里)</w:t>
            </w:r>
          </w:p>
        </w:tc>
        <w:tc>
          <w:tcPr>
            <w:tcW w:w="0" w:type="auto"/>
            <w:tcBorders>
              <w:top w:val="single" w:color="auto" w:sz="4" w:space="0"/>
            </w:tcBorders>
            <w:vAlign w:val="center"/>
          </w:tcPr>
          <w:p w14:paraId="22FF62F0">
            <w:pPr>
              <w:pStyle w:val="5"/>
              <w:adjustRightInd w:val="0"/>
              <w:snapToGrid w:val="0"/>
              <w:ind w:firstLine="0"/>
              <w:jc w:val="center"/>
              <w:rPr>
                <w:b/>
                <w:bCs/>
                <w:color w:val="auto"/>
                <w:sz w:val="20"/>
                <w:lang w:val="en-US"/>
              </w:rPr>
            </w:pPr>
            <w:r>
              <w:rPr>
                <w:b/>
                <w:bCs/>
                <w:color w:val="auto"/>
                <w:sz w:val="20"/>
                <w:lang w:val="en-US"/>
              </w:rPr>
              <w:t>新增规模(吨)</w:t>
            </w:r>
          </w:p>
        </w:tc>
        <w:tc>
          <w:tcPr>
            <w:tcW w:w="0" w:type="auto"/>
            <w:tcBorders>
              <w:top w:val="single" w:color="auto" w:sz="4" w:space="0"/>
            </w:tcBorders>
            <w:vAlign w:val="center"/>
          </w:tcPr>
          <w:p w14:paraId="04D374E9">
            <w:pPr>
              <w:pStyle w:val="5"/>
              <w:adjustRightInd w:val="0"/>
              <w:snapToGrid w:val="0"/>
              <w:ind w:firstLine="0"/>
              <w:jc w:val="center"/>
              <w:rPr>
                <w:b/>
                <w:bCs/>
                <w:color w:val="auto"/>
                <w:sz w:val="20"/>
                <w:lang w:val="en-US"/>
              </w:rPr>
            </w:pPr>
            <w:r>
              <w:rPr>
                <w:b/>
                <w:bCs/>
                <w:color w:val="auto"/>
                <w:sz w:val="20"/>
                <w:lang w:val="en-US"/>
              </w:rPr>
              <w:t>新建改造管网长度（公里）</w:t>
            </w:r>
          </w:p>
        </w:tc>
        <w:tc>
          <w:tcPr>
            <w:tcW w:w="0" w:type="auto"/>
            <w:tcBorders>
              <w:top w:val="single" w:color="auto" w:sz="4" w:space="0"/>
            </w:tcBorders>
            <w:vAlign w:val="center"/>
          </w:tcPr>
          <w:p w14:paraId="71DDA2E9">
            <w:pPr>
              <w:pStyle w:val="5"/>
              <w:adjustRightInd w:val="0"/>
              <w:snapToGrid w:val="0"/>
              <w:ind w:firstLine="0"/>
              <w:jc w:val="center"/>
              <w:rPr>
                <w:b/>
                <w:bCs/>
                <w:color w:val="auto"/>
                <w:sz w:val="20"/>
                <w:lang w:val="en-US"/>
              </w:rPr>
            </w:pPr>
            <w:r>
              <w:rPr>
                <w:b/>
                <w:bCs/>
                <w:color w:val="auto"/>
                <w:sz w:val="20"/>
                <w:lang w:val="en-US"/>
              </w:rPr>
              <w:t>所需建设资金（万元）</w:t>
            </w:r>
          </w:p>
        </w:tc>
        <w:tc>
          <w:tcPr>
            <w:tcW w:w="0" w:type="auto"/>
            <w:tcBorders>
              <w:top w:val="single" w:color="auto" w:sz="4" w:space="0"/>
            </w:tcBorders>
            <w:vAlign w:val="center"/>
          </w:tcPr>
          <w:p w14:paraId="51F9E793">
            <w:pPr>
              <w:pStyle w:val="5"/>
              <w:adjustRightInd w:val="0"/>
              <w:snapToGrid w:val="0"/>
              <w:ind w:firstLine="0"/>
              <w:jc w:val="center"/>
              <w:rPr>
                <w:b/>
                <w:bCs/>
                <w:color w:val="auto"/>
                <w:sz w:val="20"/>
                <w:lang w:val="en-US"/>
              </w:rPr>
            </w:pPr>
            <w:r>
              <w:rPr>
                <w:b/>
                <w:bCs/>
                <w:color w:val="auto"/>
                <w:sz w:val="20"/>
                <w:lang w:val="en-US"/>
              </w:rPr>
              <w:t>新增规模(吨)</w:t>
            </w:r>
          </w:p>
        </w:tc>
        <w:tc>
          <w:tcPr>
            <w:tcW w:w="0" w:type="auto"/>
            <w:tcBorders>
              <w:top w:val="single" w:color="auto" w:sz="4" w:space="0"/>
            </w:tcBorders>
            <w:vAlign w:val="center"/>
          </w:tcPr>
          <w:p w14:paraId="64570626">
            <w:pPr>
              <w:pStyle w:val="5"/>
              <w:adjustRightInd w:val="0"/>
              <w:snapToGrid w:val="0"/>
              <w:ind w:firstLine="0"/>
              <w:jc w:val="center"/>
              <w:rPr>
                <w:b/>
                <w:bCs/>
                <w:color w:val="auto"/>
                <w:sz w:val="20"/>
                <w:lang w:val="en-US"/>
              </w:rPr>
            </w:pPr>
            <w:r>
              <w:rPr>
                <w:b/>
                <w:bCs/>
                <w:color w:val="auto"/>
                <w:sz w:val="20"/>
                <w:lang w:val="en-US"/>
              </w:rPr>
              <w:t>新建改造管网长度（公里）</w:t>
            </w:r>
          </w:p>
        </w:tc>
        <w:tc>
          <w:tcPr>
            <w:tcW w:w="0" w:type="auto"/>
            <w:tcBorders>
              <w:top w:val="single" w:color="auto" w:sz="4" w:space="0"/>
            </w:tcBorders>
            <w:vAlign w:val="center"/>
          </w:tcPr>
          <w:p w14:paraId="51736323">
            <w:pPr>
              <w:pStyle w:val="5"/>
              <w:adjustRightInd w:val="0"/>
              <w:snapToGrid w:val="0"/>
              <w:ind w:firstLine="0"/>
              <w:jc w:val="center"/>
              <w:rPr>
                <w:b/>
                <w:bCs/>
                <w:color w:val="auto"/>
                <w:sz w:val="20"/>
                <w:lang w:val="en-US"/>
              </w:rPr>
            </w:pPr>
            <w:r>
              <w:rPr>
                <w:b/>
                <w:bCs/>
                <w:color w:val="auto"/>
                <w:sz w:val="20"/>
                <w:lang w:val="en-US"/>
              </w:rPr>
              <w:t>所需建设资金（万元）</w:t>
            </w:r>
          </w:p>
        </w:tc>
        <w:tc>
          <w:tcPr>
            <w:tcW w:w="0" w:type="auto"/>
            <w:tcBorders>
              <w:top w:val="single" w:color="auto" w:sz="4" w:space="0"/>
            </w:tcBorders>
            <w:vAlign w:val="center"/>
          </w:tcPr>
          <w:p w14:paraId="3C016590">
            <w:pPr>
              <w:pStyle w:val="5"/>
              <w:adjustRightInd w:val="0"/>
              <w:snapToGrid w:val="0"/>
              <w:ind w:firstLine="0"/>
              <w:jc w:val="center"/>
              <w:rPr>
                <w:b/>
                <w:bCs/>
                <w:color w:val="auto"/>
                <w:sz w:val="20"/>
                <w:lang w:val="en-US"/>
              </w:rPr>
            </w:pPr>
            <w:r>
              <w:rPr>
                <w:b/>
                <w:bCs/>
                <w:color w:val="auto"/>
                <w:sz w:val="20"/>
                <w:lang w:val="en-US"/>
              </w:rPr>
              <w:t>新增规模(吨)</w:t>
            </w:r>
          </w:p>
        </w:tc>
        <w:tc>
          <w:tcPr>
            <w:tcW w:w="0" w:type="auto"/>
            <w:tcBorders>
              <w:top w:val="single" w:color="auto" w:sz="4" w:space="0"/>
            </w:tcBorders>
            <w:vAlign w:val="center"/>
          </w:tcPr>
          <w:p w14:paraId="0025460A">
            <w:pPr>
              <w:pStyle w:val="5"/>
              <w:adjustRightInd w:val="0"/>
              <w:snapToGrid w:val="0"/>
              <w:ind w:firstLine="0"/>
              <w:jc w:val="center"/>
              <w:rPr>
                <w:b/>
                <w:bCs/>
                <w:color w:val="auto"/>
                <w:sz w:val="20"/>
                <w:lang w:val="en-US"/>
              </w:rPr>
            </w:pPr>
            <w:r>
              <w:rPr>
                <w:b/>
                <w:bCs/>
                <w:color w:val="auto"/>
                <w:sz w:val="20"/>
                <w:lang w:val="en-US"/>
              </w:rPr>
              <w:t>新建改造管网长度（公里）</w:t>
            </w:r>
          </w:p>
        </w:tc>
        <w:tc>
          <w:tcPr>
            <w:tcW w:w="0" w:type="auto"/>
            <w:tcBorders>
              <w:top w:val="single" w:color="auto" w:sz="4" w:space="0"/>
            </w:tcBorders>
            <w:vAlign w:val="center"/>
          </w:tcPr>
          <w:p w14:paraId="7406B3B0">
            <w:pPr>
              <w:pStyle w:val="5"/>
              <w:adjustRightInd w:val="0"/>
              <w:snapToGrid w:val="0"/>
              <w:ind w:firstLine="0"/>
              <w:jc w:val="center"/>
              <w:rPr>
                <w:b/>
                <w:bCs/>
                <w:color w:val="auto"/>
                <w:sz w:val="20"/>
                <w:lang w:val="en-US"/>
              </w:rPr>
            </w:pPr>
            <w:r>
              <w:rPr>
                <w:b/>
                <w:bCs/>
                <w:color w:val="auto"/>
                <w:sz w:val="20"/>
                <w:lang w:val="en-US"/>
              </w:rPr>
              <w:t>所需建设资金（万元）</w:t>
            </w:r>
          </w:p>
        </w:tc>
        <w:tc>
          <w:tcPr>
            <w:tcW w:w="0" w:type="auto"/>
            <w:tcBorders>
              <w:top w:val="single" w:color="auto" w:sz="4" w:space="0"/>
            </w:tcBorders>
            <w:vAlign w:val="center"/>
          </w:tcPr>
          <w:p w14:paraId="36C03B20">
            <w:pPr>
              <w:pStyle w:val="5"/>
              <w:adjustRightInd w:val="0"/>
              <w:snapToGrid w:val="0"/>
              <w:ind w:firstLine="0"/>
              <w:jc w:val="center"/>
              <w:rPr>
                <w:b/>
                <w:bCs/>
                <w:color w:val="auto"/>
                <w:sz w:val="20"/>
                <w:lang w:val="en-US"/>
              </w:rPr>
            </w:pPr>
            <w:r>
              <w:rPr>
                <w:b/>
                <w:bCs/>
                <w:color w:val="auto"/>
                <w:sz w:val="20"/>
                <w:lang w:val="en-US"/>
              </w:rPr>
              <w:t>新增规模(吨)</w:t>
            </w:r>
          </w:p>
        </w:tc>
        <w:tc>
          <w:tcPr>
            <w:tcW w:w="0" w:type="auto"/>
            <w:tcBorders>
              <w:top w:val="single" w:color="auto" w:sz="4" w:space="0"/>
            </w:tcBorders>
            <w:vAlign w:val="center"/>
          </w:tcPr>
          <w:p w14:paraId="78EDD2E3">
            <w:pPr>
              <w:pStyle w:val="5"/>
              <w:adjustRightInd w:val="0"/>
              <w:snapToGrid w:val="0"/>
              <w:ind w:firstLine="0"/>
              <w:jc w:val="center"/>
              <w:rPr>
                <w:b/>
                <w:bCs/>
                <w:color w:val="auto"/>
                <w:sz w:val="20"/>
                <w:lang w:val="en-US"/>
              </w:rPr>
            </w:pPr>
            <w:r>
              <w:rPr>
                <w:b/>
                <w:bCs/>
                <w:color w:val="auto"/>
                <w:sz w:val="20"/>
                <w:lang w:val="en-US"/>
              </w:rPr>
              <w:t>新建改造管网长度（公里）</w:t>
            </w:r>
          </w:p>
        </w:tc>
        <w:tc>
          <w:tcPr>
            <w:tcW w:w="0" w:type="auto"/>
            <w:tcBorders>
              <w:top w:val="single" w:color="auto" w:sz="4" w:space="0"/>
            </w:tcBorders>
            <w:vAlign w:val="center"/>
          </w:tcPr>
          <w:p w14:paraId="74BEA1F9">
            <w:pPr>
              <w:pStyle w:val="5"/>
              <w:adjustRightInd w:val="0"/>
              <w:snapToGrid w:val="0"/>
              <w:ind w:firstLine="0"/>
              <w:jc w:val="center"/>
              <w:rPr>
                <w:b/>
                <w:bCs/>
                <w:color w:val="auto"/>
                <w:sz w:val="20"/>
                <w:lang w:val="en-US"/>
              </w:rPr>
            </w:pPr>
            <w:r>
              <w:rPr>
                <w:b/>
                <w:bCs/>
                <w:color w:val="auto"/>
                <w:sz w:val="20"/>
                <w:lang w:val="en-US"/>
              </w:rPr>
              <w:t>所需建设资金（万元）</w:t>
            </w:r>
          </w:p>
        </w:tc>
        <w:tc>
          <w:tcPr>
            <w:tcW w:w="0" w:type="auto"/>
            <w:tcBorders>
              <w:top w:val="single" w:color="auto" w:sz="4" w:space="0"/>
            </w:tcBorders>
            <w:vAlign w:val="center"/>
          </w:tcPr>
          <w:p w14:paraId="4D94F874">
            <w:pPr>
              <w:pStyle w:val="5"/>
              <w:adjustRightInd w:val="0"/>
              <w:snapToGrid w:val="0"/>
              <w:ind w:firstLine="0"/>
              <w:jc w:val="center"/>
              <w:rPr>
                <w:b/>
                <w:bCs/>
                <w:color w:val="auto"/>
                <w:sz w:val="20"/>
                <w:lang w:val="en-US"/>
              </w:rPr>
            </w:pPr>
            <w:r>
              <w:rPr>
                <w:b/>
                <w:bCs/>
                <w:color w:val="auto"/>
                <w:sz w:val="20"/>
                <w:lang w:val="en-US"/>
              </w:rPr>
              <w:t>新增规模(吨)</w:t>
            </w:r>
          </w:p>
        </w:tc>
        <w:tc>
          <w:tcPr>
            <w:tcW w:w="0" w:type="auto"/>
            <w:tcBorders>
              <w:top w:val="single" w:color="auto" w:sz="4" w:space="0"/>
            </w:tcBorders>
            <w:vAlign w:val="center"/>
          </w:tcPr>
          <w:p w14:paraId="7D5C754A">
            <w:pPr>
              <w:pStyle w:val="5"/>
              <w:adjustRightInd w:val="0"/>
              <w:snapToGrid w:val="0"/>
              <w:ind w:firstLine="0"/>
              <w:jc w:val="center"/>
              <w:rPr>
                <w:b/>
                <w:bCs/>
                <w:color w:val="auto"/>
                <w:sz w:val="20"/>
                <w:lang w:val="en-US"/>
              </w:rPr>
            </w:pPr>
            <w:r>
              <w:rPr>
                <w:b/>
                <w:bCs/>
                <w:color w:val="auto"/>
                <w:sz w:val="20"/>
                <w:lang w:val="en-US"/>
              </w:rPr>
              <w:t>新建改造管网长度（公里）</w:t>
            </w:r>
          </w:p>
        </w:tc>
        <w:tc>
          <w:tcPr>
            <w:tcW w:w="0" w:type="auto"/>
            <w:tcBorders>
              <w:top w:val="single" w:color="auto" w:sz="4" w:space="0"/>
            </w:tcBorders>
            <w:vAlign w:val="center"/>
          </w:tcPr>
          <w:p w14:paraId="4B3785C6">
            <w:pPr>
              <w:pStyle w:val="5"/>
              <w:adjustRightInd w:val="0"/>
              <w:snapToGrid w:val="0"/>
              <w:ind w:firstLine="0"/>
              <w:jc w:val="center"/>
              <w:rPr>
                <w:b/>
                <w:bCs/>
                <w:color w:val="auto"/>
                <w:sz w:val="20"/>
                <w:lang w:val="en-US"/>
              </w:rPr>
            </w:pPr>
            <w:r>
              <w:rPr>
                <w:b/>
                <w:bCs/>
                <w:color w:val="auto"/>
                <w:sz w:val="20"/>
                <w:lang w:val="en-US"/>
              </w:rPr>
              <w:t>共需建设资金（万元）</w:t>
            </w:r>
          </w:p>
        </w:tc>
        <w:tc>
          <w:tcPr>
            <w:tcW w:w="0" w:type="auto"/>
            <w:tcBorders>
              <w:top w:val="single" w:color="auto" w:sz="4" w:space="0"/>
            </w:tcBorders>
            <w:vAlign w:val="center"/>
          </w:tcPr>
          <w:p w14:paraId="2FD64118">
            <w:pPr>
              <w:pStyle w:val="5"/>
              <w:adjustRightInd w:val="0"/>
              <w:snapToGrid w:val="0"/>
              <w:ind w:firstLine="0"/>
              <w:jc w:val="center"/>
              <w:rPr>
                <w:b/>
                <w:bCs/>
                <w:color w:val="auto"/>
                <w:sz w:val="20"/>
                <w:lang w:val="en-US"/>
              </w:rPr>
            </w:pPr>
            <w:r>
              <w:rPr>
                <w:b/>
                <w:bCs/>
                <w:color w:val="auto"/>
                <w:sz w:val="20"/>
                <w:lang w:val="en-US"/>
              </w:rPr>
              <w:t>建设资金来源</w:t>
            </w:r>
          </w:p>
        </w:tc>
        <w:tc>
          <w:tcPr>
            <w:tcW w:w="0" w:type="auto"/>
            <w:vMerge w:val="continue"/>
            <w:vAlign w:val="center"/>
          </w:tcPr>
          <w:p w14:paraId="48885C7F">
            <w:pPr>
              <w:pStyle w:val="5"/>
              <w:adjustRightInd w:val="0"/>
              <w:snapToGrid w:val="0"/>
              <w:ind w:firstLine="0"/>
              <w:jc w:val="center"/>
              <w:rPr>
                <w:b/>
                <w:bCs/>
                <w:color w:val="auto"/>
                <w:sz w:val="20"/>
                <w:lang w:val="en-US"/>
              </w:rPr>
            </w:pPr>
          </w:p>
        </w:tc>
        <w:tc>
          <w:tcPr>
            <w:tcW w:w="0" w:type="auto"/>
            <w:vMerge w:val="continue"/>
            <w:vAlign w:val="center"/>
          </w:tcPr>
          <w:p w14:paraId="73139D0D">
            <w:pPr>
              <w:pStyle w:val="5"/>
              <w:adjustRightInd w:val="0"/>
              <w:snapToGrid w:val="0"/>
              <w:ind w:firstLine="0"/>
              <w:jc w:val="center"/>
              <w:rPr>
                <w:b/>
                <w:bCs/>
                <w:color w:val="auto"/>
                <w:sz w:val="20"/>
                <w:lang w:val="en-US"/>
              </w:rPr>
            </w:pPr>
          </w:p>
        </w:tc>
      </w:tr>
      <w:tr w14:paraId="7C7DE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14:paraId="4E9F6FAB">
            <w:pPr>
              <w:pStyle w:val="5"/>
              <w:adjustRightInd w:val="0"/>
              <w:snapToGrid w:val="0"/>
              <w:ind w:firstLine="0"/>
              <w:jc w:val="center"/>
              <w:rPr>
                <w:b/>
                <w:bCs/>
                <w:color w:val="auto"/>
                <w:sz w:val="20"/>
                <w:lang w:val="en-US"/>
              </w:rPr>
            </w:pPr>
            <w:r>
              <w:rPr>
                <w:b/>
                <w:bCs/>
                <w:color w:val="auto"/>
                <w:sz w:val="20"/>
                <w:lang w:val="en-US"/>
              </w:rPr>
              <w:t>晋安区</w:t>
            </w:r>
          </w:p>
        </w:tc>
        <w:tc>
          <w:tcPr>
            <w:tcW w:w="0" w:type="auto"/>
            <w:vAlign w:val="center"/>
          </w:tcPr>
          <w:p w14:paraId="19EB0DB7">
            <w:pPr>
              <w:pStyle w:val="5"/>
              <w:adjustRightInd w:val="0"/>
              <w:snapToGrid w:val="0"/>
              <w:ind w:firstLine="0"/>
              <w:jc w:val="center"/>
              <w:rPr>
                <w:b/>
                <w:bCs/>
                <w:color w:val="auto"/>
                <w:sz w:val="20"/>
                <w:lang w:val="en-US"/>
              </w:rPr>
            </w:pPr>
            <w:r>
              <w:rPr>
                <w:b/>
                <w:bCs/>
                <w:color w:val="auto"/>
                <w:sz w:val="20"/>
                <w:lang w:val="en-US"/>
              </w:rPr>
              <w:t>0</w:t>
            </w:r>
          </w:p>
        </w:tc>
        <w:tc>
          <w:tcPr>
            <w:tcW w:w="0" w:type="auto"/>
            <w:vAlign w:val="center"/>
          </w:tcPr>
          <w:p w14:paraId="48F5314E">
            <w:pPr>
              <w:pStyle w:val="5"/>
              <w:adjustRightInd w:val="0"/>
              <w:snapToGrid w:val="0"/>
              <w:ind w:firstLine="0"/>
              <w:jc w:val="center"/>
              <w:rPr>
                <w:b/>
                <w:bCs/>
                <w:color w:val="auto"/>
                <w:sz w:val="20"/>
                <w:lang w:val="en-US"/>
              </w:rPr>
            </w:pPr>
            <w:r>
              <w:rPr>
                <w:b/>
                <w:bCs/>
                <w:color w:val="auto"/>
                <w:sz w:val="20"/>
                <w:lang w:val="en-US"/>
              </w:rPr>
              <w:t>0</w:t>
            </w:r>
          </w:p>
        </w:tc>
        <w:tc>
          <w:tcPr>
            <w:tcW w:w="0" w:type="auto"/>
            <w:vAlign w:val="center"/>
          </w:tcPr>
          <w:p w14:paraId="42A54033">
            <w:pPr>
              <w:pStyle w:val="5"/>
              <w:adjustRightInd w:val="0"/>
              <w:snapToGrid w:val="0"/>
              <w:ind w:firstLine="0"/>
              <w:jc w:val="center"/>
              <w:rPr>
                <w:b/>
                <w:bCs/>
                <w:color w:val="auto"/>
                <w:sz w:val="20"/>
                <w:lang w:val="en-US"/>
              </w:rPr>
            </w:pPr>
            <w:r>
              <w:rPr>
                <w:b/>
                <w:bCs/>
                <w:color w:val="auto"/>
                <w:sz w:val="20"/>
                <w:lang w:val="en-US"/>
              </w:rPr>
              <w:t>100</w:t>
            </w:r>
          </w:p>
        </w:tc>
        <w:tc>
          <w:tcPr>
            <w:tcW w:w="0" w:type="auto"/>
            <w:vAlign w:val="center"/>
          </w:tcPr>
          <w:p w14:paraId="49E922B0">
            <w:pPr>
              <w:pStyle w:val="5"/>
              <w:adjustRightInd w:val="0"/>
              <w:snapToGrid w:val="0"/>
              <w:ind w:firstLine="0"/>
              <w:jc w:val="center"/>
              <w:rPr>
                <w:b/>
                <w:bCs/>
                <w:color w:val="auto"/>
                <w:sz w:val="20"/>
                <w:lang w:val="en-US"/>
              </w:rPr>
            </w:pPr>
            <w:r>
              <w:rPr>
                <w:b/>
                <w:bCs/>
                <w:color w:val="auto"/>
                <w:sz w:val="20"/>
                <w:lang w:val="en-US"/>
              </w:rPr>
              <w:t>1400</w:t>
            </w:r>
          </w:p>
        </w:tc>
        <w:tc>
          <w:tcPr>
            <w:tcW w:w="0" w:type="auto"/>
            <w:vAlign w:val="center"/>
          </w:tcPr>
          <w:p w14:paraId="44BFF361">
            <w:pPr>
              <w:pStyle w:val="5"/>
              <w:adjustRightInd w:val="0"/>
              <w:snapToGrid w:val="0"/>
              <w:ind w:firstLine="0"/>
              <w:jc w:val="center"/>
              <w:rPr>
                <w:b/>
                <w:bCs/>
                <w:color w:val="auto"/>
                <w:sz w:val="20"/>
                <w:lang w:val="en-US"/>
              </w:rPr>
            </w:pPr>
            <w:r>
              <w:rPr>
                <w:b/>
                <w:bCs/>
                <w:color w:val="auto"/>
                <w:sz w:val="20"/>
                <w:lang w:val="en-US"/>
              </w:rPr>
              <w:t>10.9</w:t>
            </w:r>
          </w:p>
        </w:tc>
        <w:tc>
          <w:tcPr>
            <w:tcW w:w="0" w:type="auto"/>
          </w:tcPr>
          <w:p w14:paraId="711F08DC">
            <w:pPr>
              <w:pStyle w:val="5"/>
              <w:adjustRightInd w:val="0"/>
              <w:snapToGrid w:val="0"/>
              <w:ind w:firstLine="0"/>
              <w:jc w:val="center"/>
              <w:rPr>
                <w:b/>
                <w:bCs/>
                <w:color w:val="auto"/>
                <w:sz w:val="20"/>
                <w:lang w:val="en-US"/>
              </w:rPr>
            </w:pPr>
            <w:r>
              <w:rPr>
                <w:rFonts w:hint="eastAsia"/>
                <w:b/>
                <w:bCs/>
                <w:color w:val="auto"/>
                <w:sz w:val="20"/>
                <w:lang w:val="en-US"/>
              </w:rPr>
              <w:t>0</w:t>
            </w:r>
          </w:p>
        </w:tc>
        <w:tc>
          <w:tcPr>
            <w:tcW w:w="0" w:type="auto"/>
          </w:tcPr>
          <w:p w14:paraId="62F9ABF0">
            <w:pPr>
              <w:pStyle w:val="5"/>
              <w:adjustRightInd w:val="0"/>
              <w:snapToGrid w:val="0"/>
              <w:ind w:firstLine="0"/>
              <w:jc w:val="center"/>
              <w:rPr>
                <w:b/>
                <w:bCs/>
                <w:color w:val="auto"/>
                <w:sz w:val="20"/>
                <w:lang w:val="en-US"/>
              </w:rPr>
            </w:pPr>
            <w:r>
              <w:rPr>
                <w:rFonts w:hint="eastAsia"/>
                <w:b/>
                <w:bCs/>
                <w:color w:val="auto"/>
                <w:sz w:val="20"/>
                <w:lang w:val="en-US"/>
              </w:rPr>
              <w:t>5</w:t>
            </w:r>
          </w:p>
        </w:tc>
        <w:tc>
          <w:tcPr>
            <w:tcW w:w="0" w:type="auto"/>
          </w:tcPr>
          <w:p w14:paraId="60AD1C2D">
            <w:pPr>
              <w:pStyle w:val="5"/>
              <w:adjustRightInd w:val="0"/>
              <w:snapToGrid w:val="0"/>
              <w:ind w:firstLine="0"/>
              <w:jc w:val="center"/>
              <w:rPr>
                <w:b/>
                <w:bCs/>
                <w:color w:val="auto"/>
                <w:sz w:val="20"/>
                <w:lang w:val="en-US"/>
              </w:rPr>
            </w:pPr>
            <w:r>
              <w:rPr>
                <w:rFonts w:hint="eastAsia"/>
                <w:b/>
                <w:bCs/>
                <w:color w:val="auto"/>
                <w:sz w:val="20"/>
                <w:lang w:val="en-US"/>
              </w:rPr>
              <w:t>4</w:t>
            </w:r>
            <w:r>
              <w:rPr>
                <w:b/>
                <w:bCs/>
                <w:color w:val="auto"/>
                <w:sz w:val="20"/>
                <w:lang w:val="en-US"/>
              </w:rPr>
              <w:t>00</w:t>
            </w:r>
          </w:p>
        </w:tc>
        <w:tc>
          <w:tcPr>
            <w:tcW w:w="0" w:type="auto"/>
            <w:vAlign w:val="center"/>
          </w:tcPr>
          <w:p w14:paraId="364CBC6B">
            <w:pPr>
              <w:pStyle w:val="5"/>
              <w:adjustRightInd w:val="0"/>
              <w:snapToGrid w:val="0"/>
              <w:ind w:firstLine="0"/>
              <w:jc w:val="center"/>
              <w:rPr>
                <w:b/>
                <w:bCs/>
                <w:color w:val="auto"/>
                <w:sz w:val="20"/>
                <w:lang w:val="en-US"/>
              </w:rPr>
            </w:pPr>
            <w:r>
              <w:rPr>
                <w:b/>
                <w:bCs/>
                <w:color w:val="auto"/>
                <w:sz w:val="20"/>
                <w:lang w:val="en-US"/>
              </w:rPr>
              <w:t>0</w:t>
            </w:r>
          </w:p>
        </w:tc>
        <w:tc>
          <w:tcPr>
            <w:tcW w:w="0" w:type="auto"/>
            <w:vAlign w:val="center"/>
          </w:tcPr>
          <w:p w14:paraId="1E0B54AF">
            <w:pPr>
              <w:pStyle w:val="5"/>
              <w:adjustRightInd w:val="0"/>
              <w:snapToGrid w:val="0"/>
              <w:ind w:firstLine="0"/>
              <w:jc w:val="center"/>
              <w:rPr>
                <w:b/>
                <w:bCs/>
                <w:color w:val="auto"/>
                <w:sz w:val="20"/>
                <w:lang w:val="en-US"/>
              </w:rPr>
            </w:pPr>
            <w:r>
              <w:rPr>
                <w:b/>
                <w:bCs/>
                <w:color w:val="auto"/>
                <w:sz w:val="20"/>
                <w:lang w:val="en-US"/>
              </w:rPr>
              <w:t>5</w:t>
            </w:r>
          </w:p>
        </w:tc>
        <w:tc>
          <w:tcPr>
            <w:tcW w:w="0" w:type="auto"/>
            <w:vAlign w:val="center"/>
          </w:tcPr>
          <w:p w14:paraId="061949B3">
            <w:pPr>
              <w:pStyle w:val="5"/>
              <w:adjustRightInd w:val="0"/>
              <w:snapToGrid w:val="0"/>
              <w:ind w:firstLine="0"/>
              <w:jc w:val="center"/>
              <w:rPr>
                <w:b/>
                <w:bCs/>
                <w:color w:val="auto"/>
                <w:sz w:val="20"/>
                <w:lang w:val="en-US"/>
              </w:rPr>
            </w:pPr>
            <w:r>
              <w:rPr>
                <w:b/>
                <w:bCs/>
                <w:color w:val="auto"/>
                <w:sz w:val="20"/>
                <w:lang w:val="en-US"/>
              </w:rPr>
              <w:t>300</w:t>
            </w:r>
          </w:p>
        </w:tc>
        <w:tc>
          <w:tcPr>
            <w:tcW w:w="0" w:type="auto"/>
            <w:vAlign w:val="center"/>
          </w:tcPr>
          <w:p w14:paraId="1FD22F86">
            <w:pPr>
              <w:pStyle w:val="5"/>
              <w:adjustRightInd w:val="0"/>
              <w:snapToGrid w:val="0"/>
              <w:ind w:firstLine="0"/>
              <w:jc w:val="center"/>
              <w:rPr>
                <w:b/>
                <w:bCs/>
                <w:color w:val="auto"/>
                <w:sz w:val="20"/>
                <w:lang w:val="en-US"/>
              </w:rPr>
            </w:pPr>
            <w:r>
              <w:rPr>
                <w:b/>
                <w:bCs/>
                <w:color w:val="auto"/>
                <w:sz w:val="20"/>
                <w:lang w:val="en-US"/>
              </w:rPr>
              <w:t>0</w:t>
            </w:r>
          </w:p>
        </w:tc>
        <w:tc>
          <w:tcPr>
            <w:tcW w:w="0" w:type="auto"/>
            <w:vAlign w:val="center"/>
          </w:tcPr>
          <w:p w14:paraId="0CFCC1C8">
            <w:pPr>
              <w:pStyle w:val="5"/>
              <w:adjustRightInd w:val="0"/>
              <w:snapToGrid w:val="0"/>
              <w:ind w:firstLine="0"/>
              <w:jc w:val="center"/>
              <w:rPr>
                <w:b/>
                <w:bCs/>
                <w:color w:val="auto"/>
                <w:sz w:val="20"/>
                <w:lang w:val="en-US"/>
              </w:rPr>
            </w:pPr>
            <w:r>
              <w:rPr>
                <w:b/>
                <w:bCs/>
                <w:color w:val="auto"/>
                <w:sz w:val="20"/>
                <w:lang w:val="en-US"/>
              </w:rPr>
              <w:t>0.5</w:t>
            </w:r>
          </w:p>
        </w:tc>
        <w:tc>
          <w:tcPr>
            <w:tcW w:w="0" w:type="auto"/>
            <w:vAlign w:val="center"/>
          </w:tcPr>
          <w:p w14:paraId="16406C01">
            <w:pPr>
              <w:pStyle w:val="5"/>
              <w:adjustRightInd w:val="0"/>
              <w:snapToGrid w:val="0"/>
              <w:ind w:firstLine="0"/>
              <w:jc w:val="center"/>
              <w:rPr>
                <w:b/>
                <w:bCs/>
                <w:color w:val="auto"/>
                <w:sz w:val="20"/>
                <w:lang w:val="en-US"/>
              </w:rPr>
            </w:pPr>
            <w:r>
              <w:rPr>
                <w:b/>
                <w:bCs/>
                <w:color w:val="auto"/>
                <w:sz w:val="20"/>
                <w:lang w:val="en-US"/>
              </w:rPr>
              <w:t>22</w:t>
            </w:r>
          </w:p>
        </w:tc>
        <w:tc>
          <w:tcPr>
            <w:tcW w:w="0" w:type="auto"/>
            <w:vAlign w:val="center"/>
          </w:tcPr>
          <w:p w14:paraId="4972B59D">
            <w:pPr>
              <w:pStyle w:val="5"/>
              <w:adjustRightInd w:val="0"/>
              <w:snapToGrid w:val="0"/>
              <w:ind w:firstLine="0"/>
              <w:jc w:val="center"/>
              <w:rPr>
                <w:b/>
                <w:bCs/>
                <w:color w:val="auto"/>
                <w:sz w:val="20"/>
                <w:lang w:val="en-US"/>
              </w:rPr>
            </w:pPr>
            <w:r>
              <w:rPr>
                <w:b/>
                <w:bCs/>
                <w:color w:val="auto"/>
                <w:sz w:val="20"/>
                <w:lang w:val="en-US"/>
              </w:rPr>
              <w:t>0</w:t>
            </w:r>
          </w:p>
        </w:tc>
        <w:tc>
          <w:tcPr>
            <w:tcW w:w="0" w:type="auto"/>
            <w:vAlign w:val="center"/>
          </w:tcPr>
          <w:p w14:paraId="2A40835C">
            <w:pPr>
              <w:pStyle w:val="5"/>
              <w:adjustRightInd w:val="0"/>
              <w:snapToGrid w:val="0"/>
              <w:ind w:firstLine="0"/>
              <w:jc w:val="center"/>
              <w:rPr>
                <w:b/>
                <w:bCs/>
                <w:color w:val="auto"/>
                <w:sz w:val="20"/>
                <w:lang w:val="en-US"/>
              </w:rPr>
            </w:pPr>
            <w:r>
              <w:rPr>
                <w:b/>
                <w:bCs/>
                <w:color w:val="auto"/>
                <w:sz w:val="20"/>
                <w:lang w:val="en-US"/>
              </w:rPr>
              <w:t>0</w:t>
            </w:r>
          </w:p>
        </w:tc>
        <w:tc>
          <w:tcPr>
            <w:tcW w:w="0" w:type="auto"/>
            <w:vAlign w:val="center"/>
          </w:tcPr>
          <w:p w14:paraId="6B0F0AC1">
            <w:pPr>
              <w:pStyle w:val="5"/>
              <w:adjustRightInd w:val="0"/>
              <w:snapToGrid w:val="0"/>
              <w:ind w:firstLine="0"/>
              <w:jc w:val="center"/>
              <w:rPr>
                <w:b/>
                <w:bCs/>
                <w:color w:val="auto"/>
                <w:sz w:val="20"/>
                <w:lang w:val="en-US"/>
              </w:rPr>
            </w:pPr>
            <w:r>
              <w:rPr>
                <w:b/>
                <w:bCs/>
                <w:color w:val="auto"/>
                <w:sz w:val="20"/>
                <w:lang w:val="en-US"/>
              </w:rPr>
              <w:t>0</w:t>
            </w:r>
          </w:p>
        </w:tc>
        <w:tc>
          <w:tcPr>
            <w:tcW w:w="0" w:type="auto"/>
            <w:vAlign w:val="center"/>
          </w:tcPr>
          <w:p w14:paraId="6300EFBC">
            <w:pPr>
              <w:pStyle w:val="5"/>
              <w:adjustRightInd w:val="0"/>
              <w:snapToGrid w:val="0"/>
              <w:ind w:firstLine="0"/>
              <w:jc w:val="center"/>
              <w:rPr>
                <w:b/>
                <w:bCs/>
                <w:color w:val="auto"/>
                <w:sz w:val="20"/>
                <w:lang w:val="en-US"/>
              </w:rPr>
            </w:pPr>
            <w:r>
              <w:rPr>
                <w:b/>
                <w:bCs/>
                <w:color w:val="auto"/>
                <w:sz w:val="20"/>
                <w:lang w:val="en-US"/>
              </w:rPr>
              <w:t>0</w:t>
            </w:r>
          </w:p>
        </w:tc>
        <w:tc>
          <w:tcPr>
            <w:tcW w:w="0" w:type="auto"/>
            <w:vAlign w:val="center"/>
          </w:tcPr>
          <w:p w14:paraId="61A54EFE">
            <w:pPr>
              <w:pStyle w:val="5"/>
              <w:adjustRightInd w:val="0"/>
              <w:snapToGrid w:val="0"/>
              <w:ind w:firstLine="0"/>
              <w:jc w:val="center"/>
              <w:rPr>
                <w:b/>
                <w:bCs/>
                <w:color w:val="auto"/>
                <w:sz w:val="20"/>
                <w:lang w:val="en-US"/>
              </w:rPr>
            </w:pPr>
            <w:r>
              <w:rPr>
                <w:b/>
                <w:bCs/>
                <w:color w:val="auto"/>
                <w:sz w:val="20"/>
                <w:lang w:val="en-US"/>
              </w:rPr>
              <w:t>10.5</w:t>
            </w:r>
          </w:p>
        </w:tc>
        <w:tc>
          <w:tcPr>
            <w:tcW w:w="0" w:type="auto"/>
            <w:vAlign w:val="center"/>
          </w:tcPr>
          <w:p w14:paraId="6906C144">
            <w:pPr>
              <w:pStyle w:val="5"/>
              <w:adjustRightInd w:val="0"/>
              <w:snapToGrid w:val="0"/>
              <w:ind w:firstLine="0"/>
              <w:jc w:val="center"/>
              <w:rPr>
                <w:b/>
                <w:bCs/>
                <w:color w:val="auto"/>
                <w:sz w:val="20"/>
                <w:lang w:val="en-US"/>
              </w:rPr>
            </w:pPr>
            <w:r>
              <w:rPr>
                <w:b/>
                <w:bCs/>
                <w:color w:val="auto"/>
                <w:sz w:val="20"/>
                <w:lang w:val="en-US"/>
              </w:rPr>
              <w:t>822</w:t>
            </w:r>
          </w:p>
        </w:tc>
        <w:tc>
          <w:tcPr>
            <w:tcW w:w="0" w:type="auto"/>
            <w:vAlign w:val="center"/>
          </w:tcPr>
          <w:p w14:paraId="6EEF2F8B">
            <w:pPr>
              <w:pStyle w:val="5"/>
              <w:adjustRightInd w:val="0"/>
              <w:snapToGrid w:val="0"/>
              <w:ind w:firstLine="0"/>
              <w:jc w:val="center"/>
              <w:rPr>
                <w:b/>
                <w:bCs/>
                <w:color w:val="auto"/>
                <w:sz w:val="20"/>
                <w:lang w:val="en-US"/>
              </w:rPr>
            </w:pPr>
          </w:p>
        </w:tc>
        <w:tc>
          <w:tcPr>
            <w:tcW w:w="0" w:type="auto"/>
            <w:vAlign w:val="center"/>
          </w:tcPr>
          <w:p w14:paraId="7887D662">
            <w:pPr>
              <w:pStyle w:val="5"/>
              <w:adjustRightInd w:val="0"/>
              <w:snapToGrid w:val="0"/>
              <w:ind w:firstLine="0"/>
              <w:jc w:val="center"/>
              <w:rPr>
                <w:b/>
                <w:bCs/>
                <w:color w:val="auto"/>
                <w:sz w:val="20"/>
                <w:lang w:val="en-US"/>
              </w:rPr>
            </w:pPr>
            <w:r>
              <w:rPr>
                <w:b/>
                <w:bCs/>
                <w:color w:val="auto"/>
                <w:sz w:val="20"/>
                <w:lang w:val="en-US"/>
              </w:rPr>
              <w:t>75%</w:t>
            </w:r>
          </w:p>
        </w:tc>
        <w:tc>
          <w:tcPr>
            <w:tcW w:w="0" w:type="auto"/>
            <w:vAlign w:val="center"/>
          </w:tcPr>
          <w:p w14:paraId="496EAE7E">
            <w:pPr>
              <w:pStyle w:val="5"/>
              <w:adjustRightInd w:val="0"/>
              <w:snapToGrid w:val="0"/>
              <w:ind w:firstLine="0"/>
              <w:jc w:val="center"/>
              <w:rPr>
                <w:b/>
                <w:bCs/>
                <w:color w:val="auto"/>
                <w:sz w:val="20"/>
                <w:lang w:val="en-US"/>
              </w:rPr>
            </w:pPr>
            <w:r>
              <w:rPr>
                <w:b/>
                <w:bCs/>
                <w:color w:val="auto"/>
                <w:sz w:val="20"/>
                <w:lang w:val="en-US"/>
              </w:rPr>
              <w:t>2035年</w:t>
            </w:r>
          </w:p>
        </w:tc>
      </w:tr>
    </w:tbl>
    <w:p w14:paraId="18FD8224">
      <w:pPr>
        <w:pStyle w:val="5"/>
        <w:ind w:firstLine="0"/>
        <w:rPr>
          <w:b/>
          <w:bCs/>
          <w:color w:val="000000" w:themeColor="text1"/>
          <w:lang w:val="en-US"/>
          <w14:textFill>
            <w14:solidFill>
              <w14:schemeClr w14:val="tx1"/>
            </w14:solidFill>
          </w14:textFill>
        </w:rPr>
      </w:pPr>
    </w:p>
    <w:p w14:paraId="7E8AE54C">
      <w:pPr>
        <w:widowControl/>
        <w:jc w:val="left"/>
        <w:rPr>
          <w:b/>
          <w:bCs/>
          <w:color w:val="000000" w:themeColor="text1"/>
          <w:szCs w:val="20"/>
          <w14:textFill>
            <w14:solidFill>
              <w14:schemeClr w14:val="tx1"/>
            </w14:solidFill>
          </w14:textFill>
        </w:rPr>
      </w:pPr>
      <w:r>
        <w:rPr>
          <w:b/>
          <w:bCs/>
          <w:color w:val="000000" w:themeColor="text1"/>
          <w14:textFill>
            <w14:solidFill>
              <w14:schemeClr w14:val="tx1"/>
            </w14:solidFill>
          </w14:textFill>
        </w:rPr>
        <w:br w:type="page"/>
      </w:r>
    </w:p>
    <w:p w14:paraId="7838FE72">
      <w:pPr>
        <w:pStyle w:val="5"/>
        <w:ind w:firstLine="0"/>
        <w:rPr>
          <w:b/>
          <w:bCs/>
          <w:color w:val="000000" w:themeColor="text1"/>
          <w:lang w:val="en-US"/>
          <w14:textFill>
            <w14:solidFill>
              <w14:schemeClr w14:val="tx1"/>
            </w14:solidFill>
          </w14:textFill>
        </w:rPr>
        <w:sectPr>
          <w:pgSz w:w="16838" w:h="11906" w:orient="landscape"/>
          <w:pgMar w:top="1701" w:right="1134" w:bottom="1701" w:left="1191" w:header="851" w:footer="992" w:gutter="0"/>
          <w:cols w:space="720" w:num="1"/>
          <w:docGrid w:type="lines" w:linePitch="312" w:charSpace="0"/>
        </w:sectPr>
      </w:pPr>
    </w:p>
    <w:p w14:paraId="570E39D3">
      <w:pPr>
        <w:pStyle w:val="5"/>
        <w:ind w:firstLine="0"/>
        <w:rPr>
          <w:b/>
          <w:bCs/>
          <w:color w:val="000000" w:themeColor="text1"/>
          <w:lang w:val="en-US"/>
          <w14:textFill>
            <w14:solidFill>
              <w14:schemeClr w14:val="tx1"/>
            </w14:solidFill>
          </w14:textFill>
        </w:rPr>
      </w:pPr>
      <w:r>
        <w:rPr>
          <w:b/>
          <w:bCs/>
          <w:color w:val="000000" w:themeColor="text1"/>
          <w:lang w:val="en-US"/>
          <w14:textFill>
            <w14:solidFill>
              <w14:schemeClr w14:val="tx1"/>
            </w14:solidFill>
          </w14:textFill>
        </w:rPr>
        <w:t>附件1  专家评审意见</w:t>
      </w:r>
    </w:p>
    <w:p w14:paraId="5B411AB1">
      <w:pPr>
        <w:pStyle w:val="5"/>
        <w:ind w:firstLine="0"/>
        <w:rPr>
          <w:b/>
          <w:bCs/>
          <w:color w:val="000000" w:themeColor="text1"/>
          <w:lang w:val="en-US"/>
          <w14:textFill>
            <w14:solidFill>
              <w14:schemeClr w14:val="tx1"/>
            </w14:solidFill>
          </w14:textFill>
        </w:rPr>
      </w:pPr>
      <w:r>
        <w:rPr>
          <w:color w:val="000000" w:themeColor="text1"/>
          <w14:textFill>
            <w14:solidFill>
              <w14:schemeClr w14:val="tx1"/>
            </w14:solidFill>
          </w14:textFill>
        </w:rPr>
        <w:drawing>
          <wp:inline distT="0" distB="0" distL="0" distR="0">
            <wp:extent cx="5400040" cy="76409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9"/>
                    <a:stretch>
                      <a:fillRect/>
                    </a:stretch>
                  </pic:blipFill>
                  <pic:spPr>
                    <a:xfrm>
                      <a:off x="0" y="0"/>
                      <a:ext cx="5400040" cy="7640955"/>
                    </a:xfrm>
                    <a:prstGeom prst="rect">
                      <a:avLst/>
                    </a:prstGeom>
                  </pic:spPr>
                </pic:pic>
              </a:graphicData>
            </a:graphic>
          </wp:inline>
        </w:drawing>
      </w:r>
    </w:p>
    <w:p w14:paraId="3FDC1FC3">
      <w:pPr>
        <w:pStyle w:val="5"/>
        <w:ind w:firstLine="0"/>
        <w:rPr>
          <w:b/>
          <w:bCs/>
          <w:color w:val="000000" w:themeColor="text1"/>
          <w:lang w:val="en-US"/>
          <w14:textFill>
            <w14:solidFill>
              <w14:schemeClr w14:val="tx1"/>
            </w14:solidFill>
          </w14:textFill>
        </w:rPr>
      </w:pPr>
    </w:p>
    <w:p w14:paraId="045A0E14">
      <w:pPr>
        <w:pStyle w:val="5"/>
        <w:ind w:firstLine="0"/>
        <w:rPr>
          <w:b/>
          <w:bCs/>
          <w:color w:val="000000" w:themeColor="text1"/>
          <w:lang w:val="en-US"/>
          <w14:textFill>
            <w14:solidFill>
              <w14:schemeClr w14:val="tx1"/>
            </w14:solidFill>
          </w14:textFill>
        </w:rPr>
      </w:pPr>
    </w:p>
    <w:p w14:paraId="0E84FBF0">
      <w:pPr>
        <w:pStyle w:val="5"/>
        <w:ind w:firstLine="0"/>
        <w:rPr>
          <w:b/>
          <w:bCs/>
          <w:color w:val="000000" w:themeColor="text1"/>
          <w:lang w:val="en-US"/>
          <w14:textFill>
            <w14:solidFill>
              <w14:schemeClr w14:val="tx1"/>
            </w14:solidFill>
          </w14:textFill>
        </w:rPr>
      </w:pPr>
    </w:p>
    <w:p w14:paraId="4827B396">
      <w:pPr>
        <w:pStyle w:val="5"/>
        <w:ind w:firstLine="0"/>
        <w:rPr>
          <w:b/>
          <w:bCs/>
          <w:color w:val="000000" w:themeColor="text1"/>
          <w:lang w:val="en-US"/>
          <w14:textFill>
            <w14:solidFill>
              <w14:schemeClr w14:val="tx1"/>
            </w14:solidFill>
          </w14:textFill>
        </w:rPr>
      </w:pPr>
    </w:p>
    <w:p w14:paraId="19661D54">
      <w:pPr>
        <w:pStyle w:val="5"/>
        <w:ind w:firstLine="0"/>
        <w:rPr>
          <w:b/>
          <w:bCs/>
          <w:color w:val="000000" w:themeColor="text1"/>
          <w:lang w:val="en-US"/>
          <w14:textFill>
            <w14:solidFill>
              <w14:schemeClr w14:val="tx1"/>
            </w14:solidFill>
          </w14:textFill>
        </w:rPr>
      </w:pPr>
      <w:r>
        <w:rPr>
          <w:b/>
          <w:bCs/>
          <w:color w:val="000000" w:themeColor="text1"/>
          <w:lang w:val="en-US"/>
          <w14:textFill>
            <w14:solidFill>
              <w14:schemeClr w14:val="tx1"/>
            </w14:solidFill>
          </w14:textFill>
        </w:rPr>
        <w:t>附件2  专家意见修改说明</w:t>
      </w:r>
    </w:p>
    <w:p w14:paraId="289003CE">
      <w:pPr>
        <w:pStyle w:val="5"/>
        <w:ind w:firstLine="0"/>
        <w:rPr>
          <w:b/>
          <w:bCs/>
          <w:color w:val="000000" w:themeColor="text1"/>
          <w:lang w:val="en-US"/>
          <w14:textFill>
            <w14:solidFill>
              <w14:schemeClr w14:val="tx1"/>
            </w14:solidFill>
          </w14:textFill>
        </w:rPr>
      </w:pPr>
    </w:p>
    <w:p w14:paraId="5399AA1D">
      <w:pPr>
        <w:spacing w:line="360" w:lineRule="auto"/>
        <w:jc w:val="center"/>
        <w:rPr>
          <w:b/>
          <w:color w:val="000000" w:themeColor="text1"/>
          <w:sz w:val="30"/>
          <w:szCs w:val="30"/>
          <w14:textFill>
            <w14:solidFill>
              <w14:schemeClr w14:val="tx1"/>
            </w14:solidFill>
          </w14:textFill>
        </w:rPr>
      </w:pPr>
      <w:r>
        <w:rPr>
          <w:b/>
          <w:color w:val="000000" w:themeColor="text1"/>
          <w:sz w:val="30"/>
          <w:szCs w:val="30"/>
          <w14:textFill>
            <w14:solidFill>
              <w14:schemeClr w14:val="tx1"/>
            </w14:solidFill>
          </w14:textFill>
        </w:rPr>
        <w:t>《晋安区北峰山区“十四五”乡镇生活污水处理设施建设运维实施方案》评审会专家组意见修改说明</w:t>
      </w:r>
    </w:p>
    <w:p w14:paraId="7E1D1893">
      <w:pPr>
        <w:spacing w:line="360" w:lineRule="auto"/>
        <w:ind w:firstLine="480" w:firstLineChars="200"/>
        <w:rPr>
          <w:bCs/>
          <w:color w:val="000000" w:themeColor="text1"/>
          <w:sz w:val="24"/>
          <w14:textFill>
            <w14:solidFill>
              <w14:schemeClr w14:val="tx1"/>
            </w14:solidFill>
          </w14:textFill>
        </w:rPr>
      </w:pPr>
    </w:p>
    <w:tbl>
      <w:tblPr>
        <w:tblStyle w:val="55"/>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2412"/>
        <w:gridCol w:w="5708"/>
        <w:gridCol w:w="562"/>
      </w:tblGrid>
      <w:tr w14:paraId="1141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vAlign w:val="center"/>
          </w:tcPr>
          <w:p w14:paraId="5D512FC5">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序号</w:t>
            </w:r>
          </w:p>
        </w:tc>
        <w:tc>
          <w:tcPr>
            <w:tcW w:w="2412" w:type="dxa"/>
            <w:vAlign w:val="center"/>
          </w:tcPr>
          <w:p w14:paraId="714D26AB">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评审意见</w:t>
            </w:r>
          </w:p>
        </w:tc>
        <w:tc>
          <w:tcPr>
            <w:tcW w:w="5708" w:type="dxa"/>
            <w:vAlign w:val="center"/>
          </w:tcPr>
          <w:p w14:paraId="56C6C60E">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修改说明</w:t>
            </w:r>
          </w:p>
        </w:tc>
        <w:tc>
          <w:tcPr>
            <w:tcW w:w="562" w:type="dxa"/>
            <w:vAlign w:val="center"/>
          </w:tcPr>
          <w:p w14:paraId="6269EA89">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备注</w:t>
            </w:r>
          </w:p>
        </w:tc>
      </w:tr>
      <w:tr w14:paraId="29F1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vAlign w:val="center"/>
          </w:tcPr>
          <w:p w14:paraId="37EC7C29">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c>
          <w:tcPr>
            <w:tcW w:w="2412" w:type="dxa"/>
            <w:vAlign w:val="center"/>
          </w:tcPr>
          <w:p w14:paraId="6078AF06">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完善项目实施背景和依据</w:t>
            </w:r>
          </w:p>
        </w:tc>
        <w:tc>
          <w:tcPr>
            <w:tcW w:w="5708" w:type="dxa"/>
            <w:vAlign w:val="center"/>
          </w:tcPr>
          <w:p w14:paraId="69A54C82">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已完善项目实施背景和依据，详见P1~P6页。</w:t>
            </w:r>
          </w:p>
        </w:tc>
        <w:tc>
          <w:tcPr>
            <w:tcW w:w="562" w:type="dxa"/>
            <w:vAlign w:val="center"/>
          </w:tcPr>
          <w:p w14:paraId="67F40D82">
            <w:pPr>
              <w:jc w:val="center"/>
              <w:rPr>
                <w:color w:val="000000" w:themeColor="text1"/>
                <w:sz w:val="24"/>
                <w:highlight w:val="yellow"/>
                <w14:textFill>
                  <w14:solidFill>
                    <w14:schemeClr w14:val="tx1"/>
                  </w14:solidFill>
                </w14:textFill>
              </w:rPr>
            </w:pPr>
          </w:p>
        </w:tc>
      </w:tr>
      <w:tr w14:paraId="4DEC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vAlign w:val="center"/>
          </w:tcPr>
          <w:p w14:paraId="7C8F9335">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2</w:t>
            </w:r>
          </w:p>
        </w:tc>
        <w:tc>
          <w:tcPr>
            <w:tcW w:w="2412" w:type="dxa"/>
            <w:vAlign w:val="center"/>
          </w:tcPr>
          <w:p w14:paraId="6EEB6AF8">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深化乡镇生活污水基本情况调查</w:t>
            </w:r>
          </w:p>
        </w:tc>
        <w:tc>
          <w:tcPr>
            <w:tcW w:w="5708" w:type="dxa"/>
            <w:vAlign w:val="center"/>
          </w:tcPr>
          <w:p w14:paraId="7B0E9F76">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已深化乡镇生活污水基本情况调查，详见P35~P37页</w:t>
            </w:r>
          </w:p>
        </w:tc>
        <w:tc>
          <w:tcPr>
            <w:tcW w:w="562" w:type="dxa"/>
            <w:vAlign w:val="center"/>
          </w:tcPr>
          <w:p w14:paraId="452DD4C6">
            <w:pPr>
              <w:jc w:val="center"/>
              <w:rPr>
                <w:color w:val="000000" w:themeColor="text1"/>
                <w:sz w:val="24"/>
                <w:highlight w:val="yellow"/>
                <w14:textFill>
                  <w14:solidFill>
                    <w14:schemeClr w14:val="tx1"/>
                  </w14:solidFill>
                </w14:textFill>
              </w:rPr>
            </w:pPr>
          </w:p>
        </w:tc>
      </w:tr>
      <w:tr w14:paraId="36A9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vAlign w:val="center"/>
          </w:tcPr>
          <w:p w14:paraId="707CB4D9">
            <w:pPr>
              <w:jc w:val="center"/>
              <w:rPr>
                <w:color w:val="000000" w:themeColor="text1"/>
                <w:sz w:val="24"/>
                <w:highlight w:val="darkYellow"/>
                <w14:textFill>
                  <w14:solidFill>
                    <w14:schemeClr w14:val="tx1"/>
                  </w14:solidFill>
                </w14:textFill>
              </w:rPr>
            </w:pPr>
            <w:r>
              <w:rPr>
                <w:color w:val="000000" w:themeColor="text1"/>
                <w:sz w:val="24"/>
                <w14:textFill>
                  <w14:solidFill>
                    <w14:schemeClr w14:val="tx1"/>
                  </w14:solidFill>
                </w14:textFill>
              </w:rPr>
              <w:t>3</w:t>
            </w:r>
          </w:p>
        </w:tc>
        <w:tc>
          <w:tcPr>
            <w:tcW w:w="2412" w:type="dxa"/>
            <w:vAlign w:val="center"/>
          </w:tcPr>
          <w:p w14:paraId="567E21C7">
            <w:pPr>
              <w:jc w:val="center"/>
              <w:rPr>
                <w:color w:val="000000" w:themeColor="text1"/>
                <w:sz w:val="24"/>
                <w:highlight w:val="darkYellow"/>
                <w14:textFill>
                  <w14:solidFill>
                    <w14:schemeClr w14:val="tx1"/>
                  </w14:solidFill>
                </w14:textFill>
              </w:rPr>
            </w:pPr>
            <w:r>
              <w:rPr>
                <w:color w:val="000000" w:themeColor="text1"/>
                <w:sz w:val="24"/>
                <w14:textFill>
                  <w14:solidFill>
                    <w14:schemeClr w14:val="tx1"/>
                  </w14:solidFill>
                </w14:textFill>
              </w:rPr>
              <w:t>细化运维考核内容</w:t>
            </w:r>
          </w:p>
        </w:tc>
        <w:tc>
          <w:tcPr>
            <w:tcW w:w="5708" w:type="dxa"/>
            <w:vAlign w:val="center"/>
          </w:tcPr>
          <w:p w14:paraId="51DD26BF">
            <w:pPr>
              <w:jc w:val="center"/>
              <w:rPr>
                <w:color w:val="000000" w:themeColor="text1"/>
                <w:sz w:val="24"/>
                <w:highlight w:val="darkYellow"/>
                <w14:textFill>
                  <w14:solidFill>
                    <w14:schemeClr w14:val="tx1"/>
                  </w14:solidFill>
                </w14:textFill>
              </w:rPr>
            </w:pPr>
            <w:r>
              <w:rPr>
                <w:color w:val="000000" w:themeColor="text1"/>
                <w:sz w:val="24"/>
                <w14:textFill>
                  <w14:solidFill>
                    <w14:schemeClr w14:val="tx1"/>
                  </w14:solidFill>
                </w14:textFill>
              </w:rPr>
              <w:t>已细化运维考核内容，详见P76~P83页</w:t>
            </w:r>
          </w:p>
        </w:tc>
        <w:tc>
          <w:tcPr>
            <w:tcW w:w="562" w:type="dxa"/>
            <w:vAlign w:val="center"/>
          </w:tcPr>
          <w:p w14:paraId="4DE01D70">
            <w:pPr>
              <w:jc w:val="center"/>
              <w:rPr>
                <w:color w:val="000000" w:themeColor="text1"/>
                <w:sz w:val="24"/>
                <w:highlight w:val="yellow"/>
                <w14:textFill>
                  <w14:solidFill>
                    <w14:schemeClr w14:val="tx1"/>
                  </w14:solidFill>
                </w14:textFill>
              </w:rPr>
            </w:pPr>
          </w:p>
        </w:tc>
      </w:tr>
      <w:tr w14:paraId="7879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vAlign w:val="center"/>
          </w:tcPr>
          <w:p w14:paraId="641FCF67">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4</w:t>
            </w:r>
          </w:p>
        </w:tc>
        <w:tc>
          <w:tcPr>
            <w:tcW w:w="2412" w:type="dxa"/>
            <w:vAlign w:val="center"/>
          </w:tcPr>
          <w:p w14:paraId="56972155">
            <w:pPr>
              <w:jc w:val="center"/>
              <w:rPr>
                <w:color w:val="000000" w:themeColor="text1"/>
                <w:sz w:val="24"/>
                <w:highlight w:val="darkYellow"/>
                <w14:textFill>
                  <w14:solidFill>
                    <w14:schemeClr w14:val="tx1"/>
                  </w14:solidFill>
                </w14:textFill>
              </w:rPr>
            </w:pPr>
            <w:r>
              <w:rPr>
                <w:color w:val="000000" w:themeColor="text1"/>
                <w:sz w:val="24"/>
                <w14:textFill>
                  <w14:solidFill>
                    <w14:schemeClr w14:val="tx1"/>
                  </w14:solidFill>
                </w14:textFill>
              </w:rPr>
              <w:t>完善治理建设计划及目标汇总表</w:t>
            </w:r>
          </w:p>
        </w:tc>
        <w:tc>
          <w:tcPr>
            <w:tcW w:w="5708" w:type="dxa"/>
            <w:vAlign w:val="center"/>
          </w:tcPr>
          <w:p w14:paraId="61BAEEA7">
            <w:pPr>
              <w:jc w:val="center"/>
              <w:rPr>
                <w:color w:val="000000" w:themeColor="text1"/>
                <w:sz w:val="24"/>
                <w:highlight w:val="darkYellow"/>
                <w14:textFill>
                  <w14:solidFill>
                    <w14:schemeClr w14:val="tx1"/>
                  </w14:solidFill>
                </w14:textFill>
              </w:rPr>
            </w:pPr>
            <w:r>
              <w:rPr>
                <w:color w:val="000000" w:themeColor="text1"/>
                <w:sz w:val="24"/>
                <w14:textFill>
                  <w14:solidFill>
                    <w14:schemeClr w14:val="tx1"/>
                  </w14:solidFill>
                </w14:textFill>
              </w:rPr>
              <w:t>已完善治理建设计划及目标汇总表，详见P116页</w:t>
            </w:r>
          </w:p>
        </w:tc>
        <w:tc>
          <w:tcPr>
            <w:tcW w:w="562" w:type="dxa"/>
            <w:vAlign w:val="center"/>
          </w:tcPr>
          <w:p w14:paraId="3135AE95">
            <w:pPr>
              <w:jc w:val="center"/>
              <w:rPr>
                <w:color w:val="000000" w:themeColor="text1"/>
                <w:sz w:val="24"/>
                <w:highlight w:val="yellow"/>
                <w14:textFill>
                  <w14:solidFill>
                    <w14:schemeClr w14:val="tx1"/>
                  </w14:solidFill>
                </w14:textFill>
              </w:rPr>
            </w:pPr>
          </w:p>
        </w:tc>
      </w:tr>
    </w:tbl>
    <w:p w14:paraId="3C19731E">
      <w:pPr>
        <w:pStyle w:val="5"/>
        <w:ind w:firstLine="0"/>
        <w:rPr>
          <w:b/>
          <w:bCs/>
          <w:color w:val="000000" w:themeColor="text1"/>
          <w:lang w:val="en-US"/>
          <w14:textFill>
            <w14:solidFill>
              <w14:schemeClr w14:val="tx1"/>
            </w14:solidFill>
          </w14:textFill>
        </w:rPr>
      </w:pPr>
    </w:p>
    <w:sectPr>
      <w:pgSz w:w="11906" w:h="16838"/>
      <w:pgMar w:top="1474" w:right="1701" w:bottom="1474" w:left="1701"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Plotter">
    <w:altName w:val="Segoe Print"/>
    <w:panose1 w:val="00000000000000000000"/>
    <w:charset w:val="00"/>
    <w:family w:val="roman"/>
    <w:pitch w:val="default"/>
    <w:sig w:usb0="00000000" w:usb1="00000000" w:usb2="0000006E" w:usb3="00000000" w:csb0="81632469" w:csb1="BFF7D18D"/>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Arial Black">
    <w:panose1 w:val="020B0A04020102020204"/>
    <w:charset w:val="00"/>
    <w:family w:val="swiss"/>
    <w:pitch w:val="default"/>
    <w:sig w:usb0="00000287" w:usb1="00000000" w:usb2="00000000" w:usb3="00000000" w:csb0="2000009F" w:csb1="DFD70000"/>
  </w:font>
  <w:font w:name="Century">
    <w:altName w:val="Nyala"/>
    <w:panose1 w:val="02040604050505020304"/>
    <w:charset w:val="00"/>
    <w:family w:val="roman"/>
    <w:pitch w:val="default"/>
    <w:sig w:usb0="00000000" w:usb1="00000000" w:usb2="00000000" w:usb3="00000000" w:csb0="2000009F" w:csb1="DFD70000"/>
  </w:font>
  <w:font w:name="Nyala">
    <w:panose1 w:val="02000504070300020003"/>
    <w:charset w:val="00"/>
    <w:family w:val="auto"/>
    <w:pitch w:val="default"/>
    <w:sig w:usb0="A000006F" w:usb1="00000000" w:usb2="00000800" w:usb3="00000000" w:csb0="00000093" w:csb1="00000000"/>
  </w:font>
  <w:font w:name="Tms Rmn">
    <w:altName w:val="Segoe Print"/>
    <w:panose1 w:val="02020603040505020304"/>
    <w:charset w:val="00"/>
    <w:family w:val="roman"/>
    <w:pitch w:val="default"/>
    <w:sig w:usb0="00000000" w:usb1="00000000" w:usb2="00000000" w:usb3="00000000" w:csb0="00000001" w:csb1="00000000"/>
  </w:font>
  <w:font w:name="幼圆">
    <w:altName w:val="宋体"/>
    <w:panose1 w:val="02010509060101010101"/>
    <w:charset w:val="86"/>
    <w:family w:val="modern"/>
    <w:pitch w:val="default"/>
    <w:sig w:usb0="00000000" w:usb1="00000000" w:usb2="00000000" w:usb3="00000000" w:csb0="00040000" w:csb1="00000000"/>
  </w:font>
  <w:font w:name="Calibri Light">
    <w:altName w:val="Calibri"/>
    <w:panose1 w:val="020F0302020204030204"/>
    <w:charset w:val="00"/>
    <w:family w:val="swiss"/>
    <w:pitch w:val="default"/>
    <w:sig w:usb0="00000000" w:usb1="00000000" w:usb2="00000000"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087" w:usb1="28AF4000" w:usb2="00000016" w:usb3="00000000" w:csb0="00100009" w:csb1="00000000"/>
  </w:font>
  <w:font w:name="Microsoft Sans Serif">
    <w:panose1 w:val="020B0604020202020204"/>
    <w:charset w:val="00"/>
    <w:family w:val="swiss"/>
    <w:pitch w:val="default"/>
    <w:sig w:usb0="E1002AFF" w:usb1="C0000002" w:usb2="00000008" w:usb3="00000000" w:csb0="200101FF" w:csb1="20280000"/>
  </w:font>
  <w:font w:name="等线 Light">
    <w:altName w:val="宋体"/>
    <w:panose1 w:val="02010600030101010101"/>
    <w:charset w:val="86"/>
    <w:family w:val="auto"/>
    <w:pitch w:val="default"/>
    <w:sig w:usb0="00000000" w:usb1="00000000" w:usb2="00000016" w:usb3="00000000" w:csb0="0004000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1534006"/>
      <w:docPartObj>
        <w:docPartGallery w:val="autotext"/>
      </w:docPartObj>
    </w:sdtPr>
    <w:sdtContent>
      <w:p w14:paraId="476C4AAA">
        <w:pPr>
          <w:pStyle w:val="34"/>
          <w:jc w:val="center"/>
        </w:pPr>
        <w:r>
          <w:fldChar w:fldCharType="begin"/>
        </w:r>
        <w:r>
          <w:instrText xml:space="preserve">PAGE   \* MERGEFORMAT</w:instrText>
        </w:r>
        <w:r>
          <w:fldChar w:fldCharType="separate"/>
        </w:r>
        <w:r>
          <w:t>130</w:t>
        </w:r>
        <w:r>
          <w:fldChar w:fldCharType="end"/>
        </w:r>
      </w:p>
    </w:sdtContent>
  </w:sdt>
  <w:p w14:paraId="32CF042A">
    <w:pPr>
      <w:pStyle w:val="3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920FD8"/>
    <w:multiLevelType w:val="singleLevel"/>
    <w:tmpl w:val="B8920FD8"/>
    <w:lvl w:ilvl="0" w:tentative="0">
      <w:start w:val="1"/>
      <w:numFmt w:val="decimal"/>
      <w:suff w:val="nothing"/>
      <w:lvlText w:val="（%1）"/>
      <w:lvlJc w:val="left"/>
    </w:lvl>
  </w:abstractNum>
  <w:abstractNum w:abstractNumId="1">
    <w:nsid w:val="01AA7AD3"/>
    <w:multiLevelType w:val="multilevel"/>
    <w:tmpl w:val="01AA7AD3"/>
    <w:lvl w:ilvl="0" w:tentative="0">
      <w:start w:val="1"/>
      <w:numFmt w:val="decimal"/>
      <w:pStyle w:val="134"/>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42B8594C"/>
    <w:multiLevelType w:val="multilevel"/>
    <w:tmpl w:val="42B8594C"/>
    <w:lvl w:ilvl="0" w:tentative="0">
      <w:start w:val="1"/>
      <w:numFmt w:val="decimalEnclosedCircle"/>
      <w:pStyle w:val="463"/>
      <w:lvlText w:val="%1"/>
      <w:lvlJc w:val="left"/>
      <w:pPr>
        <w:ind w:left="840" w:hanging="360"/>
      </w:pPr>
      <w:rPr>
        <w:rFonts w:hint="default"/>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4DD651BD"/>
    <w:multiLevelType w:val="multilevel"/>
    <w:tmpl w:val="4DD651BD"/>
    <w:lvl w:ilvl="0" w:tentative="0">
      <w:start w:val="1"/>
      <w:numFmt w:val="bullet"/>
      <w:pStyle w:val="659"/>
      <w:lvlText w:val=""/>
      <w:lvlJc w:val="left"/>
      <w:pPr>
        <w:tabs>
          <w:tab w:val="left" w:pos="987"/>
        </w:tabs>
        <w:ind w:left="987" w:hanging="420"/>
      </w:pPr>
      <w:rPr>
        <w:rFonts w:hint="default" w:ascii="Wingdings" w:hAnsi="Wingdings"/>
        <w:sz w:val="21"/>
      </w:rPr>
    </w:lvl>
    <w:lvl w:ilvl="1" w:tentative="0">
      <w:start w:val="1"/>
      <w:numFmt w:val="bullet"/>
      <w:lvlText w:val=""/>
      <w:lvlJc w:val="left"/>
      <w:pPr>
        <w:tabs>
          <w:tab w:val="left" w:pos="1407"/>
        </w:tabs>
        <w:ind w:left="1407" w:hanging="420"/>
      </w:pPr>
      <w:rPr>
        <w:rFonts w:hint="default" w:ascii="Wingdings" w:hAnsi="Wingdings"/>
      </w:r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4">
    <w:nsid w:val="61BF2E7E"/>
    <w:multiLevelType w:val="multilevel"/>
    <w:tmpl w:val="61BF2E7E"/>
    <w:lvl w:ilvl="0" w:tentative="0">
      <w:start w:val="1"/>
      <w:numFmt w:val="decimal"/>
      <w:pStyle w:val="3"/>
      <w:lvlText w:val="%1"/>
      <w:lvlJc w:val="left"/>
      <w:pPr>
        <w:ind w:left="425" w:hanging="425"/>
      </w:pPr>
      <w:rPr>
        <w:rFonts w:hint="default" w:ascii="Times New Roman" w:hAnsi="Times New Roman" w:cs="Times New Roman"/>
      </w:rPr>
    </w:lvl>
    <w:lvl w:ilvl="1" w:tentative="0">
      <w:start w:val="1"/>
      <w:numFmt w:val="decimal"/>
      <w:pStyle w:val="4"/>
      <w:lvlText w:val="%1.%2"/>
      <w:lvlJc w:val="left"/>
      <w:pPr>
        <w:ind w:left="567" w:hanging="567"/>
      </w:pPr>
      <w:rPr>
        <w:rFonts w:hint="default" w:ascii="Times New Roman" w:hAnsi="Times New Roman" w:cs="Times New Roman"/>
      </w:rPr>
    </w:lvl>
    <w:lvl w:ilvl="2" w:tentative="0">
      <w:start w:val="1"/>
      <w:numFmt w:val="decimal"/>
      <w:pStyle w:val="6"/>
      <w:lvlText w:val="%1.%2.%3"/>
      <w:lvlJc w:val="left"/>
      <w:pPr>
        <w:ind w:left="709" w:hanging="709"/>
      </w:pPr>
    </w:lvl>
    <w:lvl w:ilvl="3" w:tentative="0">
      <w:start w:val="1"/>
      <w:numFmt w:val="decimal"/>
      <w:pStyle w:val="7"/>
      <w:lvlText w:val="%1.%2.%3.%4"/>
      <w:lvlJc w:val="left"/>
      <w:pPr>
        <w:ind w:left="851" w:hanging="851"/>
      </w:pPr>
      <w:rPr>
        <w:rFonts w:hint="default" w:ascii="Times New Roman" w:hAnsi="Times New Roman" w:cs="Times New Roman"/>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hideGrammaticalErrors/>
  <w:attachedTemplate r:id="rId1"/>
  <w:documentProtection w:edit="readOnly" w:enforcement="0"/>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95F"/>
    <w:rsid w:val="0000026D"/>
    <w:rsid w:val="000004E4"/>
    <w:rsid w:val="000004F2"/>
    <w:rsid w:val="000006F6"/>
    <w:rsid w:val="0000074F"/>
    <w:rsid w:val="000008CA"/>
    <w:rsid w:val="000008CB"/>
    <w:rsid w:val="00000CA7"/>
    <w:rsid w:val="0000101F"/>
    <w:rsid w:val="00001198"/>
    <w:rsid w:val="00001247"/>
    <w:rsid w:val="0000130B"/>
    <w:rsid w:val="0000148E"/>
    <w:rsid w:val="000014F7"/>
    <w:rsid w:val="0000157B"/>
    <w:rsid w:val="000019D5"/>
    <w:rsid w:val="00001D48"/>
    <w:rsid w:val="00001F21"/>
    <w:rsid w:val="00002031"/>
    <w:rsid w:val="000020FF"/>
    <w:rsid w:val="0000212A"/>
    <w:rsid w:val="00002377"/>
    <w:rsid w:val="0000241C"/>
    <w:rsid w:val="00002440"/>
    <w:rsid w:val="00002483"/>
    <w:rsid w:val="000024CA"/>
    <w:rsid w:val="00002731"/>
    <w:rsid w:val="000029AB"/>
    <w:rsid w:val="00002B90"/>
    <w:rsid w:val="00002E9F"/>
    <w:rsid w:val="000034F2"/>
    <w:rsid w:val="00003CCE"/>
    <w:rsid w:val="00003CF7"/>
    <w:rsid w:val="00003EB3"/>
    <w:rsid w:val="00003F33"/>
    <w:rsid w:val="00003FE5"/>
    <w:rsid w:val="00004370"/>
    <w:rsid w:val="000046DF"/>
    <w:rsid w:val="00004878"/>
    <w:rsid w:val="00004B47"/>
    <w:rsid w:val="00004D04"/>
    <w:rsid w:val="00004ED4"/>
    <w:rsid w:val="000054B1"/>
    <w:rsid w:val="000055A0"/>
    <w:rsid w:val="00005728"/>
    <w:rsid w:val="00005AC9"/>
    <w:rsid w:val="00005AF4"/>
    <w:rsid w:val="00005DE9"/>
    <w:rsid w:val="000061F4"/>
    <w:rsid w:val="000065A1"/>
    <w:rsid w:val="00006675"/>
    <w:rsid w:val="000066C8"/>
    <w:rsid w:val="00006941"/>
    <w:rsid w:val="00006A7F"/>
    <w:rsid w:val="00006F90"/>
    <w:rsid w:val="000077D7"/>
    <w:rsid w:val="00007872"/>
    <w:rsid w:val="0000799B"/>
    <w:rsid w:val="000079A1"/>
    <w:rsid w:val="000079D7"/>
    <w:rsid w:val="00007AD9"/>
    <w:rsid w:val="00010560"/>
    <w:rsid w:val="0001081C"/>
    <w:rsid w:val="00010845"/>
    <w:rsid w:val="00010972"/>
    <w:rsid w:val="00010A83"/>
    <w:rsid w:val="00010AFC"/>
    <w:rsid w:val="00010F85"/>
    <w:rsid w:val="000110ED"/>
    <w:rsid w:val="00011981"/>
    <w:rsid w:val="00011B2A"/>
    <w:rsid w:val="00011BFC"/>
    <w:rsid w:val="00011CED"/>
    <w:rsid w:val="00011D7E"/>
    <w:rsid w:val="00011D8E"/>
    <w:rsid w:val="00011E27"/>
    <w:rsid w:val="00011E57"/>
    <w:rsid w:val="00011EEE"/>
    <w:rsid w:val="00011F66"/>
    <w:rsid w:val="00011FB9"/>
    <w:rsid w:val="00012320"/>
    <w:rsid w:val="00012528"/>
    <w:rsid w:val="000126C0"/>
    <w:rsid w:val="00012956"/>
    <w:rsid w:val="000129C1"/>
    <w:rsid w:val="00012BB4"/>
    <w:rsid w:val="00012C6C"/>
    <w:rsid w:val="00012E2A"/>
    <w:rsid w:val="00013272"/>
    <w:rsid w:val="00013481"/>
    <w:rsid w:val="000135E8"/>
    <w:rsid w:val="000136DD"/>
    <w:rsid w:val="00013920"/>
    <w:rsid w:val="00013C3A"/>
    <w:rsid w:val="000147D9"/>
    <w:rsid w:val="00014975"/>
    <w:rsid w:val="00014C66"/>
    <w:rsid w:val="00014D7F"/>
    <w:rsid w:val="00014ED3"/>
    <w:rsid w:val="000151FE"/>
    <w:rsid w:val="000152D3"/>
    <w:rsid w:val="000154BB"/>
    <w:rsid w:val="00015570"/>
    <w:rsid w:val="00015769"/>
    <w:rsid w:val="0001576C"/>
    <w:rsid w:val="00015BA4"/>
    <w:rsid w:val="00015CD4"/>
    <w:rsid w:val="00016207"/>
    <w:rsid w:val="000164A7"/>
    <w:rsid w:val="000167A1"/>
    <w:rsid w:val="00016978"/>
    <w:rsid w:val="00016AC5"/>
    <w:rsid w:val="00016ADC"/>
    <w:rsid w:val="0001704B"/>
    <w:rsid w:val="0001711E"/>
    <w:rsid w:val="0001717F"/>
    <w:rsid w:val="0001722D"/>
    <w:rsid w:val="0001726D"/>
    <w:rsid w:val="0001772D"/>
    <w:rsid w:val="000177DA"/>
    <w:rsid w:val="00017D9B"/>
    <w:rsid w:val="00020044"/>
    <w:rsid w:val="000201A7"/>
    <w:rsid w:val="000203C1"/>
    <w:rsid w:val="000204FD"/>
    <w:rsid w:val="00020705"/>
    <w:rsid w:val="00020783"/>
    <w:rsid w:val="00020940"/>
    <w:rsid w:val="00020D1F"/>
    <w:rsid w:val="00020EB0"/>
    <w:rsid w:val="00020F77"/>
    <w:rsid w:val="0002103D"/>
    <w:rsid w:val="0002104E"/>
    <w:rsid w:val="00021234"/>
    <w:rsid w:val="000212B5"/>
    <w:rsid w:val="000213A9"/>
    <w:rsid w:val="0002176C"/>
    <w:rsid w:val="00021844"/>
    <w:rsid w:val="000218CD"/>
    <w:rsid w:val="000218D9"/>
    <w:rsid w:val="00021A63"/>
    <w:rsid w:val="00021A80"/>
    <w:rsid w:val="00021F2B"/>
    <w:rsid w:val="00021F96"/>
    <w:rsid w:val="000220A0"/>
    <w:rsid w:val="00022351"/>
    <w:rsid w:val="00022416"/>
    <w:rsid w:val="00022454"/>
    <w:rsid w:val="000226C3"/>
    <w:rsid w:val="00022804"/>
    <w:rsid w:val="00022AA7"/>
    <w:rsid w:val="000231A0"/>
    <w:rsid w:val="00023293"/>
    <w:rsid w:val="000233F9"/>
    <w:rsid w:val="000235AE"/>
    <w:rsid w:val="000238D4"/>
    <w:rsid w:val="00023EC3"/>
    <w:rsid w:val="000243A3"/>
    <w:rsid w:val="00024694"/>
    <w:rsid w:val="00024CA8"/>
    <w:rsid w:val="00024D35"/>
    <w:rsid w:val="00024DCD"/>
    <w:rsid w:val="00024FC8"/>
    <w:rsid w:val="0002503F"/>
    <w:rsid w:val="0002537B"/>
    <w:rsid w:val="00025419"/>
    <w:rsid w:val="000254EF"/>
    <w:rsid w:val="0002559D"/>
    <w:rsid w:val="0002570A"/>
    <w:rsid w:val="0002580B"/>
    <w:rsid w:val="0002595F"/>
    <w:rsid w:val="00025C41"/>
    <w:rsid w:val="00025CB5"/>
    <w:rsid w:val="00025E67"/>
    <w:rsid w:val="00026322"/>
    <w:rsid w:val="0002649F"/>
    <w:rsid w:val="00026758"/>
    <w:rsid w:val="00026A08"/>
    <w:rsid w:val="00026B7B"/>
    <w:rsid w:val="00026BCF"/>
    <w:rsid w:val="00027097"/>
    <w:rsid w:val="000272D7"/>
    <w:rsid w:val="00027750"/>
    <w:rsid w:val="000277E4"/>
    <w:rsid w:val="00027A08"/>
    <w:rsid w:val="00027D6B"/>
    <w:rsid w:val="0003029B"/>
    <w:rsid w:val="0003044B"/>
    <w:rsid w:val="0003064B"/>
    <w:rsid w:val="0003086E"/>
    <w:rsid w:val="00030948"/>
    <w:rsid w:val="00030C13"/>
    <w:rsid w:val="00031230"/>
    <w:rsid w:val="00031770"/>
    <w:rsid w:val="0003178D"/>
    <w:rsid w:val="000317D4"/>
    <w:rsid w:val="00031973"/>
    <w:rsid w:val="00031A3B"/>
    <w:rsid w:val="00031C5D"/>
    <w:rsid w:val="00031EE0"/>
    <w:rsid w:val="0003228D"/>
    <w:rsid w:val="000324FF"/>
    <w:rsid w:val="00032633"/>
    <w:rsid w:val="00032736"/>
    <w:rsid w:val="00032CE4"/>
    <w:rsid w:val="00032EEE"/>
    <w:rsid w:val="00032F6A"/>
    <w:rsid w:val="00033422"/>
    <w:rsid w:val="00033613"/>
    <w:rsid w:val="00033BE1"/>
    <w:rsid w:val="00033BFD"/>
    <w:rsid w:val="00033D40"/>
    <w:rsid w:val="00033D9E"/>
    <w:rsid w:val="00033DF4"/>
    <w:rsid w:val="00033FFD"/>
    <w:rsid w:val="00034808"/>
    <w:rsid w:val="00034ADB"/>
    <w:rsid w:val="00034CF5"/>
    <w:rsid w:val="00034E4B"/>
    <w:rsid w:val="00034F2B"/>
    <w:rsid w:val="00035757"/>
    <w:rsid w:val="00035D1F"/>
    <w:rsid w:val="00035D9E"/>
    <w:rsid w:val="00035DAF"/>
    <w:rsid w:val="000361D6"/>
    <w:rsid w:val="00036352"/>
    <w:rsid w:val="0003647D"/>
    <w:rsid w:val="0003648C"/>
    <w:rsid w:val="000365EC"/>
    <w:rsid w:val="00036C88"/>
    <w:rsid w:val="00036CD6"/>
    <w:rsid w:val="000370E0"/>
    <w:rsid w:val="000371C3"/>
    <w:rsid w:val="000372C5"/>
    <w:rsid w:val="000372D9"/>
    <w:rsid w:val="0003754E"/>
    <w:rsid w:val="000376FB"/>
    <w:rsid w:val="00037A33"/>
    <w:rsid w:val="00037D97"/>
    <w:rsid w:val="00037E5C"/>
    <w:rsid w:val="0004018E"/>
    <w:rsid w:val="000405DA"/>
    <w:rsid w:val="000406D3"/>
    <w:rsid w:val="0004070B"/>
    <w:rsid w:val="00040987"/>
    <w:rsid w:val="00040C16"/>
    <w:rsid w:val="00040E05"/>
    <w:rsid w:val="00041221"/>
    <w:rsid w:val="0004131B"/>
    <w:rsid w:val="00041451"/>
    <w:rsid w:val="000414CA"/>
    <w:rsid w:val="000417CA"/>
    <w:rsid w:val="00041BA5"/>
    <w:rsid w:val="0004212A"/>
    <w:rsid w:val="00042281"/>
    <w:rsid w:val="000423A4"/>
    <w:rsid w:val="000423F2"/>
    <w:rsid w:val="00042AC0"/>
    <w:rsid w:val="00042B39"/>
    <w:rsid w:val="000434F5"/>
    <w:rsid w:val="00043799"/>
    <w:rsid w:val="00043826"/>
    <w:rsid w:val="00043833"/>
    <w:rsid w:val="00043D33"/>
    <w:rsid w:val="00043D3E"/>
    <w:rsid w:val="00043E90"/>
    <w:rsid w:val="00044123"/>
    <w:rsid w:val="0004470E"/>
    <w:rsid w:val="00044A99"/>
    <w:rsid w:val="00044AC1"/>
    <w:rsid w:val="00044F17"/>
    <w:rsid w:val="0004506F"/>
    <w:rsid w:val="00045163"/>
    <w:rsid w:val="0004541F"/>
    <w:rsid w:val="00045858"/>
    <w:rsid w:val="000459E1"/>
    <w:rsid w:val="00045A04"/>
    <w:rsid w:val="00045AFC"/>
    <w:rsid w:val="00045B4F"/>
    <w:rsid w:val="00045E14"/>
    <w:rsid w:val="00046008"/>
    <w:rsid w:val="0004638C"/>
    <w:rsid w:val="000464D1"/>
    <w:rsid w:val="0004671D"/>
    <w:rsid w:val="00046797"/>
    <w:rsid w:val="00046B07"/>
    <w:rsid w:val="00046B9F"/>
    <w:rsid w:val="00046BD7"/>
    <w:rsid w:val="00046C8D"/>
    <w:rsid w:val="00046E1A"/>
    <w:rsid w:val="00046F12"/>
    <w:rsid w:val="000470A9"/>
    <w:rsid w:val="000477A0"/>
    <w:rsid w:val="00047BC2"/>
    <w:rsid w:val="00047D8D"/>
    <w:rsid w:val="00047E1A"/>
    <w:rsid w:val="00047F60"/>
    <w:rsid w:val="00047FEB"/>
    <w:rsid w:val="0005010D"/>
    <w:rsid w:val="000502F6"/>
    <w:rsid w:val="00050364"/>
    <w:rsid w:val="000506A6"/>
    <w:rsid w:val="00050B44"/>
    <w:rsid w:val="00050F58"/>
    <w:rsid w:val="00050FC0"/>
    <w:rsid w:val="0005100F"/>
    <w:rsid w:val="000511FA"/>
    <w:rsid w:val="000513F6"/>
    <w:rsid w:val="00051506"/>
    <w:rsid w:val="0005156A"/>
    <w:rsid w:val="000521D9"/>
    <w:rsid w:val="0005240B"/>
    <w:rsid w:val="00052478"/>
    <w:rsid w:val="00052C4D"/>
    <w:rsid w:val="00052D6E"/>
    <w:rsid w:val="00052E65"/>
    <w:rsid w:val="0005315D"/>
    <w:rsid w:val="0005316C"/>
    <w:rsid w:val="0005334D"/>
    <w:rsid w:val="00053470"/>
    <w:rsid w:val="000534EF"/>
    <w:rsid w:val="00053653"/>
    <w:rsid w:val="00053CD8"/>
    <w:rsid w:val="00054445"/>
    <w:rsid w:val="00054502"/>
    <w:rsid w:val="0005464E"/>
    <w:rsid w:val="0005483E"/>
    <w:rsid w:val="00054A20"/>
    <w:rsid w:val="00054A79"/>
    <w:rsid w:val="00054AD1"/>
    <w:rsid w:val="00054D44"/>
    <w:rsid w:val="000550A1"/>
    <w:rsid w:val="0005514A"/>
    <w:rsid w:val="00055263"/>
    <w:rsid w:val="00055338"/>
    <w:rsid w:val="000555FB"/>
    <w:rsid w:val="000557E9"/>
    <w:rsid w:val="000558DA"/>
    <w:rsid w:val="0005592F"/>
    <w:rsid w:val="00055B42"/>
    <w:rsid w:val="0005600A"/>
    <w:rsid w:val="0005611A"/>
    <w:rsid w:val="00056308"/>
    <w:rsid w:val="000565DB"/>
    <w:rsid w:val="00056B5D"/>
    <w:rsid w:val="00056B6E"/>
    <w:rsid w:val="00056BD2"/>
    <w:rsid w:val="00056EF9"/>
    <w:rsid w:val="0005709B"/>
    <w:rsid w:val="000572FE"/>
    <w:rsid w:val="000576B6"/>
    <w:rsid w:val="0005773C"/>
    <w:rsid w:val="000577F3"/>
    <w:rsid w:val="00057B54"/>
    <w:rsid w:val="00060070"/>
    <w:rsid w:val="0006048B"/>
    <w:rsid w:val="0006077F"/>
    <w:rsid w:val="00060852"/>
    <w:rsid w:val="00060911"/>
    <w:rsid w:val="00060B1F"/>
    <w:rsid w:val="00060BDF"/>
    <w:rsid w:val="00060BFF"/>
    <w:rsid w:val="00060DB7"/>
    <w:rsid w:val="00060DBD"/>
    <w:rsid w:val="00060E8F"/>
    <w:rsid w:val="0006163C"/>
    <w:rsid w:val="00061B66"/>
    <w:rsid w:val="00061BF5"/>
    <w:rsid w:val="00061E57"/>
    <w:rsid w:val="0006214C"/>
    <w:rsid w:val="000622B8"/>
    <w:rsid w:val="000627C3"/>
    <w:rsid w:val="00062E71"/>
    <w:rsid w:val="00062F0F"/>
    <w:rsid w:val="0006316E"/>
    <w:rsid w:val="000632BE"/>
    <w:rsid w:val="000632E5"/>
    <w:rsid w:val="000634BB"/>
    <w:rsid w:val="00063547"/>
    <w:rsid w:val="00063697"/>
    <w:rsid w:val="000638C8"/>
    <w:rsid w:val="000638D5"/>
    <w:rsid w:val="0006392C"/>
    <w:rsid w:val="00063A34"/>
    <w:rsid w:val="00063B8F"/>
    <w:rsid w:val="00063BF9"/>
    <w:rsid w:val="00063D73"/>
    <w:rsid w:val="00064403"/>
    <w:rsid w:val="00064822"/>
    <w:rsid w:val="000648C3"/>
    <w:rsid w:val="000651D0"/>
    <w:rsid w:val="000652EF"/>
    <w:rsid w:val="000658A9"/>
    <w:rsid w:val="00065A5B"/>
    <w:rsid w:val="00065A6B"/>
    <w:rsid w:val="00065AFC"/>
    <w:rsid w:val="00065BDE"/>
    <w:rsid w:val="00065C72"/>
    <w:rsid w:val="00065CA7"/>
    <w:rsid w:val="00065E68"/>
    <w:rsid w:val="00065FA8"/>
    <w:rsid w:val="000661A0"/>
    <w:rsid w:val="00066203"/>
    <w:rsid w:val="000662E0"/>
    <w:rsid w:val="00066373"/>
    <w:rsid w:val="0006652B"/>
    <w:rsid w:val="00066545"/>
    <w:rsid w:val="00066F0F"/>
    <w:rsid w:val="00067428"/>
    <w:rsid w:val="0006746C"/>
    <w:rsid w:val="000675FE"/>
    <w:rsid w:val="00067A92"/>
    <w:rsid w:val="00067CF7"/>
    <w:rsid w:val="00067FE8"/>
    <w:rsid w:val="0007020A"/>
    <w:rsid w:val="000703A2"/>
    <w:rsid w:val="000706E8"/>
    <w:rsid w:val="00070880"/>
    <w:rsid w:val="00070BCD"/>
    <w:rsid w:val="00070E07"/>
    <w:rsid w:val="00070E3A"/>
    <w:rsid w:val="00070E42"/>
    <w:rsid w:val="00070F34"/>
    <w:rsid w:val="00071096"/>
    <w:rsid w:val="00071150"/>
    <w:rsid w:val="000713CA"/>
    <w:rsid w:val="000715DF"/>
    <w:rsid w:val="000716D7"/>
    <w:rsid w:val="000716FE"/>
    <w:rsid w:val="0007178A"/>
    <w:rsid w:val="00071ACB"/>
    <w:rsid w:val="00071C51"/>
    <w:rsid w:val="00071FA5"/>
    <w:rsid w:val="000720A0"/>
    <w:rsid w:val="0007216E"/>
    <w:rsid w:val="00072306"/>
    <w:rsid w:val="0007230B"/>
    <w:rsid w:val="000723CA"/>
    <w:rsid w:val="00072432"/>
    <w:rsid w:val="000727CD"/>
    <w:rsid w:val="00072809"/>
    <w:rsid w:val="00072851"/>
    <w:rsid w:val="00072DD0"/>
    <w:rsid w:val="00073303"/>
    <w:rsid w:val="0007349B"/>
    <w:rsid w:val="000736ED"/>
    <w:rsid w:val="000738C7"/>
    <w:rsid w:val="00073ACC"/>
    <w:rsid w:val="000743F0"/>
    <w:rsid w:val="00074710"/>
    <w:rsid w:val="00074905"/>
    <w:rsid w:val="00074B08"/>
    <w:rsid w:val="00075070"/>
    <w:rsid w:val="00075186"/>
    <w:rsid w:val="000757A3"/>
    <w:rsid w:val="000758F5"/>
    <w:rsid w:val="00075ACB"/>
    <w:rsid w:val="00075D36"/>
    <w:rsid w:val="00076135"/>
    <w:rsid w:val="00076184"/>
    <w:rsid w:val="0007632B"/>
    <w:rsid w:val="000764D5"/>
    <w:rsid w:val="000766E4"/>
    <w:rsid w:val="00076FC2"/>
    <w:rsid w:val="00077BD3"/>
    <w:rsid w:val="00077DB0"/>
    <w:rsid w:val="00077DC2"/>
    <w:rsid w:val="00077EFC"/>
    <w:rsid w:val="00080124"/>
    <w:rsid w:val="0008019A"/>
    <w:rsid w:val="0008025D"/>
    <w:rsid w:val="000808DA"/>
    <w:rsid w:val="00080BB6"/>
    <w:rsid w:val="00080F09"/>
    <w:rsid w:val="00080F89"/>
    <w:rsid w:val="0008128B"/>
    <w:rsid w:val="0008162A"/>
    <w:rsid w:val="0008180B"/>
    <w:rsid w:val="00081921"/>
    <w:rsid w:val="00081A18"/>
    <w:rsid w:val="00081AD9"/>
    <w:rsid w:val="00081C2F"/>
    <w:rsid w:val="000824AF"/>
    <w:rsid w:val="000824D6"/>
    <w:rsid w:val="00082641"/>
    <w:rsid w:val="00082AE6"/>
    <w:rsid w:val="00082B77"/>
    <w:rsid w:val="00082BE9"/>
    <w:rsid w:val="00082C89"/>
    <w:rsid w:val="00083059"/>
    <w:rsid w:val="0008314D"/>
    <w:rsid w:val="00083645"/>
    <w:rsid w:val="000836C9"/>
    <w:rsid w:val="000836EC"/>
    <w:rsid w:val="00083975"/>
    <w:rsid w:val="00083B57"/>
    <w:rsid w:val="00083D13"/>
    <w:rsid w:val="00083D89"/>
    <w:rsid w:val="00083DDF"/>
    <w:rsid w:val="00083F86"/>
    <w:rsid w:val="000840B9"/>
    <w:rsid w:val="00084134"/>
    <w:rsid w:val="000843E7"/>
    <w:rsid w:val="00084458"/>
    <w:rsid w:val="00084612"/>
    <w:rsid w:val="000847F3"/>
    <w:rsid w:val="00084AD3"/>
    <w:rsid w:val="00084BD6"/>
    <w:rsid w:val="00084BE8"/>
    <w:rsid w:val="00084C25"/>
    <w:rsid w:val="00084C64"/>
    <w:rsid w:val="00084CEF"/>
    <w:rsid w:val="00084D3A"/>
    <w:rsid w:val="00084D94"/>
    <w:rsid w:val="00084F87"/>
    <w:rsid w:val="00085294"/>
    <w:rsid w:val="000853FC"/>
    <w:rsid w:val="0008558B"/>
    <w:rsid w:val="0008567E"/>
    <w:rsid w:val="00085933"/>
    <w:rsid w:val="00085DB1"/>
    <w:rsid w:val="00085DF6"/>
    <w:rsid w:val="00085E06"/>
    <w:rsid w:val="00085EB2"/>
    <w:rsid w:val="00085F40"/>
    <w:rsid w:val="00086085"/>
    <w:rsid w:val="00086110"/>
    <w:rsid w:val="000862A7"/>
    <w:rsid w:val="00086391"/>
    <w:rsid w:val="000864EE"/>
    <w:rsid w:val="00086633"/>
    <w:rsid w:val="0008663B"/>
    <w:rsid w:val="0008674D"/>
    <w:rsid w:val="000868A2"/>
    <w:rsid w:val="000868C5"/>
    <w:rsid w:val="00086BAA"/>
    <w:rsid w:val="00086DE5"/>
    <w:rsid w:val="00086F6D"/>
    <w:rsid w:val="00087046"/>
    <w:rsid w:val="00087288"/>
    <w:rsid w:val="000873DC"/>
    <w:rsid w:val="000875A5"/>
    <w:rsid w:val="00087655"/>
    <w:rsid w:val="0008767D"/>
    <w:rsid w:val="000876B4"/>
    <w:rsid w:val="00087BEB"/>
    <w:rsid w:val="00087C6D"/>
    <w:rsid w:val="00087DDB"/>
    <w:rsid w:val="00087F4C"/>
    <w:rsid w:val="00090033"/>
    <w:rsid w:val="00090348"/>
    <w:rsid w:val="00090442"/>
    <w:rsid w:val="000906CD"/>
    <w:rsid w:val="00090890"/>
    <w:rsid w:val="00090D64"/>
    <w:rsid w:val="00090E57"/>
    <w:rsid w:val="000911B9"/>
    <w:rsid w:val="000912CA"/>
    <w:rsid w:val="0009141F"/>
    <w:rsid w:val="0009142C"/>
    <w:rsid w:val="000914AF"/>
    <w:rsid w:val="000917AA"/>
    <w:rsid w:val="00091875"/>
    <w:rsid w:val="00091F50"/>
    <w:rsid w:val="00091FB5"/>
    <w:rsid w:val="00091FED"/>
    <w:rsid w:val="0009207F"/>
    <w:rsid w:val="0009245E"/>
    <w:rsid w:val="00092464"/>
    <w:rsid w:val="00092569"/>
    <w:rsid w:val="0009272E"/>
    <w:rsid w:val="000929C6"/>
    <w:rsid w:val="00092DCE"/>
    <w:rsid w:val="00092F1E"/>
    <w:rsid w:val="00092F98"/>
    <w:rsid w:val="00093497"/>
    <w:rsid w:val="00093CA8"/>
    <w:rsid w:val="00093EDA"/>
    <w:rsid w:val="00094301"/>
    <w:rsid w:val="000943CF"/>
    <w:rsid w:val="00094576"/>
    <w:rsid w:val="00094895"/>
    <w:rsid w:val="00094AB3"/>
    <w:rsid w:val="00094C49"/>
    <w:rsid w:val="00094F40"/>
    <w:rsid w:val="00094F42"/>
    <w:rsid w:val="0009506C"/>
    <w:rsid w:val="00095071"/>
    <w:rsid w:val="000950EB"/>
    <w:rsid w:val="00095194"/>
    <w:rsid w:val="000954CF"/>
    <w:rsid w:val="000956AA"/>
    <w:rsid w:val="0009597A"/>
    <w:rsid w:val="00095D89"/>
    <w:rsid w:val="0009608D"/>
    <w:rsid w:val="0009652E"/>
    <w:rsid w:val="00096A7E"/>
    <w:rsid w:val="00096C5E"/>
    <w:rsid w:val="00096CE0"/>
    <w:rsid w:val="00096D56"/>
    <w:rsid w:val="0009739E"/>
    <w:rsid w:val="00097997"/>
    <w:rsid w:val="00097A95"/>
    <w:rsid w:val="00097ACB"/>
    <w:rsid w:val="00097E44"/>
    <w:rsid w:val="000A00AE"/>
    <w:rsid w:val="000A018C"/>
    <w:rsid w:val="000A02CC"/>
    <w:rsid w:val="000A030F"/>
    <w:rsid w:val="000A047B"/>
    <w:rsid w:val="000A0570"/>
    <w:rsid w:val="000A084C"/>
    <w:rsid w:val="000A093F"/>
    <w:rsid w:val="000A099A"/>
    <w:rsid w:val="000A0AAE"/>
    <w:rsid w:val="000A0BDB"/>
    <w:rsid w:val="000A0BE9"/>
    <w:rsid w:val="000A0D6B"/>
    <w:rsid w:val="000A0E42"/>
    <w:rsid w:val="000A0FF5"/>
    <w:rsid w:val="000A16BE"/>
    <w:rsid w:val="000A1921"/>
    <w:rsid w:val="000A1A38"/>
    <w:rsid w:val="000A2B51"/>
    <w:rsid w:val="000A2DC6"/>
    <w:rsid w:val="000A2F72"/>
    <w:rsid w:val="000A31C4"/>
    <w:rsid w:val="000A3377"/>
    <w:rsid w:val="000A3849"/>
    <w:rsid w:val="000A39E4"/>
    <w:rsid w:val="000A3B56"/>
    <w:rsid w:val="000A3DD2"/>
    <w:rsid w:val="000A4235"/>
    <w:rsid w:val="000A4483"/>
    <w:rsid w:val="000A44FA"/>
    <w:rsid w:val="000A46E4"/>
    <w:rsid w:val="000A47BE"/>
    <w:rsid w:val="000A49C2"/>
    <w:rsid w:val="000A4E83"/>
    <w:rsid w:val="000A4FD0"/>
    <w:rsid w:val="000A502C"/>
    <w:rsid w:val="000A523A"/>
    <w:rsid w:val="000A5338"/>
    <w:rsid w:val="000A5490"/>
    <w:rsid w:val="000A5580"/>
    <w:rsid w:val="000A57FD"/>
    <w:rsid w:val="000A59DD"/>
    <w:rsid w:val="000A5A5E"/>
    <w:rsid w:val="000A5AB3"/>
    <w:rsid w:val="000A5E2C"/>
    <w:rsid w:val="000A63ED"/>
    <w:rsid w:val="000A63F1"/>
    <w:rsid w:val="000A6572"/>
    <w:rsid w:val="000A6957"/>
    <w:rsid w:val="000A6B22"/>
    <w:rsid w:val="000A6B7D"/>
    <w:rsid w:val="000A6CD2"/>
    <w:rsid w:val="000A6ECA"/>
    <w:rsid w:val="000A6FA0"/>
    <w:rsid w:val="000A73B8"/>
    <w:rsid w:val="000A7409"/>
    <w:rsid w:val="000A7425"/>
    <w:rsid w:val="000A7B51"/>
    <w:rsid w:val="000B017B"/>
    <w:rsid w:val="000B05F8"/>
    <w:rsid w:val="000B0695"/>
    <w:rsid w:val="000B09CC"/>
    <w:rsid w:val="000B0A56"/>
    <w:rsid w:val="000B0AB3"/>
    <w:rsid w:val="000B0D16"/>
    <w:rsid w:val="000B0E14"/>
    <w:rsid w:val="000B0EC9"/>
    <w:rsid w:val="000B0F7C"/>
    <w:rsid w:val="000B1315"/>
    <w:rsid w:val="000B146A"/>
    <w:rsid w:val="000B159F"/>
    <w:rsid w:val="000B1797"/>
    <w:rsid w:val="000B1D6D"/>
    <w:rsid w:val="000B1FF0"/>
    <w:rsid w:val="000B2295"/>
    <w:rsid w:val="000B2314"/>
    <w:rsid w:val="000B25D4"/>
    <w:rsid w:val="000B273F"/>
    <w:rsid w:val="000B2953"/>
    <w:rsid w:val="000B2CDC"/>
    <w:rsid w:val="000B309C"/>
    <w:rsid w:val="000B31EC"/>
    <w:rsid w:val="000B3323"/>
    <w:rsid w:val="000B3332"/>
    <w:rsid w:val="000B33F9"/>
    <w:rsid w:val="000B34DF"/>
    <w:rsid w:val="000B36BB"/>
    <w:rsid w:val="000B37B4"/>
    <w:rsid w:val="000B381D"/>
    <w:rsid w:val="000B38CE"/>
    <w:rsid w:val="000B38ED"/>
    <w:rsid w:val="000B3999"/>
    <w:rsid w:val="000B3C1A"/>
    <w:rsid w:val="000B3D1E"/>
    <w:rsid w:val="000B3D4A"/>
    <w:rsid w:val="000B3E0B"/>
    <w:rsid w:val="000B3E43"/>
    <w:rsid w:val="000B3F0B"/>
    <w:rsid w:val="000B431B"/>
    <w:rsid w:val="000B455C"/>
    <w:rsid w:val="000B459C"/>
    <w:rsid w:val="000B4770"/>
    <w:rsid w:val="000B478C"/>
    <w:rsid w:val="000B48F9"/>
    <w:rsid w:val="000B4928"/>
    <w:rsid w:val="000B516E"/>
    <w:rsid w:val="000B51A9"/>
    <w:rsid w:val="000B51CF"/>
    <w:rsid w:val="000B5310"/>
    <w:rsid w:val="000B5641"/>
    <w:rsid w:val="000B61CA"/>
    <w:rsid w:val="000B6432"/>
    <w:rsid w:val="000B6640"/>
    <w:rsid w:val="000B66A8"/>
    <w:rsid w:val="000B66D0"/>
    <w:rsid w:val="000B66E7"/>
    <w:rsid w:val="000B670B"/>
    <w:rsid w:val="000B67CE"/>
    <w:rsid w:val="000B6C76"/>
    <w:rsid w:val="000B6D87"/>
    <w:rsid w:val="000B6FFF"/>
    <w:rsid w:val="000B7035"/>
    <w:rsid w:val="000B7229"/>
    <w:rsid w:val="000B73A1"/>
    <w:rsid w:val="000B763F"/>
    <w:rsid w:val="000B78D7"/>
    <w:rsid w:val="000B7904"/>
    <w:rsid w:val="000B796F"/>
    <w:rsid w:val="000B79AC"/>
    <w:rsid w:val="000B7A8E"/>
    <w:rsid w:val="000B7E52"/>
    <w:rsid w:val="000C0169"/>
    <w:rsid w:val="000C0686"/>
    <w:rsid w:val="000C075A"/>
    <w:rsid w:val="000C088D"/>
    <w:rsid w:val="000C0C6F"/>
    <w:rsid w:val="000C0E01"/>
    <w:rsid w:val="000C0E03"/>
    <w:rsid w:val="000C1058"/>
    <w:rsid w:val="000C1599"/>
    <w:rsid w:val="000C1A7E"/>
    <w:rsid w:val="000C21A2"/>
    <w:rsid w:val="000C2699"/>
    <w:rsid w:val="000C26B1"/>
    <w:rsid w:val="000C2788"/>
    <w:rsid w:val="000C29FF"/>
    <w:rsid w:val="000C2C15"/>
    <w:rsid w:val="000C2CF3"/>
    <w:rsid w:val="000C2E90"/>
    <w:rsid w:val="000C2F00"/>
    <w:rsid w:val="000C3269"/>
    <w:rsid w:val="000C333D"/>
    <w:rsid w:val="000C3A49"/>
    <w:rsid w:val="000C3C09"/>
    <w:rsid w:val="000C3E71"/>
    <w:rsid w:val="000C40B0"/>
    <w:rsid w:val="000C4665"/>
    <w:rsid w:val="000C468A"/>
    <w:rsid w:val="000C468D"/>
    <w:rsid w:val="000C476D"/>
    <w:rsid w:val="000C490D"/>
    <w:rsid w:val="000C4D6C"/>
    <w:rsid w:val="000C506D"/>
    <w:rsid w:val="000C5229"/>
    <w:rsid w:val="000C523F"/>
    <w:rsid w:val="000C526C"/>
    <w:rsid w:val="000C5477"/>
    <w:rsid w:val="000C5478"/>
    <w:rsid w:val="000C5528"/>
    <w:rsid w:val="000C5672"/>
    <w:rsid w:val="000C57EC"/>
    <w:rsid w:val="000C599F"/>
    <w:rsid w:val="000C5A32"/>
    <w:rsid w:val="000C5D49"/>
    <w:rsid w:val="000C5E57"/>
    <w:rsid w:val="000C5FE5"/>
    <w:rsid w:val="000C60C1"/>
    <w:rsid w:val="000C65C1"/>
    <w:rsid w:val="000C6921"/>
    <w:rsid w:val="000C694B"/>
    <w:rsid w:val="000C6CBC"/>
    <w:rsid w:val="000C6EB3"/>
    <w:rsid w:val="000C6F97"/>
    <w:rsid w:val="000C70C3"/>
    <w:rsid w:val="000C78D3"/>
    <w:rsid w:val="000C7C65"/>
    <w:rsid w:val="000C7EE6"/>
    <w:rsid w:val="000D010A"/>
    <w:rsid w:val="000D0330"/>
    <w:rsid w:val="000D04DD"/>
    <w:rsid w:val="000D0503"/>
    <w:rsid w:val="000D06D4"/>
    <w:rsid w:val="000D093D"/>
    <w:rsid w:val="000D0A8F"/>
    <w:rsid w:val="000D0B82"/>
    <w:rsid w:val="000D0C04"/>
    <w:rsid w:val="000D0ED1"/>
    <w:rsid w:val="000D0F58"/>
    <w:rsid w:val="000D0F94"/>
    <w:rsid w:val="000D11CB"/>
    <w:rsid w:val="000D14CF"/>
    <w:rsid w:val="000D1710"/>
    <w:rsid w:val="000D18F6"/>
    <w:rsid w:val="000D1A57"/>
    <w:rsid w:val="000D1B91"/>
    <w:rsid w:val="000D1D38"/>
    <w:rsid w:val="000D1DDB"/>
    <w:rsid w:val="000D219F"/>
    <w:rsid w:val="000D243E"/>
    <w:rsid w:val="000D2DF5"/>
    <w:rsid w:val="000D2E04"/>
    <w:rsid w:val="000D2F5D"/>
    <w:rsid w:val="000D2FA0"/>
    <w:rsid w:val="000D31D8"/>
    <w:rsid w:val="000D353A"/>
    <w:rsid w:val="000D3606"/>
    <w:rsid w:val="000D37D4"/>
    <w:rsid w:val="000D3C2F"/>
    <w:rsid w:val="000D40D1"/>
    <w:rsid w:val="000D4103"/>
    <w:rsid w:val="000D4285"/>
    <w:rsid w:val="000D440F"/>
    <w:rsid w:val="000D4750"/>
    <w:rsid w:val="000D47D0"/>
    <w:rsid w:val="000D485C"/>
    <w:rsid w:val="000D4890"/>
    <w:rsid w:val="000D48B1"/>
    <w:rsid w:val="000D49F3"/>
    <w:rsid w:val="000D4C0D"/>
    <w:rsid w:val="000D4EA6"/>
    <w:rsid w:val="000D5200"/>
    <w:rsid w:val="000D533A"/>
    <w:rsid w:val="000D5417"/>
    <w:rsid w:val="000D545F"/>
    <w:rsid w:val="000D558B"/>
    <w:rsid w:val="000D578D"/>
    <w:rsid w:val="000D5955"/>
    <w:rsid w:val="000D5B8D"/>
    <w:rsid w:val="000D5DA6"/>
    <w:rsid w:val="000D5DF4"/>
    <w:rsid w:val="000D60DF"/>
    <w:rsid w:val="000D620A"/>
    <w:rsid w:val="000D6287"/>
    <w:rsid w:val="000D62DA"/>
    <w:rsid w:val="000D6333"/>
    <w:rsid w:val="000D655C"/>
    <w:rsid w:val="000D6695"/>
    <w:rsid w:val="000D691B"/>
    <w:rsid w:val="000D73C9"/>
    <w:rsid w:val="000D7411"/>
    <w:rsid w:val="000D75FD"/>
    <w:rsid w:val="000D7870"/>
    <w:rsid w:val="000D7C58"/>
    <w:rsid w:val="000D7C86"/>
    <w:rsid w:val="000D7D90"/>
    <w:rsid w:val="000D7DE9"/>
    <w:rsid w:val="000D7E60"/>
    <w:rsid w:val="000D7FB4"/>
    <w:rsid w:val="000D7FD9"/>
    <w:rsid w:val="000E025F"/>
    <w:rsid w:val="000E028C"/>
    <w:rsid w:val="000E0337"/>
    <w:rsid w:val="000E0456"/>
    <w:rsid w:val="000E080E"/>
    <w:rsid w:val="000E09A2"/>
    <w:rsid w:val="000E0D06"/>
    <w:rsid w:val="000E0E60"/>
    <w:rsid w:val="000E14B9"/>
    <w:rsid w:val="000E16C8"/>
    <w:rsid w:val="000E17C8"/>
    <w:rsid w:val="000E1B5D"/>
    <w:rsid w:val="000E1F9E"/>
    <w:rsid w:val="000E200E"/>
    <w:rsid w:val="000E2478"/>
    <w:rsid w:val="000E24C5"/>
    <w:rsid w:val="000E2623"/>
    <w:rsid w:val="000E269E"/>
    <w:rsid w:val="000E2708"/>
    <w:rsid w:val="000E2916"/>
    <w:rsid w:val="000E2C2E"/>
    <w:rsid w:val="000E2CC0"/>
    <w:rsid w:val="000E309F"/>
    <w:rsid w:val="000E30BF"/>
    <w:rsid w:val="000E3AE9"/>
    <w:rsid w:val="000E3C75"/>
    <w:rsid w:val="000E3DDB"/>
    <w:rsid w:val="000E3F1F"/>
    <w:rsid w:val="000E42DD"/>
    <w:rsid w:val="000E4742"/>
    <w:rsid w:val="000E4817"/>
    <w:rsid w:val="000E4890"/>
    <w:rsid w:val="000E48B7"/>
    <w:rsid w:val="000E4B3F"/>
    <w:rsid w:val="000E4FB3"/>
    <w:rsid w:val="000E5154"/>
    <w:rsid w:val="000E54CD"/>
    <w:rsid w:val="000E5574"/>
    <w:rsid w:val="000E557D"/>
    <w:rsid w:val="000E592D"/>
    <w:rsid w:val="000E5B5F"/>
    <w:rsid w:val="000E5C58"/>
    <w:rsid w:val="000E5D9E"/>
    <w:rsid w:val="000E5E81"/>
    <w:rsid w:val="000E5F22"/>
    <w:rsid w:val="000E60B7"/>
    <w:rsid w:val="000E60BB"/>
    <w:rsid w:val="000E624E"/>
    <w:rsid w:val="000E64FD"/>
    <w:rsid w:val="000E6D0A"/>
    <w:rsid w:val="000E6D86"/>
    <w:rsid w:val="000E6F47"/>
    <w:rsid w:val="000E71BC"/>
    <w:rsid w:val="000E7253"/>
    <w:rsid w:val="000E734C"/>
    <w:rsid w:val="000E7650"/>
    <w:rsid w:val="000E77B7"/>
    <w:rsid w:val="000E7863"/>
    <w:rsid w:val="000F00BD"/>
    <w:rsid w:val="000F03D0"/>
    <w:rsid w:val="000F03D3"/>
    <w:rsid w:val="000F03D9"/>
    <w:rsid w:val="000F041A"/>
    <w:rsid w:val="000F0760"/>
    <w:rsid w:val="000F09CF"/>
    <w:rsid w:val="000F1364"/>
    <w:rsid w:val="000F1673"/>
    <w:rsid w:val="000F17B5"/>
    <w:rsid w:val="000F184E"/>
    <w:rsid w:val="000F1936"/>
    <w:rsid w:val="000F19CC"/>
    <w:rsid w:val="000F1C84"/>
    <w:rsid w:val="000F1C87"/>
    <w:rsid w:val="000F24A6"/>
    <w:rsid w:val="000F279C"/>
    <w:rsid w:val="000F29DE"/>
    <w:rsid w:val="000F2D13"/>
    <w:rsid w:val="000F2F93"/>
    <w:rsid w:val="000F2FAD"/>
    <w:rsid w:val="000F33B0"/>
    <w:rsid w:val="000F3762"/>
    <w:rsid w:val="000F378A"/>
    <w:rsid w:val="000F37AE"/>
    <w:rsid w:val="000F38D8"/>
    <w:rsid w:val="000F392F"/>
    <w:rsid w:val="000F396D"/>
    <w:rsid w:val="000F3A11"/>
    <w:rsid w:val="000F3D1B"/>
    <w:rsid w:val="000F3F1A"/>
    <w:rsid w:val="000F3F44"/>
    <w:rsid w:val="000F4286"/>
    <w:rsid w:val="000F465D"/>
    <w:rsid w:val="000F46C5"/>
    <w:rsid w:val="000F4ED5"/>
    <w:rsid w:val="000F4EF5"/>
    <w:rsid w:val="000F4F45"/>
    <w:rsid w:val="000F4FF7"/>
    <w:rsid w:val="000F53D6"/>
    <w:rsid w:val="000F5446"/>
    <w:rsid w:val="000F5854"/>
    <w:rsid w:val="000F58C9"/>
    <w:rsid w:val="000F59B6"/>
    <w:rsid w:val="000F5B33"/>
    <w:rsid w:val="000F5C32"/>
    <w:rsid w:val="000F5E75"/>
    <w:rsid w:val="000F5E7C"/>
    <w:rsid w:val="000F619B"/>
    <w:rsid w:val="000F632C"/>
    <w:rsid w:val="000F6572"/>
    <w:rsid w:val="000F6800"/>
    <w:rsid w:val="000F68A5"/>
    <w:rsid w:val="000F6906"/>
    <w:rsid w:val="000F6F71"/>
    <w:rsid w:val="000F71DB"/>
    <w:rsid w:val="000F74C7"/>
    <w:rsid w:val="000F74F7"/>
    <w:rsid w:val="000F7583"/>
    <w:rsid w:val="000F75DA"/>
    <w:rsid w:val="000F77D8"/>
    <w:rsid w:val="000F785E"/>
    <w:rsid w:val="000F7A0B"/>
    <w:rsid w:val="000F7FF1"/>
    <w:rsid w:val="00100077"/>
    <w:rsid w:val="001000B0"/>
    <w:rsid w:val="001001CB"/>
    <w:rsid w:val="001003BD"/>
    <w:rsid w:val="0010092B"/>
    <w:rsid w:val="00100A87"/>
    <w:rsid w:val="00100F94"/>
    <w:rsid w:val="0010120C"/>
    <w:rsid w:val="0010132F"/>
    <w:rsid w:val="00101602"/>
    <w:rsid w:val="00101A1E"/>
    <w:rsid w:val="00101A59"/>
    <w:rsid w:val="00101BF7"/>
    <w:rsid w:val="0010220E"/>
    <w:rsid w:val="00102221"/>
    <w:rsid w:val="0010230E"/>
    <w:rsid w:val="0010280D"/>
    <w:rsid w:val="0010298D"/>
    <w:rsid w:val="00102D71"/>
    <w:rsid w:val="00102F3B"/>
    <w:rsid w:val="001030AA"/>
    <w:rsid w:val="001031A4"/>
    <w:rsid w:val="00103232"/>
    <w:rsid w:val="00103312"/>
    <w:rsid w:val="00103432"/>
    <w:rsid w:val="00103675"/>
    <w:rsid w:val="00103D0F"/>
    <w:rsid w:val="00103E1C"/>
    <w:rsid w:val="0010424C"/>
    <w:rsid w:val="001047C9"/>
    <w:rsid w:val="00104B39"/>
    <w:rsid w:val="00104C2F"/>
    <w:rsid w:val="00104EE5"/>
    <w:rsid w:val="00105498"/>
    <w:rsid w:val="00105593"/>
    <w:rsid w:val="001056A4"/>
    <w:rsid w:val="0010575E"/>
    <w:rsid w:val="00105AE4"/>
    <w:rsid w:val="00105B21"/>
    <w:rsid w:val="00105D2D"/>
    <w:rsid w:val="00106001"/>
    <w:rsid w:val="00106C32"/>
    <w:rsid w:val="00106DC5"/>
    <w:rsid w:val="00106DC7"/>
    <w:rsid w:val="00106F70"/>
    <w:rsid w:val="001072F2"/>
    <w:rsid w:val="00107640"/>
    <w:rsid w:val="00107644"/>
    <w:rsid w:val="00107818"/>
    <w:rsid w:val="0010787C"/>
    <w:rsid w:val="0010794C"/>
    <w:rsid w:val="001079B3"/>
    <w:rsid w:val="00107B71"/>
    <w:rsid w:val="00107CE8"/>
    <w:rsid w:val="00107D28"/>
    <w:rsid w:val="00107DCA"/>
    <w:rsid w:val="00107F0F"/>
    <w:rsid w:val="00110116"/>
    <w:rsid w:val="00110309"/>
    <w:rsid w:val="001108F9"/>
    <w:rsid w:val="00110911"/>
    <w:rsid w:val="00110A2A"/>
    <w:rsid w:val="00110B5C"/>
    <w:rsid w:val="00110FF2"/>
    <w:rsid w:val="00111354"/>
    <w:rsid w:val="00111355"/>
    <w:rsid w:val="00111384"/>
    <w:rsid w:val="00111587"/>
    <w:rsid w:val="0011161A"/>
    <w:rsid w:val="00111765"/>
    <w:rsid w:val="001119EE"/>
    <w:rsid w:val="00111A6A"/>
    <w:rsid w:val="00111AFC"/>
    <w:rsid w:val="00111C42"/>
    <w:rsid w:val="00111F04"/>
    <w:rsid w:val="001120FB"/>
    <w:rsid w:val="001122C5"/>
    <w:rsid w:val="001124B2"/>
    <w:rsid w:val="00112842"/>
    <w:rsid w:val="00112ADD"/>
    <w:rsid w:val="00112C1F"/>
    <w:rsid w:val="00112CA5"/>
    <w:rsid w:val="00112E53"/>
    <w:rsid w:val="00112F52"/>
    <w:rsid w:val="00113134"/>
    <w:rsid w:val="0011373E"/>
    <w:rsid w:val="0011377F"/>
    <w:rsid w:val="001137E2"/>
    <w:rsid w:val="00113883"/>
    <w:rsid w:val="00113B77"/>
    <w:rsid w:val="00113BD1"/>
    <w:rsid w:val="00113DEF"/>
    <w:rsid w:val="00114078"/>
    <w:rsid w:val="00114272"/>
    <w:rsid w:val="001142A0"/>
    <w:rsid w:val="0011468B"/>
    <w:rsid w:val="00114E3C"/>
    <w:rsid w:val="00114E44"/>
    <w:rsid w:val="00114FD5"/>
    <w:rsid w:val="001150E0"/>
    <w:rsid w:val="001152D0"/>
    <w:rsid w:val="00115683"/>
    <w:rsid w:val="001157B4"/>
    <w:rsid w:val="00115BD0"/>
    <w:rsid w:val="0011642D"/>
    <w:rsid w:val="0011672B"/>
    <w:rsid w:val="001169B2"/>
    <w:rsid w:val="001169B6"/>
    <w:rsid w:val="00116F3D"/>
    <w:rsid w:val="00117099"/>
    <w:rsid w:val="0011736A"/>
    <w:rsid w:val="00117755"/>
    <w:rsid w:val="001179C2"/>
    <w:rsid w:val="00117C2A"/>
    <w:rsid w:val="00117C35"/>
    <w:rsid w:val="00117D46"/>
    <w:rsid w:val="00120405"/>
    <w:rsid w:val="00120912"/>
    <w:rsid w:val="001209EC"/>
    <w:rsid w:val="00120E8D"/>
    <w:rsid w:val="00121047"/>
    <w:rsid w:val="001210FD"/>
    <w:rsid w:val="00121165"/>
    <w:rsid w:val="001213A7"/>
    <w:rsid w:val="00121486"/>
    <w:rsid w:val="001215BE"/>
    <w:rsid w:val="001229E8"/>
    <w:rsid w:val="00122D3D"/>
    <w:rsid w:val="00122E1C"/>
    <w:rsid w:val="001230FB"/>
    <w:rsid w:val="00123411"/>
    <w:rsid w:val="001238C2"/>
    <w:rsid w:val="00123D00"/>
    <w:rsid w:val="00123D59"/>
    <w:rsid w:val="00123F66"/>
    <w:rsid w:val="001241BC"/>
    <w:rsid w:val="001241C1"/>
    <w:rsid w:val="00124282"/>
    <w:rsid w:val="0012433E"/>
    <w:rsid w:val="0012469D"/>
    <w:rsid w:val="001246A5"/>
    <w:rsid w:val="0012490F"/>
    <w:rsid w:val="00124B1D"/>
    <w:rsid w:val="00124C78"/>
    <w:rsid w:val="00124E1E"/>
    <w:rsid w:val="001253C5"/>
    <w:rsid w:val="00125471"/>
    <w:rsid w:val="0012555B"/>
    <w:rsid w:val="00125F05"/>
    <w:rsid w:val="0012642A"/>
    <w:rsid w:val="001265CB"/>
    <w:rsid w:val="00126628"/>
    <w:rsid w:val="001266CB"/>
    <w:rsid w:val="00126866"/>
    <w:rsid w:val="001268C9"/>
    <w:rsid w:val="00126BAB"/>
    <w:rsid w:val="00126D31"/>
    <w:rsid w:val="00127149"/>
    <w:rsid w:val="001273C3"/>
    <w:rsid w:val="001275F4"/>
    <w:rsid w:val="001277A5"/>
    <w:rsid w:val="001300FD"/>
    <w:rsid w:val="001301D2"/>
    <w:rsid w:val="00130211"/>
    <w:rsid w:val="00130301"/>
    <w:rsid w:val="001303F4"/>
    <w:rsid w:val="00130E28"/>
    <w:rsid w:val="00130FF2"/>
    <w:rsid w:val="00131179"/>
    <w:rsid w:val="00131402"/>
    <w:rsid w:val="00131428"/>
    <w:rsid w:val="00131494"/>
    <w:rsid w:val="0013161B"/>
    <w:rsid w:val="00131824"/>
    <w:rsid w:val="00131C46"/>
    <w:rsid w:val="00131FC6"/>
    <w:rsid w:val="00132378"/>
    <w:rsid w:val="0013249F"/>
    <w:rsid w:val="00132625"/>
    <w:rsid w:val="001326DA"/>
    <w:rsid w:val="001326ED"/>
    <w:rsid w:val="00132829"/>
    <w:rsid w:val="00132B4C"/>
    <w:rsid w:val="00132C43"/>
    <w:rsid w:val="00132E04"/>
    <w:rsid w:val="00132E80"/>
    <w:rsid w:val="0013302A"/>
    <w:rsid w:val="001332D9"/>
    <w:rsid w:val="00133490"/>
    <w:rsid w:val="001334BF"/>
    <w:rsid w:val="001335A0"/>
    <w:rsid w:val="001337C1"/>
    <w:rsid w:val="001338FD"/>
    <w:rsid w:val="00133C4C"/>
    <w:rsid w:val="00133CFE"/>
    <w:rsid w:val="00133D2C"/>
    <w:rsid w:val="00133E06"/>
    <w:rsid w:val="00133E60"/>
    <w:rsid w:val="00134006"/>
    <w:rsid w:val="0013402A"/>
    <w:rsid w:val="001340AB"/>
    <w:rsid w:val="001340EC"/>
    <w:rsid w:val="00134210"/>
    <w:rsid w:val="0013434F"/>
    <w:rsid w:val="00134424"/>
    <w:rsid w:val="00134557"/>
    <w:rsid w:val="00134A03"/>
    <w:rsid w:val="00134A1E"/>
    <w:rsid w:val="00134A56"/>
    <w:rsid w:val="00134B43"/>
    <w:rsid w:val="00135115"/>
    <w:rsid w:val="00135244"/>
    <w:rsid w:val="0013534C"/>
    <w:rsid w:val="00135512"/>
    <w:rsid w:val="00135946"/>
    <w:rsid w:val="00135F97"/>
    <w:rsid w:val="001360D7"/>
    <w:rsid w:val="0013634F"/>
    <w:rsid w:val="0013636C"/>
    <w:rsid w:val="00136492"/>
    <w:rsid w:val="001364B4"/>
    <w:rsid w:val="0013669E"/>
    <w:rsid w:val="00136A55"/>
    <w:rsid w:val="00136C5C"/>
    <w:rsid w:val="00136FAF"/>
    <w:rsid w:val="0013733A"/>
    <w:rsid w:val="00137450"/>
    <w:rsid w:val="00137BAA"/>
    <w:rsid w:val="00137C14"/>
    <w:rsid w:val="00137EDC"/>
    <w:rsid w:val="00137FAD"/>
    <w:rsid w:val="0014010C"/>
    <w:rsid w:val="00140279"/>
    <w:rsid w:val="001408BB"/>
    <w:rsid w:val="00140929"/>
    <w:rsid w:val="00140B0D"/>
    <w:rsid w:val="00140D71"/>
    <w:rsid w:val="00140FEE"/>
    <w:rsid w:val="00141116"/>
    <w:rsid w:val="0014150A"/>
    <w:rsid w:val="00141518"/>
    <w:rsid w:val="00141541"/>
    <w:rsid w:val="00141902"/>
    <w:rsid w:val="00141FA8"/>
    <w:rsid w:val="00141FBB"/>
    <w:rsid w:val="00142082"/>
    <w:rsid w:val="001420E7"/>
    <w:rsid w:val="0014278D"/>
    <w:rsid w:val="00142866"/>
    <w:rsid w:val="001428EB"/>
    <w:rsid w:val="00142A89"/>
    <w:rsid w:val="00142D49"/>
    <w:rsid w:val="00143638"/>
    <w:rsid w:val="00143666"/>
    <w:rsid w:val="001437E7"/>
    <w:rsid w:val="00143AA5"/>
    <w:rsid w:val="00143CD4"/>
    <w:rsid w:val="00143F69"/>
    <w:rsid w:val="001444E2"/>
    <w:rsid w:val="0014459A"/>
    <w:rsid w:val="00144792"/>
    <w:rsid w:val="0014484D"/>
    <w:rsid w:val="00144922"/>
    <w:rsid w:val="00144DCE"/>
    <w:rsid w:val="00144F30"/>
    <w:rsid w:val="00145099"/>
    <w:rsid w:val="00145693"/>
    <w:rsid w:val="0014573C"/>
    <w:rsid w:val="00145769"/>
    <w:rsid w:val="00145848"/>
    <w:rsid w:val="00145954"/>
    <w:rsid w:val="00145A45"/>
    <w:rsid w:val="00145AE5"/>
    <w:rsid w:val="00145F5E"/>
    <w:rsid w:val="001460DE"/>
    <w:rsid w:val="00146345"/>
    <w:rsid w:val="001464D7"/>
    <w:rsid w:val="00146DFC"/>
    <w:rsid w:val="00146F9F"/>
    <w:rsid w:val="00146FDA"/>
    <w:rsid w:val="00146FFE"/>
    <w:rsid w:val="00147BD8"/>
    <w:rsid w:val="001501AA"/>
    <w:rsid w:val="001503CA"/>
    <w:rsid w:val="00150427"/>
    <w:rsid w:val="001506EA"/>
    <w:rsid w:val="0015088D"/>
    <w:rsid w:val="00150F05"/>
    <w:rsid w:val="00151076"/>
    <w:rsid w:val="00151161"/>
    <w:rsid w:val="00151196"/>
    <w:rsid w:val="001520D9"/>
    <w:rsid w:val="001524A1"/>
    <w:rsid w:val="0015269E"/>
    <w:rsid w:val="00152724"/>
    <w:rsid w:val="0015292C"/>
    <w:rsid w:val="00152A3F"/>
    <w:rsid w:val="00152D7D"/>
    <w:rsid w:val="00152E68"/>
    <w:rsid w:val="00153117"/>
    <w:rsid w:val="0015331D"/>
    <w:rsid w:val="0015389B"/>
    <w:rsid w:val="00153B24"/>
    <w:rsid w:val="00153BD5"/>
    <w:rsid w:val="00153BFB"/>
    <w:rsid w:val="001541DC"/>
    <w:rsid w:val="001544F2"/>
    <w:rsid w:val="00154601"/>
    <w:rsid w:val="001546D6"/>
    <w:rsid w:val="001547EA"/>
    <w:rsid w:val="00154A41"/>
    <w:rsid w:val="00154E39"/>
    <w:rsid w:val="00154EF5"/>
    <w:rsid w:val="00155022"/>
    <w:rsid w:val="001553D9"/>
    <w:rsid w:val="001556E1"/>
    <w:rsid w:val="00155D44"/>
    <w:rsid w:val="00155E1C"/>
    <w:rsid w:val="001560DD"/>
    <w:rsid w:val="00156327"/>
    <w:rsid w:val="001564A7"/>
    <w:rsid w:val="0015664A"/>
    <w:rsid w:val="0015675F"/>
    <w:rsid w:val="0015711A"/>
    <w:rsid w:val="00157271"/>
    <w:rsid w:val="001572AD"/>
    <w:rsid w:val="0015732A"/>
    <w:rsid w:val="00157395"/>
    <w:rsid w:val="00157693"/>
    <w:rsid w:val="00157746"/>
    <w:rsid w:val="0015775F"/>
    <w:rsid w:val="001579C3"/>
    <w:rsid w:val="00157AA6"/>
    <w:rsid w:val="00157D20"/>
    <w:rsid w:val="00157D66"/>
    <w:rsid w:val="00157D99"/>
    <w:rsid w:val="00157F57"/>
    <w:rsid w:val="001601E9"/>
    <w:rsid w:val="001604A6"/>
    <w:rsid w:val="00160960"/>
    <w:rsid w:val="00160AA0"/>
    <w:rsid w:val="00160ED1"/>
    <w:rsid w:val="00161579"/>
    <w:rsid w:val="00161635"/>
    <w:rsid w:val="001616CE"/>
    <w:rsid w:val="00161861"/>
    <w:rsid w:val="00161A73"/>
    <w:rsid w:val="00161E6E"/>
    <w:rsid w:val="00161F2A"/>
    <w:rsid w:val="00161FC9"/>
    <w:rsid w:val="001624FB"/>
    <w:rsid w:val="00162668"/>
    <w:rsid w:val="00162A0A"/>
    <w:rsid w:val="0016306C"/>
    <w:rsid w:val="00163295"/>
    <w:rsid w:val="00163576"/>
    <w:rsid w:val="001638F0"/>
    <w:rsid w:val="00163B3E"/>
    <w:rsid w:val="00163DC4"/>
    <w:rsid w:val="00163F32"/>
    <w:rsid w:val="00163FD0"/>
    <w:rsid w:val="0016445F"/>
    <w:rsid w:val="001644BC"/>
    <w:rsid w:val="0016465D"/>
    <w:rsid w:val="0016478D"/>
    <w:rsid w:val="001647B6"/>
    <w:rsid w:val="001647DA"/>
    <w:rsid w:val="0016499D"/>
    <w:rsid w:val="00164A58"/>
    <w:rsid w:val="00164B92"/>
    <w:rsid w:val="00165379"/>
    <w:rsid w:val="00165396"/>
    <w:rsid w:val="00165437"/>
    <w:rsid w:val="00165460"/>
    <w:rsid w:val="0016567E"/>
    <w:rsid w:val="00165868"/>
    <w:rsid w:val="00165AAF"/>
    <w:rsid w:val="00165CA4"/>
    <w:rsid w:val="00165E8C"/>
    <w:rsid w:val="00165F6A"/>
    <w:rsid w:val="001665AC"/>
    <w:rsid w:val="0016667D"/>
    <w:rsid w:val="0016679F"/>
    <w:rsid w:val="0016699E"/>
    <w:rsid w:val="00166D64"/>
    <w:rsid w:val="00166DD8"/>
    <w:rsid w:val="00166F8F"/>
    <w:rsid w:val="001671C1"/>
    <w:rsid w:val="001671CE"/>
    <w:rsid w:val="00167281"/>
    <w:rsid w:val="00167316"/>
    <w:rsid w:val="0016733F"/>
    <w:rsid w:val="0016766C"/>
    <w:rsid w:val="001679FB"/>
    <w:rsid w:val="00167B63"/>
    <w:rsid w:val="00167EAB"/>
    <w:rsid w:val="001701D3"/>
    <w:rsid w:val="0017035B"/>
    <w:rsid w:val="0017037E"/>
    <w:rsid w:val="00170595"/>
    <w:rsid w:val="00170854"/>
    <w:rsid w:val="0017093D"/>
    <w:rsid w:val="0017094D"/>
    <w:rsid w:val="00170A9D"/>
    <w:rsid w:val="00170BAF"/>
    <w:rsid w:val="00170E52"/>
    <w:rsid w:val="00171177"/>
    <w:rsid w:val="0017126E"/>
    <w:rsid w:val="001712EE"/>
    <w:rsid w:val="0017145F"/>
    <w:rsid w:val="00171818"/>
    <w:rsid w:val="00171868"/>
    <w:rsid w:val="00171929"/>
    <w:rsid w:val="001722FE"/>
    <w:rsid w:val="00172397"/>
    <w:rsid w:val="00172698"/>
    <w:rsid w:val="0017287F"/>
    <w:rsid w:val="00172933"/>
    <w:rsid w:val="00172A8E"/>
    <w:rsid w:val="00172C66"/>
    <w:rsid w:val="001738DD"/>
    <w:rsid w:val="00173972"/>
    <w:rsid w:val="00173E5E"/>
    <w:rsid w:val="00173F4E"/>
    <w:rsid w:val="00174146"/>
    <w:rsid w:val="00174237"/>
    <w:rsid w:val="001743A1"/>
    <w:rsid w:val="001744C4"/>
    <w:rsid w:val="00174AB6"/>
    <w:rsid w:val="00174C38"/>
    <w:rsid w:val="00174D82"/>
    <w:rsid w:val="0017505D"/>
    <w:rsid w:val="001751BA"/>
    <w:rsid w:val="0017535A"/>
    <w:rsid w:val="00175981"/>
    <w:rsid w:val="00175EF9"/>
    <w:rsid w:val="0017607D"/>
    <w:rsid w:val="001760EF"/>
    <w:rsid w:val="0017685F"/>
    <w:rsid w:val="001769BB"/>
    <w:rsid w:val="00176A2A"/>
    <w:rsid w:val="00176BC6"/>
    <w:rsid w:val="00176C50"/>
    <w:rsid w:val="00176CC6"/>
    <w:rsid w:val="00176D1F"/>
    <w:rsid w:val="00176EE7"/>
    <w:rsid w:val="00176F33"/>
    <w:rsid w:val="0017722B"/>
    <w:rsid w:val="001772B1"/>
    <w:rsid w:val="0017730E"/>
    <w:rsid w:val="00177643"/>
    <w:rsid w:val="001778C3"/>
    <w:rsid w:val="00177BD8"/>
    <w:rsid w:val="0018068E"/>
    <w:rsid w:val="0018088A"/>
    <w:rsid w:val="00180915"/>
    <w:rsid w:val="00180F00"/>
    <w:rsid w:val="00180F35"/>
    <w:rsid w:val="0018111C"/>
    <w:rsid w:val="0018122F"/>
    <w:rsid w:val="0018124E"/>
    <w:rsid w:val="001812A6"/>
    <w:rsid w:val="001812C1"/>
    <w:rsid w:val="00181392"/>
    <w:rsid w:val="001813C1"/>
    <w:rsid w:val="001818AE"/>
    <w:rsid w:val="001818C2"/>
    <w:rsid w:val="00181B56"/>
    <w:rsid w:val="00181D68"/>
    <w:rsid w:val="00181F08"/>
    <w:rsid w:val="001821BE"/>
    <w:rsid w:val="0018274A"/>
    <w:rsid w:val="00182770"/>
    <w:rsid w:val="001828A1"/>
    <w:rsid w:val="00182AB3"/>
    <w:rsid w:val="00183305"/>
    <w:rsid w:val="001833D4"/>
    <w:rsid w:val="00183681"/>
    <w:rsid w:val="001838E4"/>
    <w:rsid w:val="00183965"/>
    <w:rsid w:val="00183BE4"/>
    <w:rsid w:val="00183C6F"/>
    <w:rsid w:val="00183CC3"/>
    <w:rsid w:val="00183F2A"/>
    <w:rsid w:val="00183FA5"/>
    <w:rsid w:val="00184075"/>
    <w:rsid w:val="001842C8"/>
    <w:rsid w:val="001845F0"/>
    <w:rsid w:val="00184952"/>
    <w:rsid w:val="0018498D"/>
    <w:rsid w:val="00184BDB"/>
    <w:rsid w:val="001850B4"/>
    <w:rsid w:val="00185104"/>
    <w:rsid w:val="001851B7"/>
    <w:rsid w:val="001856A6"/>
    <w:rsid w:val="001858F0"/>
    <w:rsid w:val="00185AD3"/>
    <w:rsid w:val="00185E21"/>
    <w:rsid w:val="00185E3D"/>
    <w:rsid w:val="001860FE"/>
    <w:rsid w:val="00186265"/>
    <w:rsid w:val="001862BF"/>
    <w:rsid w:val="001866A0"/>
    <w:rsid w:val="001867BA"/>
    <w:rsid w:val="001869BB"/>
    <w:rsid w:val="00186C6E"/>
    <w:rsid w:val="00186E03"/>
    <w:rsid w:val="00186F18"/>
    <w:rsid w:val="0018722B"/>
    <w:rsid w:val="0018754C"/>
    <w:rsid w:val="00187692"/>
    <w:rsid w:val="001876D6"/>
    <w:rsid w:val="00187A01"/>
    <w:rsid w:val="00187F4B"/>
    <w:rsid w:val="00187F8E"/>
    <w:rsid w:val="0019015B"/>
    <w:rsid w:val="001906A5"/>
    <w:rsid w:val="0019095B"/>
    <w:rsid w:val="00190C30"/>
    <w:rsid w:val="00190DB3"/>
    <w:rsid w:val="00191378"/>
    <w:rsid w:val="001914A7"/>
    <w:rsid w:val="001914C6"/>
    <w:rsid w:val="001915A9"/>
    <w:rsid w:val="00191603"/>
    <w:rsid w:val="001917E0"/>
    <w:rsid w:val="00191CE7"/>
    <w:rsid w:val="0019236C"/>
    <w:rsid w:val="0019271B"/>
    <w:rsid w:val="00192818"/>
    <w:rsid w:val="001928A3"/>
    <w:rsid w:val="00192C2C"/>
    <w:rsid w:val="00192DE9"/>
    <w:rsid w:val="00192EED"/>
    <w:rsid w:val="0019304C"/>
    <w:rsid w:val="00193149"/>
    <w:rsid w:val="00193158"/>
    <w:rsid w:val="001932A8"/>
    <w:rsid w:val="00193459"/>
    <w:rsid w:val="00193586"/>
    <w:rsid w:val="001936C0"/>
    <w:rsid w:val="00193AD7"/>
    <w:rsid w:val="00193D2D"/>
    <w:rsid w:val="00193FFA"/>
    <w:rsid w:val="001940E3"/>
    <w:rsid w:val="0019432D"/>
    <w:rsid w:val="00194361"/>
    <w:rsid w:val="0019438E"/>
    <w:rsid w:val="00194454"/>
    <w:rsid w:val="00194A4D"/>
    <w:rsid w:val="00194BD1"/>
    <w:rsid w:val="00194BFB"/>
    <w:rsid w:val="00195395"/>
    <w:rsid w:val="001956D0"/>
    <w:rsid w:val="00195C16"/>
    <w:rsid w:val="00195C41"/>
    <w:rsid w:val="00195C5F"/>
    <w:rsid w:val="00195D50"/>
    <w:rsid w:val="00195D91"/>
    <w:rsid w:val="00195FBC"/>
    <w:rsid w:val="0019607E"/>
    <w:rsid w:val="001961A2"/>
    <w:rsid w:val="0019649E"/>
    <w:rsid w:val="001964AE"/>
    <w:rsid w:val="0019698D"/>
    <w:rsid w:val="001969C5"/>
    <w:rsid w:val="00196AC0"/>
    <w:rsid w:val="00196BF1"/>
    <w:rsid w:val="00196C4B"/>
    <w:rsid w:val="001970C3"/>
    <w:rsid w:val="0019741A"/>
    <w:rsid w:val="0019769A"/>
    <w:rsid w:val="00197731"/>
    <w:rsid w:val="00197775"/>
    <w:rsid w:val="001977FF"/>
    <w:rsid w:val="001978EA"/>
    <w:rsid w:val="00197FE9"/>
    <w:rsid w:val="001A0030"/>
    <w:rsid w:val="001A0048"/>
    <w:rsid w:val="001A029B"/>
    <w:rsid w:val="001A0529"/>
    <w:rsid w:val="001A0792"/>
    <w:rsid w:val="001A0CEA"/>
    <w:rsid w:val="001A12C9"/>
    <w:rsid w:val="001A12F6"/>
    <w:rsid w:val="001A1391"/>
    <w:rsid w:val="001A1408"/>
    <w:rsid w:val="001A1B90"/>
    <w:rsid w:val="001A1B98"/>
    <w:rsid w:val="001A1BCE"/>
    <w:rsid w:val="001A1CBA"/>
    <w:rsid w:val="001A20EE"/>
    <w:rsid w:val="001A2349"/>
    <w:rsid w:val="001A28D4"/>
    <w:rsid w:val="001A2984"/>
    <w:rsid w:val="001A2CD4"/>
    <w:rsid w:val="001A3382"/>
    <w:rsid w:val="001A3629"/>
    <w:rsid w:val="001A37C4"/>
    <w:rsid w:val="001A391C"/>
    <w:rsid w:val="001A3C15"/>
    <w:rsid w:val="001A4082"/>
    <w:rsid w:val="001A4119"/>
    <w:rsid w:val="001A41EF"/>
    <w:rsid w:val="001A47A1"/>
    <w:rsid w:val="001A4A51"/>
    <w:rsid w:val="001A4B3E"/>
    <w:rsid w:val="001A4B94"/>
    <w:rsid w:val="001A4DC5"/>
    <w:rsid w:val="001A4EE2"/>
    <w:rsid w:val="001A4F15"/>
    <w:rsid w:val="001A4FA6"/>
    <w:rsid w:val="001A4FB6"/>
    <w:rsid w:val="001A57B9"/>
    <w:rsid w:val="001A5D3D"/>
    <w:rsid w:val="001A60B0"/>
    <w:rsid w:val="001A6430"/>
    <w:rsid w:val="001A65DA"/>
    <w:rsid w:val="001A695D"/>
    <w:rsid w:val="001A6AF3"/>
    <w:rsid w:val="001A6B58"/>
    <w:rsid w:val="001A7071"/>
    <w:rsid w:val="001A75C0"/>
    <w:rsid w:val="001A775B"/>
    <w:rsid w:val="001A793F"/>
    <w:rsid w:val="001B0185"/>
    <w:rsid w:val="001B1314"/>
    <w:rsid w:val="001B138B"/>
    <w:rsid w:val="001B13B7"/>
    <w:rsid w:val="001B13CF"/>
    <w:rsid w:val="001B147D"/>
    <w:rsid w:val="001B1AB2"/>
    <w:rsid w:val="001B1AD4"/>
    <w:rsid w:val="001B1AF4"/>
    <w:rsid w:val="001B1B4C"/>
    <w:rsid w:val="001B1CF5"/>
    <w:rsid w:val="001B1DDF"/>
    <w:rsid w:val="001B1ECE"/>
    <w:rsid w:val="001B1FF7"/>
    <w:rsid w:val="001B20B6"/>
    <w:rsid w:val="001B20D7"/>
    <w:rsid w:val="001B2175"/>
    <w:rsid w:val="001B226A"/>
    <w:rsid w:val="001B22FA"/>
    <w:rsid w:val="001B2313"/>
    <w:rsid w:val="001B258A"/>
    <w:rsid w:val="001B2B19"/>
    <w:rsid w:val="001B323C"/>
    <w:rsid w:val="001B35A3"/>
    <w:rsid w:val="001B35BE"/>
    <w:rsid w:val="001B3625"/>
    <w:rsid w:val="001B36E6"/>
    <w:rsid w:val="001B36E9"/>
    <w:rsid w:val="001B391B"/>
    <w:rsid w:val="001B39EE"/>
    <w:rsid w:val="001B3AA3"/>
    <w:rsid w:val="001B3AE4"/>
    <w:rsid w:val="001B3CE7"/>
    <w:rsid w:val="001B3D15"/>
    <w:rsid w:val="001B3D6C"/>
    <w:rsid w:val="001B4148"/>
    <w:rsid w:val="001B41C8"/>
    <w:rsid w:val="001B4243"/>
    <w:rsid w:val="001B4284"/>
    <w:rsid w:val="001B43C9"/>
    <w:rsid w:val="001B43E8"/>
    <w:rsid w:val="001B4683"/>
    <w:rsid w:val="001B48C4"/>
    <w:rsid w:val="001B496E"/>
    <w:rsid w:val="001B4D7C"/>
    <w:rsid w:val="001B54ED"/>
    <w:rsid w:val="001B5616"/>
    <w:rsid w:val="001B57C1"/>
    <w:rsid w:val="001B58B2"/>
    <w:rsid w:val="001B5A3F"/>
    <w:rsid w:val="001B5C94"/>
    <w:rsid w:val="001B5DAC"/>
    <w:rsid w:val="001B5F22"/>
    <w:rsid w:val="001B6119"/>
    <w:rsid w:val="001B6249"/>
    <w:rsid w:val="001B648D"/>
    <w:rsid w:val="001B66FD"/>
    <w:rsid w:val="001B6965"/>
    <w:rsid w:val="001B69EA"/>
    <w:rsid w:val="001B69FA"/>
    <w:rsid w:val="001B6A30"/>
    <w:rsid w:val="001B6B11"/>
    <w:rsid w:val="001B6C93"/>
    <w:rsid w:val="001B6CFC"/>
    <w:rsid w:val="001B7027"/>
    <w:rsid w:val="001B72FE"/>
    <w:rsid w:val="001B73DB"/>
    <w:rsid w:val="001B7A48"/>
    <w:rsid w:val="001B7BBC"/>
    <w:rsid w:val="001B7D6E"/>
    <w:rsid w:val="001B7FDF"/>
    <w:rsid w:val="001C031F"/>
    <w:rsid w:val="001C03B4"/>
    <w:rsid w:val="001C0538"/>
    <w:rsid w:val="001C07E8"/>
    <w:rsid w:val="001C085A"/>
    <w:rsid w:val="001C08C3"/>
    <w:rsid w:val="001C098B"/>
    <w:rsid w:val="001C0C8B"/>
    <w:rsid w:val="001C0D24"/>
    <w:rsid w:val="001C1C03"/>
    <w:rsid w:val="001C1D2F"/>
    <w:rsid w:val="001C1F4D"/>
    <w:rsid w:val="001C1FFE"/>
    <w:rsid w:val="001C2333"/>
    <w:rsid w:val="001C2522"/>
    <w:rsid w:val="001C258C"/>
    <w:rsid w:val="001C2A75"/>
    <w:rsid w:val="001C2B68"/>
    <w:rsid w:val="001C2C57"/>
    <w:rsid w:val="001C2D2A"/>
    <w:rsid w:val="001C2F25"/>
    <w:rsid w:val="001C2F32"/>
    <w:rsid w:val="001C3C1D"/>
    <w:rsid w:val="001C3DAF"/>
    <w:rsid w:val="001C3F17"/>
    <w:rsid w:val="001C4217"/>
    <w:rsid w:val="001C4592"/>
    <w:rsid w:val="001C46EA"/>
    <w:rsid w:val="001C4ADD"/>
    <w:rsid w:val="001C4B0D"/>
    <w:rsid w:val="001C4BF1"/>
    <w:rsid w:val="001C4E3B"/>
    <w:rsid w:val="001C50D1"/>
    <w:rsid w:val="001C5588"/>
    <w:rsid w:val="001C558E"/>
    <w:rsid w:val="001C5B26"/>
    <w:rsid w:val="001C5D88"/>
    <w:rsid w:val="001C5F74"/>
    <w:rsid w:val="001C611B"/>
    <w:rsid w:val="001C6131"/>
    <w:rsid w:val="001C62D9"/>
    <w:rsid w:val="001C649B"/>
    <w:rsid w:val="001C64DC"/>
    <w:rsid w:val="001C6880"/>
    <w:rsid w:val="001C68DD"/>
    <w:rsid w:val="001C68E5"/>
    <w:rsid w:val="001C6905"/>
    <w:rsid w:val="001C69D2"/>
    <w:rsid w:val="001C6C1E"/>
    <w:rsid w:val="001C6C26"/>
    <w:rsid w:val="001C6F1A"/>
    <w:rsid w:val="001C6F1D"/>
    <w:rsid w:val="001C70A8"/>
    <w:rsid w:val="001C7202"/>
    <w:rsid w:val="001C733A"/>
    <w:rsid w:val="001C759A"/>
    <w:rsid w:val="001C7C0A"/>
    <w:rsid w:val="001D00B6"/>
    <w:rsid w:val="001D012E"/>
    <w:rsid w:val="001D0213"/>
    <w:rsid w:val="001D0312"/>
    <w:rsid w:val="001D07DF"/>
    <w:rsid w:val="001D08B8"/>
    <w:rsid w:val="001D0983"/>
    <w:rsid w:val="001D0A8F"/>
    <w:rsid w:val="001D0CB9"/>
    <w:rsid w:val="001D0DFC"/>
    <w:rsid w:val="001D0E3B"/>
    <w:rsid w:val="001D16F8"/>
    <w:rsid w:val="001D1B51"/>
    <w:rsid w:val="001D1EBC"/>
    <w:rsid w:val="001D1F1D"/>
    <w:rsid w:val="001D1F68"/>
    <w:rsid w:val="001D2141"/>
    <w:rsid w:val="001D22CD"/>
    <w:rsid w:val="001D2704"/>
    <w:rsid w:val="001D283D"/>
    <w:rsid w:val="001D294C"/>
    <w:rsid w:val="001D2A05"/>
    <w:rsid w:val="001D2E79"/>
    <w:rsid w:val="001D31FB"/>
    <w:rsid w:val="001D3403"/>
    <w:rsid w:val="001D3A87"/>
    <w:rsid w:val="001D3CBD"/>
    <w:rsid w:val="001D3EA1"/>
    <w:rsid w:val="001D4222"/>
    <w:rsid w:val="001D4760"/>
    <w:rsid w:val="001D47C9"/>
    <w:rsid w:val="001D47F3"/>
    <w:rsid w:val="001D4869"/>
    <w:rsid w:val="001D488D"/>
    <w:rsid w:val="001D4BBD"/>
    <w:rsid w:val="001D4DE5"/>
    <w:rsid w:val="001D520C"/>
    <w:rsid w:val="001D5237"/>
    <w:rsid w:val="001D54A7"/>
    <w:rsid w:val="001D5BDB"/>
    <w:rsid w:val="001D5DE0"/>
    <w:rsid w:val="001D5EB7"/>
    <w:rsid w:val="001D5FC5"/>
    <w:rsid w:val="001D600D"/>
    <w:rsid w:val="001D6019"/>
    <w:rsid w:val="001D6139"/>
    <w:rsid w:val="001D637F"/>
    <w:rsid w:val="001D638C"/>
    <w:rsid w:val="001D649A"/>
    <w:rsid w:val="001D6565"/>
    <w:rsid w:val="001D6569"/>
    <w:rsid w:val="001D669C"/>
    <w:rsid w:val="001D6B1C"/>
    <w:rsid w:val="001D6C20"/>
    <w:rsid w:val="001D6EC9"/>
    <w:rsid w:val="001D6EF8"/>
    <w:rsid w:val="001D6F64"/>
    <w:rsid w:val="001D705D"/>
    <w:rsid w:val="001D7183"/>
    <w:rsid w:val="001D7301"/>
    <w:rsid w:val="001D732A"/>
    <w:rsid w:val="001D73A9"/>
    <w:rsid w:val="001D7570"/>
    <w:rsid w:val="001D784E"/>
    <w:rsid w:val="001D797E"/>
    <w:rsid w:val="001D7AA2"/>
    <w:rsid w:val="001D7D06"/>
    <w:rsid w:val="001D7F71"/>
    <w:rsid w:val="001D7FB4"/>
    <w:rsid w:val="001E0125"/>
    <w:rsid w:val="001E0133"/>
    <w:rsid w:val="001E04BF"/>
    <w:rsid w:val="001E0B2D"/>
    <w:rsid w:val="001E0D65"/>
    <w:rsid w:val="001E0F3C"/>
    <w:rsid w:val="001E16F7"/>
    <w:rsid w:val="001E1722"/>
    <w:rsid w:val="001E1740"/>
    <w:rsid w:val="001E19C5"/>
    <w:rsid w:val="001E1BDF"/>
    <w:rsid w:val="001E28A3"/>
    <w:rsid w:val="001E29FF"/>
    <w:rsid w:val="001E2B41"/>
    <w:rsid w:val="001E2EDB"/>
    <w:rsid w:val="001E2FB8"/>
    <w:rsid w:val="001E34D3"/>
    <w:rsid w:val="001E352A"/>
    <w:rsid w:val="001E3568"/>
    <w:rsid w:val="001E358C"/>
    <w:rsid w:val="001E35E9"/>
    <w:rsid w:val="001E38F4"/>
    <w:rsid w:val="001E3B30"/>
    <w:rsid w:val="001E3C54"/>
    <w:rsid w:val="001E3F4B"/>
    <w:rsid w:val="001E40D2"/>
    <w:rsid w:val="001E40FC"/>
    <w:rsid w:val="001E43ED"/>
    <w:rsid w:val="001E450E"/>
    <w:rsid w:val="001E457D"/>
    <w:rsid w:val="001E492F"/>
    <w:rsid w:val="001E4961"/>
    <w:rsid w:val="001E4A49"/>
    <w:rsid w:val="001E4F1C"/>
    <w:rsid w:val="001E4F57"/>
    <w:rsid w:val="001E5076"/>
    <w:rsid w:val="001E50D2"/>
    <w:rsid w:val="001E55F8"/>
    <w:rsid w:val="001E57A1"/>
    <w:rsid w:val="001E5C16"/>
    <w:rsid w:val="001E5D8D"/>
    <w:rsid w:val="001E6284"/>
    <w:rsid w:val="001E6559"/>
    <w:rsid w:val="001E661A"/>
    <w:rsid w:val="001E665C"/>
    <w:rsid w:val="001E68D2"/>
    <w:rsid w:val="001E6A03"/>
    <w:rsid w:val="001E6A61"/>
    <w:rsid w:val="001E6A7A"/>
    <w:rsid w:val="001E6B19"/>
    <w:rsid w:val="001E6B9A"/>
    <w:rsid w:val="001E6BCF"/>
    <w:rsid w:val="001E6E47"/>
    <w:rsid w:val="001E7069"/>
    <w:rsid w:val="001E77EB"/>
    <w:rsid w:val="001E79AA"/>
    <w:rsid w:val="001E7A9A"/>
    <w:rsid w:val="001E7D0A"/>
    <w:rsid w:val="001E7E28"/>
    <w:rsid w:val="001E7E93"/>
    <w:rsid w:val="001F0185"/>
    <w:rsid w:val="001F03CA"/>
    <w:rsid w:val="001F046C"/>
    <w:rsid w:val="001F0475"/>
    <w:rsid w:val="001F04A3"/>
    <w:rsid w:val="001F0601"/>
    <w:rsid w:val="001F067C"/>
    <w:rsid w:val="001F0786"/>
    <w:rsid w:val="001F0C1E"/>
    <w:rsid w:val="001F0CBD"/>
    <w:rsid w:val="001F0F1F"/>
    <w:rsid w:val="001F11F5"/>
    <w:rsid w:val="001F15F0"/>
    <w:rsid w:val="001F1C2A"/>
    <w:rsid w:val="001F1CA1"/>
    <w:rsid w:val="001F1D00"/>
    <w:rsid w:val="001F1D4E"/>
    <w:rsid w:val="001F1EF9"/>
    <w:rsid w:val="001F1F2D"/>
    <w:rsid w:val="001F1F72"/>
    <w:rsid w:val="001F1FD3"/>
    <w:rsid w:val="001F1FE5"/>
    <w:rsid w:val="001F202D"/>
    <w:rsid w:val="001F206E"/>
    <w:rsid w:val="001F2226"/>
    <w:rsid w:val="001F2402"/>
    <w:rsid w:val="001F2557"/>
    <w:rsid w:val="001F27B4"/>
    <w:rsid w:val="001F2973"/>
    <w:rsid w:val="001F2B1D"/>
    <w:rsid w:val="001F2B59"/>
    <w:rsid w:val="001F2B79"/>
    <w:rsid w:val="001F2B92"/>
    <w:rsid w:val="001F2C81"/>
    <w:rsid w:val="001F2E68"/>
    <w:rsid w:val="001F34F3"/>
    <w:rsid w:val="001F39C2"/>
    <w:rsid w:val="001F3A6E"/>
    <w:rsid w:val="001F3C10"/>
    <w:rsid w:val="001F400C"/>
    <w:rsid w:val="001F44B2"/>
    <w:rsid w:val="001F44CD"/>
    <w:rsid w:val="001F4725"/>
    <w:rsid w:val="001F4987"/>
    <w:rsid w:val="001F4B8F"/>
    <w:rsid w:val="001F4C9D"/>
    <w:rsid w:val="001F4DFF"/>
    <w:rsid w:val="001F4F4B"/>
    <w:rsid w:val="001F5070"/>
    <w:rsid w:val="001F5519"/>
    <w:rsid w:val="001F5612"/>
    <w:rsid w:val="001F572E"/>
    <w:rsid w:val="001F5732"/>
    <w:rsid w:val="001F5CC8"/>
    <w:rsid w:val="001F5ECD"/>
    <w:rsid w:val="001F5EE8"/>
    <w:rsid w:val="001F6102"/>
    <w:rsid w:val="001F6231"/>
    <w:rsid w:val="001F64A6"/>
    <w:rsid w:val="001F6786"/>
    <w:rsid w:val="001F6876"/>
    <w:rsid w:val="001F68A0"/>
    <w:rsid w:val="001F6D0A"/>
    <w:rsid w:val="001F70FE"/>
    <w:rsid w:val="001F7173"/>
    <w:rsid w:val="001F7301"/>
    <w:rsid w:val="001F74A0"/>
    <w:rsid w:val="001F777A"/>
    <w:rsid w:val="001F7901"/>
    <w:rsid w:val="001F7A64"/>
    <w:rsid w:val="001F7D58"/>
    <w:rsid w:val="001F7EAF"/>
    <w:rsid w:val="001F7EED"/>
    <w:rsid w:val="00200728"/>
    <w:rsid w:val="00200788"/>
    <w:rsid w:val="00200B2A"/>
    <w:rsid w:val="00200C8E"/>
    <w:rsid w:val="00200E5E"/>
    <w:rsid w:val="0020155B"/>
    <w:rsid w:val="00201B31"/>
    <w:rsid w:val="00201C3F"/>
    <w:rsid w:val="002021F2"/>
    <w:rsid w:val="00202306"/>
    <w:rsid w:val="0020232C"/>
    <w:rsid w:val="002023F3"/>
    <w:rsid w:val="002025EB"/>
    <w:rsid w:val="0020279C"/>
    <w:rsid w:val="00202C0D"/>
    <w:rsid w:val="00202D39"/>
    <w:rsid w:val="00203495"/>
    <w:rsid w:val="002035FA"/>
    <w:rsid w:val="0020360A"/>
    <w:rsid w:val="002036B9"/>
    <w:rsid w:val="00203925"/>
    <w:rsid w:val="00203A04"/>
    <w:rsid w:val="00203DBB"/>
    <w:rsid w:val="002041C0"/>
    <w:rsid w:val="002043B7"/>
    <w:rsid w:val="002047CD"/>
    <w:rsid w:val="002048F0"/>
    <w:rsid w:val="00204922"/>
    <w:rsid w:val="00204980"/>
    <w:rsid w:val="00204BB0"/>
    <w:rsid w:val="00204BD3"/>
    <w:rsid w:val="00204DF7"/>
    <w:rsid w:val="0020507E"/>
    <w:rsid w:val="002052A7"/>
    <w:rsid w:val="002052E5"/>
    <w:rsid w:val="00205350"/>
    <w:rsid w:val="002057D0"/>
    <w:rsid w:val="00205A5F"/>
    <w:rsid w:val="00205BD2"/>
    <w:rsid w:val="002062E5"/>
    <w:rsid w:val="002063DB"/>
    <w:rsid w:val="00206500"/>
    <w:rsid w:val="0020676C"/>
    <w:rsid w:val="00206977"/>
    <w:rsid w:val="00206AC7"/>
    <w:rsid w:val="00206B09"/>
    <w:rsid w:val="00206BA2"/>
    <w:rsid w:val="00206D90"/>
    <w:rsid w:val="00206E62"/>
    <w:rsid w:val="00206F22"/>
    <w:rsid w:val="0020712F"/>
    <w:rsid w:val="0020723E"/>
    <w:rsid w:val="00207247"/>
    <w:rsid w:val="0020737B"/>
    <w:rsid w:val="0020738A"/>
    <w:rsid w:val="00207634"/>
    <w:rsid w:val="0020775B"/>
    <w:rsid w:val="00207D59"/>
    <w:rsid w:val="00207FB3"/>
    <w:rsid w:val="00210028"/>
    <w:rsid w:val="002103C9"/>
    <w:rsid w:val="00210754"/>
    <w:rsid w:val="00210777"/>
    <w:rsid w:val="00210961"/>
    <w:rsid w:val="00210C1A"/>
    <w:rsid w:val="00210EA0"/>
    <w:rsid w:val="0021102A"/>
    <w:rsid w:val="002110F1"/>
    <w:rsid w:val="0021111B"/>
    <w:rsid w:val="0021128C"/>
    <w:rsid w:val="00211560"/>
    <w:rsid w:val="002116A6"/>
    <w:rsid w:val="002116C4"/>
    <w:rsid w:val="00211834"/>
    <w:rsid w:val="00211B6A"/>
    <w:rsid w:val="00211DF9"/>
    <w:rsid w:val="00211E05"/>
    <w:rsid w:val="002121E1"/>
    <w:rsid w:val="002122E8"/>
    <w:rsid w:val="0021246F"/>
    <w:rsid w:val="00212595"/>
    <w:rsid w:val="0021265F"/>
    <w:rsid w:val="002126C6"/>
    <w:rsid w:val="00212CC4"/>
    <w:rsid w:val="00212D07"/>
    <w:rsid w:val="00212D1E"/>
    <w:rsid w:val="00212DC1"/>
    <w:rsid w:val="00212F34"/>
    <w:rsid w:val="00213459"/>
    <w:rsid w:val="0021351D"/>
    <w:rsid w:val="00213A76"/>
    <w:rsid w:val="00213B18"/>
    <w:rsid w:val="00213BD5"/>
    <w:rsid w:val="00213D03"/>
    <w:rsid w:val="00213D55"/>
    <w:rsid w:val="00213FB6"/>
    <w:rsid w:val="00214041"/>
    <w:rsid w:val="00214291"/>
    <w:rsid w:val="0021468D"/>
    <w:rsid w:val="0021472B"/>
    <w:rsid w:val="00214863"/>
    <w:rsid w:val="00214B16"/>
    <w:rsid w:val="00214CD4"/>
    <w:rsid w:val="00214F07"/>
    <w:rsid w:val="00214FB3"/>
    <w:rsid w:val="0021512B"/>
    <w:rsid w:val="002154BC"/>
    <w:rsid w:val="002157A1"/>
    <w:rsid w:val="002157CE"/>
    <w:rsid w:val="002159AD"/>
    <w:rsid w:val="00215A3A"/>
    <w:rsid w:val="00215C66"/>
    <w:rsid w:val="00216294"/>
    <w:rsid w:val="0021633F"/>
    <w:rsid w:val="002165B2"/>
    <w:rsid w:val="00216CCB"/>
    <w:rsid w:val="00216DBA"/>
    <w:rsid w:val="0021700D"/>
    <w:rsid w:val="002177A4"/>
    <w:rsid w:val="00217869"/>
    <w:rsid w:val="00217A07"/>
    <w:rsid w:val="00217D0C"/>
    <w:rsid w:val="00217E0C"/>
    <w:rsid w:val="00217F0F"/>
    <w:rsid w:val="0022019D"/>
    <w:rsid w:val="002203DB"/>
    <w:rsid w:val="002204C7"/>
    <w:rsid w:val="0022051A"/>
    <w:rsid w:val="00220522"/>
    <w:rsid w:val="00220689"/>
    <w:rsid w:val="002207F6"/>
    <w:rsid w:val="002208AD"/>
    <w:rsid w:val="002208BF"/>
    <w:rsid w:val="002208D8"/>
    <w:rsid w:val="002208EB"/>
    <w:rsid w:val="00220E6C"/>
    <w:rsid w:val="00221034"/>
    <w:rsid w:val="00221090"/>
    <w:rsid w:val="00221488"/>
    <w:rsid w:val="00221612"/>
    <w:rsid w:val="00221766"/>
    <w:rsid w:val="002219A9"/>
    <w:rsid w:val="002219EB"/>
    <w:rsid w:val="00221E19"/>
    <w:rsid w:val="00221E45"/>
    <w:rsid w:val="00222158"/>
    <w:rsid w:val="00222267"/>
    <w:rsid w:val="002223FC"/>
    <w:rsid w:val="00222603"/>
    <w:rsid w:val="0022279A"/>
    <w:rsid w:val="002228F8"/>
    <w:rsid w:val="002231B3"/>
    <w:rsid w:val="002235CC"/>
    <w:rsid w:val="002236B3"/>
    <w:rsid w:val="00223997"/>
    <w:rsid w:val="00223AAA"/>
    <w:rsid w:val="00223BF5"/>
    <w:rsid w:val="00223D31"/>
    <w:rsid w:val="00223F10"/>
    <w:rsid w:val="00224097"/>
    <w:rsid w:val="002243AA"/>
    <w:rsid w:val="002243B6"/>
    <w:rsid w:val="002243F2"/>
    <w:rsid w:val="002245BF"/>
    <w:rsid w:val="002245FE"/>
    <w:rsid w:val="002248F0"/>
    <w:rsid w:val="002249CC"/>
    <w:rsid w:val="00224A3C"/>
    <w:rsid w:val="00224E0E"/>
    <w:rsid w:val="00225011"/>
    <w:rsid w:val="002253F9"/>
    <w:rsid w:val="002254E8"/>
    <w:rsid w:val="00225883"/>
    <w:rsid w:val="00225C65"/>
    <w:rsid w:val="00225C68"/>
    <w:rsid w:val="00225DE9"/>
    <w:rsid w:val="00225E21"/>
    <w:rsid w:val="00225E32"/>
    <w:rsid w:val="002262AD"/>
    <w:rsid w:val="0022668A"/>
    <w:rsid w:val="00226696"/>
    <w:rsid w:val="00226762"/>
    <w:rsid w:val="002269FC"/>
    <w:rsid w:val="00226A76"/>
    <w:rsid w:val="00226A7B"/>
    <w:rsid w:val="00226C1B"/>
    <w:rsid w:val="00226D4F"/>
    <w:rsid w:val="00226D53"/>
    <w:rsid w:val="00226E9E"/>
    <w:rsid w:val="00227233"/>
    <w:rsid w:val="00227869"/>
    <w:rsid w:val="00227B46"/>
    <w:rsid w:val="00230033"/>
    <w:rsid w:val="00230212"/>
    <w:rsid w:val="0023037C"/>
    <w:rsid w:val="0023038A"/>
    <w:rsid w:val="002303FA"/>
    <w:rsid w:val="002304CD"/>
    <w:rsid w:val="002306C2"/>
    <w:rsid w:val="002308EE"/>
    <w:rsid w:val="00230C85"/>
    <w:rsid w:val="00230CC5"/>
    <w:rsid w:val="00230DC5"/>
    <w:rsid w:val="00231D86"/>
    <w:rsid w:val="00232056"/>
    <w:rsid w:val="00232104"/>
    <w:rsid w:val="00232141"/>
    <w:rsid w:val="00232372"/>
    <w:rsid w:val="002324C2"/>
    <w:rsid w:val="00232511"/>
    <w:rsid w:val="00232757"/>
    <w:rsid w:val="00232BD9"/>
    <w:rsid w:val="00232E49"/>
    <w:rsid w:val="0023331D"/>
    <w:rsid w:val="00233392"/>
    <w:rsid w:val="00233B33"/>
    <w:rsid w:val="00233B67"/>
    <w:rsid w:val="00233FB9"/>
    <w:rsid w:val="002340EA"/>
    <w:rsid w:val="0023431C"/>
    <w:rsid w:val="00234836"/>
    <w:rsid w:val="00234A76"/>
    <w:rsid w:val="00234B5A"/>
    <w:rsid w:val="00234F34"/>
    <w:rsid w:val="0023510E"/>
    <w:rsid w:val="00235292"/>
    <w:rsid w:val="002353B5"/>
    <w:rsid w:val="00235500"/>
    <w:rsid w:val="00235837"/>
    <w:rsid w:val="00235A63"/>
    <w:rsid w:val="00235EF3"/>
    <w:rsid w:val="0023604A"/>
    <w:rsid w:val="0023624E"/>
    <w:rsid w:val="00236445"/>
    <w:rsid w:val="00236758"/>
    <w:rsid w:val="002367E5"/>
    <w:rsid w:val="0023691C"/>
    <w:rsid w:val="0023737A"/>
    <w:rsid w:val="0023783C"/>
    <w:rsid w:val="00237859"/>
    <w:rsid w:val="0023787B"/>
    <w:rsid w:val="00237B29"/>
    <w:rsid w:val="00237C20"/>
    <w:rsid w:val="00237CB1"/>
    <w:rsid w:val="00237D39"/>
    <w:rsid w:val="00237EAB"/>
    <w:rsid w:val="002401A0"/>
    <w:rsid w:val="00240293"/>
    <w:rsid w:val="0024042A"/>
    <w:rsid w:val="002405CE"/>
    <w:rsid w:val="00240A96"/>
    <w:rsid w:val="00240B13"/>
    <w:rsid w:val="00240CBD"/>
    <w:rsid w:val="00240D8C"/>
    <w:rsid w:val="00240DE7"/>
    <w:rsid w:val="002410D2"/>
    <w:rsid w:val="00241251"/>
    <w:rsid w:val="002413E3"/>
    <w:rsid w:val="0024158F"/>
    <w:rsid w:val="0024160B"/>
    <w:rsid w:val="0024186F"/>
    <w:rsid w:val="00241AD2"/>
    <w:rsid w:val="00242037"/>
    <w:rsid w:val="00242049"/>
    <w:rsid w:val="00242268"/>
    <w:rsid w:val="0024269F"/>
    <w:rsid w:val="00242B33"/>
    <w:rsid w:val="00242C12"/>
    <w:rsid w:val="0024348F"/>
    <w:rsid w:val="00243878"/>
    <w:rsid w:val="00243A87"/>
    <w:rsid w:val="00243B9C"/>
    <w:rsid w:val="00243DE0"/>
    <w:rsid w:val="00243DE4"/>
    <w:rsid w:val="00243E3F"/>
    <w:rsid w:val="00243EF7"/>
    <w:rsid w:val="0024412E"/>
    <w:rsid w:val="002445A0"/>
    <w:rsid w:val="00244855"/>
    <w:rsid w:val="00244B10"/>
    <w:rsid w:val="00244F2E"/>
    <w:rsid w:val="00245066"/>
    <w:rsid w:val="0024526D"/>
    <w:rsid w:val="0024533C"/>
    <w:rsid w:val="0024549E"/>
    <w:rsid w:val="00245810"/>
    <w:rsid w:val="00245B47"/>
    <w:rsid w:val="00245B8D"/>
    <w:rsid w:val="00245C19"/>
    <w:rsid w:val="00245CC9"/>
    <w:rsid w:val="00245E76"/>
    <w:rsid w:val="00245F72"/>
    <w:rsid w:val="00246243"/>
    <w:rsid w:val="00246534"/>
    <w:rsid w:val="0024681E"/>
    <w:rsid w:val="00246912"/>
    <w:rsid w:val="00246B29"/>
    <w:rsid w:val="00246CC3"/>
    <w:rsid w:val="00246EEF"/>
    <w:rsid w:val="00246EF6"/>
    <w:rsid w:val="00247B1A"/>
    <w:rsid w:val="00247B7E"/>
    <w:rsid w:val="0025043F"/>
    <w:rsid w:val="002509ED"/>
    <w:rsid w:val="00250A63"/>
    <w:rsid w:val="00250E5B"/>
    <w:rsid w:val="00250F5C"/>
    <w:rsid w:val="00250F5D"/>
    <w:rsid w:val="0025134E"/>
    <w:rsid w:val="00251383"/>
    <w:rsid w:val="00251441"/>
    <w:rsid w:val="002514AB"/>
    <w:rsid w:val="00251667"/>
    <w:rsid w:val="00251924"/>
    <w:rsid w:val="00251E4C"/>
    <w:rsid w:val="00251FDC"/>
    <w:rsid w:val="002520B3"/>
    <w:rsid w:val="002520D7"/>
    <w:rsid w:val="0025221B"/>
    <w:rsid w:val="00252854"/>
    <w:rsid w:val="002528BD"/>
    <w:rsid w:val="00252BAA"/>
    <w:rsid w:val="00252C51"/>
    <w:rsid w:val="00252CA3"/>
    <w:rsid w:val="00253102"/>
    <w:rsid w:val="00253175"/>
    <w:rsid w:val="00253281"/>
    <w:rsid w:val="002532A4"/>
    <w:rsid w:val="002532AB"/>
    <w:rsid w:val="002534BF"/>
    <w:rsid w:val="00253538"/>
    <w:rsid w:val="002535BE"/>
    <w:rsid w:val="0025376C"/>
    <w:rsid w:val="002538D0"/>
    <w:rsid w:val="002538FB"/>
    <w:rsid w:val="00253CBB"/>
    <w:rsid w:val="00253CBD"/>
    <w:rsid w:val="00253CCB"/>
    <w:rsid w:val="002545E2"/>
    <w:rsid w:val="002545F5"/>
    <w:rsid w:val="00254AA4"/>
    <w:rsid w:val="00254BA4"/>
    <w:rsid w:val="00254DE3"/>
    <w:rsid w:val="00254F02"/>
    <w:rsid w:val="0025525D"/>
    <w:rsid w:val="00255597"/>
    <w:rsid w:val="00255657"/>
    <w:rsid w:val="00255940"/>
    <w:rsid w:val="002559AA"/>
    <w:rsid w:val="00255A8D"/>
    <w:rsid w:val="00255AB1"/>
    <w:rsid w:val="00255B19"/>
    <w:rsid w:val="00255B50"/>
    <w:rsid w:val="00255C8F"/>
    <w:rsid w:val="00255C90"/>
    <w:rsid w:val="0025608A"/>
    <w:rsid w:val="002561E7"/>
    <w:rsid w:val="00256631"/>
    <w:rsid w:val="0025669B"/>
    <w:rsid w:val="002566B5"/>
    <w:rsid w:val="00256720"/>
    <w:rsid w:val="00256B7B"/>
    <w:rsid w:val="00256F85"/>
    <w:rsid w:val="002577FF"/>
    <w:rsid w:val="00257B17"/>
    <w:rsid w:val="00257D2B"/>
    <w:rsid w:val="00257D45"/>
    <w:rsid w:val="00257EB2"/>
    <w:rsid w:val="002600F8"/>
    <w:rsid w:val="002601BF"/>
    <w:rsid w:val="00260427"/>
    <w:rsid w:val="00260565"/>
    <w:rsid w:val="00260BE0"/>
    <w:rsid w:val="00260CFF"/>
    <w:rsid w:val="00260D19"/>
    <w:rsid w:val="00260E77"/>
    <w:rsid w:val="00260EFF"/>
    <w:rsid w:val="00261314"/>
    <w:rsid w:val="00261363"/>
    <w:rsid w:val="0026141B"/>
    <w:rsid w:val="002618AE"/>
    <w:rsid w:val="00261932"/>
    <w:rsid w:val="00261992"/>
    <w:rsid w:val="00261C43"/>
    <w:rsid w:val="00261CC6"/>
    <w:rsid w:val="00262887"/>
    <w:rsid w:val="0026306D"/>
    <w:rsid w:val="00263218"/>
    <w:rsid w:val="0026331A"/>
    <w:rsid w:val="00263455"/>
    <w:rsid w:val="002639C8"/>
    <w:rsid w:val="00263B02"/>
    <w:rsid w:val="00264477"/>
    <w:rsid w:val="00264A07"/>
    <w:rsid w:val="00264D27"/>
    <w:rsid w:val="00264E8E"/>
    <w:rsid w:val="002651FD"/>
    <w:rsid w:val="002652B8"/>
    <w:rsid w:val="002653F6"/>
    <w:rsid w:val="002657FE"/>
    <w:rsid w:val="002659EA"/>
    <w:rsid w:val="00265D51"/>
    <w:rsid w:val="00265E39"/>
    <w:rsid w:val="00265FB0"/>
    <w:rsid w:val="002661D9"/>
    <w:rsid w:val="00266385"/>
    <w:rsid w:val="002667E7"/>
    <w:rsid w:val="002668E2"/>
    <w:rsid w:val="00266A86"/>
    <w:rsid w:val="00267445"/>
    <w:rsid w:val="00267772"/>
    <w:rsid w:val="00267CC4"/>
    <w:rsid w:val="00267E8F"/>
    <w:rsid w:val="00267F99"/>
    <w:rsid w:val="002704C9"/>
    <w:rsid w:val="00270539"/>
    <w:rsid w:val="002705E4"/>
    <w:rsid w:val="0027063B"/>
    <w:rsid w:val="0027070D"/>
    <w:rsid w:val="00270A2F"/>
    <w:rsid w:val="00270BCB"/>
    <w:rsid w:val="00270E66"/>
    <w:rsid w:val="00270ED6"/>
    <w:rsid w:val="0027107D"/>
    <w:rsid w:val="0027126E"/>
    <w:rsid w:val="0027130C"/>
    <w:rsid w:val="00272097"/>
    <w:rsid w:val="0027218B"/>
    <w:rsid w:val="00272A48"/>
    <w:rsid w:val="00272B93"/>
    <w:rsid w:val="00272D61"/>
    <w:rsid w:val="00272D6D"/>
    <w:rsid w:val="00272E51"/>
    <w:rsid w:val="0027307B"/>
    <w:rsid w:val="00273257"/>
    <w:rsid w:val="002735A8"/>
    <w:rsid w:val="00273610"/>
    <w:rsid w:val="0027366C"/>
    <w:rsid w:val="002736F4"/>
    <w:rsid w:val="00273B34"/>
    <w:rsid w:val="00273BA9"/>
    <w:rsid w:val="00273F12"/>
    <w:rsid w:val="0027402B"/>
    <w:rsid w:val="00274505"/>
    <w:rsid w:val="002745D0"/>
    <w:rsid w:val="00274803"/>
    <w:rsid w:val="00275353"/>
    <w:rsid w:val="00275379"/>
    <w:rsid w:val="00275478"/>
    <w:rsid w:val="00275524"/>
    <w:rsid w:val="00275904"/>
    <w:rsid w:val="0027595C"/>
    <w:rsid w:val="0027596E"/>
    <w:rsid w:val="00275BDB"/>
    <w:rsid w:val="00275CE6"/>
    <w:rsid w:val="00275F7C"/>
    <w:rsid w:val="00276247"/>
    <w:rsid w:val="00276400"/>
    <w:rsid w:val="00276446"/>
    <w:rsid w:val="002766CD"/>
    <w:rsid w:val="00276B65"/>
    <w:rsid w:val="00276DE8"/>
    <w:rsid w:val="00277216"/>
    <w:rsid w:val="002777FE"/>
    <w:rsid w:val="00277A51"/>
    <w:rsid w:val="00277C06"/>
    <w:rsid w:val="00277FE4"/>
    <w:rsid w:val="00280083"/>
    <w:rsid w:val="00280120"/>
    <w:rsid w:val="002802BD"/>
    <w:rsid w:val="002803D8"/>
    <w:rsid w:val="002804C6"/>
    <w:rsid w:val="0028065B"/>
    <w:rsid w:val="00280963"/>
    <w:rsid w:val="00280A03"/>
    <w:rsid w:val="00280B71"/>
    <w:rsid w:val="00280E60"/>
    <w:rsid w:val="00280F76"/>
    <w:rsid w:val="00281274"/>
    <w:rsid w:val="002815D0"/>
    <w:rsid w:val="002818DA"/>
    <w:rsid w:val="00281943"/>
    <w:rsid w:val="00281C2B"/>
    <w:rsid w:val="00281C7A"/>
    <w:rsid w:val="00281FB3"/>
    <w:rsid w:val="002824B0"/>
    <w:rsid w:val="00282521"/>
    <w:rsid w:val="0028269A"/>
    <w:rsid w:val="002827EB"/>
    <w:rsid w:val="00282897"/>
    <w:rsid w:val="00282A49"/>
    <w:rsid w:val="00282DB1"/>
    <w:rsid w:val="00282E11"/>
    <w:rsid w:val="002831E9"/>
    <w:rsid w:val="002835BE"/>
    <w:rsid w:val="00283601"/>
    <w:rsid w:val="002836A8"/>
    <w:rsid w:val="00283761"/>
    <w:rsid w:val="00283DE4"/>
    <w:rsid w:val="00283F18"/>
    <w:rsid w:val="00284203"/>
    <w:rsid w:val="002847E3"/>
    <w:rsid w:val="002847F0"/>
    <w:rsid w:val="002851CC"/>
    <w:rsid w:val="00285220"/>
    <w:rsid w:val="002852F1"/>
    <w:rsid w:val="00285446"/>
    <w:rsid w:val="0028558E"/>
    <w:rsid w:val="002856D0"/>
    <w:rsid w:val="00285885"/>
    <w:rsid w:val="00285CB7"/>
    <w:rsid w:val="00285D9D"/>
    <w:rsid w:val="00285FC9"/>
    <w:rsid w:val="002860A1"/>
    <w:rsid w:val="00286348"/>
    <w:rsid w:val="002864CA"/>
    <w:rsid w:val="002865EA"/>
    <w:rsid w:val="0028664E"/>
    <w:rsid w:val="0028676E"/>
    <w:rsid w:val="002867A0"/>
    <w:rsid w:val="002867C0"/>
    <w:rsid w:val="002868FD"/>
    <w:rsid w:val="00286A9D"/>
    <w:rsid w:val="00286C88"/>
    <w:rsid w:val="00286EC8"/>
    <w:rsid w:val="00286F19"/>
    <w:rsid w:val="002871F8"/>
    <w:rsid w:val="00287508"/>
    <w:rsid w:val="00287898"/>
    <w:rsid w:val="00287AAC"/>
    <w:rsid w:val="00287EE9"/>
    <w:rsid w:val="002900BE"/>
    <w:rsid w:val="00290211"/>
    <w:rsid w:val="0029027E"/>
    <w:rsid w:val="002906F4"/>
    <w:rsid w:val="0029082F"/>
    <w:rsid w:val="0029089E"/>
    <w:rsid w:val="00290BE9"/>
    <w:rsid w:val="00290E08"/>
    <w:rsid w:val="00291037"/>
    <w:rsid w:val="00291164"/>
    <w:rsid w:val="00291717"/>
    <w:rsid w:val="00291853"/>
    <w:rsid w:val="002918D9"/>
    <w:rsid w:val="0029198A"/>
    <w:rsid w:val="00291D59"/>
    <w:rsid w:val="00291F3B"/>
    <w:rsid w:val="00291F70"/>
    <w:rsid w:val="0029232B"/>
    <w:rsid w:val="002923E0"/>
    <w:rsid w:val="002924BB"/>
    <w:rsid w:val="00292641"/>
    <w:rsid w:val="0029269F"/>
    <w:rsid w:val="00292CC6"/>
    <w:rsid w:val="00292E59"/>
    <w:rsid w:val="00292EB8"/>
    <w:rsid w:val="0029301D"/>
    <w:rsid w:val="00293204"/>
    <w:rsid w:val="00293219"/>
    <w:rsid w:val="002938B2"/>
    <w:rsid w:val="00293CA0"/>
    <w:rsid w:val="00293DC2"/>
    <w:rsid w:val="00294262"/>
    <w:rsid w:val="00294344"/>
    <w:rsid w:val="002945D5"/>
    <w:rsid w:val="00294629"/>
    <w:rsid w:val="00294CCF"/>
    <w:rsid w:val="00294D3F"/>
    <w:rsid w:val="00294E16"/>
    <w:rsid w:val="00294EED"/>
    <w:rsid w:val="0029527A"/>
    <w:rsid w:val="00295282"/>
    <w:rsid w:val="002953C6"/>
    <w:rsid w:val="002954AF"/>
    <w:rsid w:val="002955E9"/>
    <w:rsid w:val="00295662"/>
    <w:rsid w:val="00295683"/>
    <w:rsid w:val="00295827"/>
    <w:rsid w:val="002958CC"/>
    <w:rsid w:val="002958E4"/>
    <w:rsid w:val="00296262"/>
    <w:rsid w:val="00296772"/>
    <w:rsid w:val="00296796"/>
    <w:rsid w:val="00296903"/>
    <w:rsid w:val="00296B5C"/>
    <w:rsid w:val="00296C3E"/>
    <w:rsid w:val="00296FBD"/>
    <w:rsid w:val="0029722A"/>
    <w:rsid w:val="002973FC"/>
    <w:rsid w:val="00297667"/>
    <w:rsid w:val="002976BD"/>
    <w:rsid w:val="002977C9"/>
    <w:rsid w:val="002978C5"/>
    <w:rsid w:val="002A00F7"/>
    <w:rsid w:val="002A022B"/>
    <w:rsid w:val="002A0BCD"/>
    <w:rsid w:val="002A0C47"/>
    <w:rsid w:val="002A1016"/>
    <w:rsid w:val="002A1176"/>
    <w:rsid w:val="002A12DC"/>
    <w:rsid w:val="002A12E0"/>
    <w:rsid w:val="002A1325"/>
    <w:rsid w:val="002A1646"/>
    <w:rsid w:val="002A17AD"/>
    <w:rsid w:val="002A17BE"/>
    <w:rsid w:val="002A17CD"/>
    <w:rsid w:val="002A1813"/>
    <w:rsid w:val="002A188A"/>
    <w:rsid w:val="002A1913"/>
    <w:rsid w:val="002A1C04"/>
    <w:rsid w:val="002A2296"/>
    <w:rsid w:val="002A254A"/>
    <w:rsid w:val="002A259B"/>
    <w:rsid w:val="002A282A"/>
    <w:rsid w:val="002A28DA"/>
    <w:rsid w:val="002A2BEA"/>
    <w:rsid w:val="002A2ED8"/>
    <w:rsid w:val="002A30B4"/>
    <w:rsid w:val="002A3117"/>
    <w:rsid w:val="002A371A"/>
    <w:rsid w:val="002A37AD"/>
    <w:rsid w:val="002A3B86"/>
    <w:rsid w:val="002A3CA5"/>
    <w:rsid w:val="002A3FFC"/>
    <w:rsid w:val="002A40BD"/>
    <w:rsid w:val="002A43E2"/>
    <w:rsid w:val="002A45E5"/>
    <w:rsid w:val="002A4CDF"/>
    <w:rsid w:val="002A4E71"/>
    <w:rsid w:val="002A4FA1"/>
    <w:rsid w:val="002A52EA"/>
    <w:rsid w:val="002A5354"/>
    <w:rsid w:val="002A57FA"/>
    <w:rsid w:val="002A580F"/>
    <w:rsid w:val="002A5C11"/>
    <w:rsid w:val="002A5CC7"/>
    <w:rsid w:val="002A5D0C"/>
    <w:rsid w:val="002A6007"/>
    <w:rsid w:val="002A6718"/>
    <w:rsid w:val="002A6838"/>
    <w:rsid w:val="002A6CB2"/>
    <w:rsid w:val="002A6ED8"/>
    <w:rsid w:val="002A6F73"/>
    <w:rsid w:val="002A70FE"/>
    <w:rsid w:val="002A7438"/>
    <w:rsid w:val="002A751D"/>
    <w:rsid w:val="002A77C1"/>
    <w:rsid w:val="002A7C8F"/>
    <w:rsid w:val="002B003D"/>
    <w:rsid w:val="002B05F3"/>
    <w:rsid w:val="002B0830"/>
    <w:rsid w:val="002B0860"/>
    <w:rsid w:val="002B0EEC"/>
    <w:rsid w:val="002B0F99"/>
    <w:rsid w:val="002B1077"/>
    <w:rsid w:val="002B11B8"/>
    <w:rsid w:val="002B11E9"/>
    <w:rsid w:val="002B136F"/>
    <w:rsid w:val="002B138A"/>
    <w:rsid w:val="002B1935"/>
    <w:rsid w:val="002B1A2E"/>
    <w:rsid w:val="002B1A85"/>
    <w:rsid w:val="002B1C2B"/>
    <w:rsid w:val="002B20A3"/>
    <w:rsid w:val="002B21A6"/>
    <w:rsid w:val="002B2256"/>
    <w:rsid w:val="002B22A3"/>
    <w:rsid w:val="002B2471"/>
    <w:rsid w:val="002B2578"/>
    <w:rsid w:val="002B28F4"/>
    <w:rsid w:val="002B2C2E"/>
    <w:rsid w:val="002B2F33"/>
    <w:rsid w:val="002B2FA7"/>
    <w:rsid w:val="002B3318"/>
    <w:rsid w:val="002B336E"/>
    <w:rsid w:val="002B3444"/>
    <w:rsid w:val="002B35A8"/>
    <w:rsid w:val="002B37D5"/>
    <w:rsid w:val="002B3DFE"/>
    <w:rsid w:val="002B40ED"/>
    <w:rsid w:val="002B415D"/>
    <w:rsid w:val="002B433E"/>
    <w:rsid w:val="002B4A3E"/>
    <w:rsid w:val="002B4BB3"/>
    <w:rsid w:val="002B4BDD"/>
    <w:rsid w:val="002B4C96"/>
    <w:rsid w:val="002B4F5D"/>
    <w:rsid w:val="002B50FA"/>
    <w:rsid w:val="002B5677"/>
    <w:rsid w:val="002B59C6"/>
    <w:rsid w:val="002B5AD5"/>
    <w:rsid w:val="002B5B6D"/>
    <w:rsid w:val="002B5BD2"/>
    <w:rsid w:val="002B5E42"/>
    <w:rsid w:val="002B5F83"/>
    <w:rsid w:val="002B62B4"/>
    <w:rsid w:val="002B6301"/>
    <w:rsid w:val="002B6786"/>
    <w:rsid w:val="002B69CE"/>
    <w:rsid w:val="002B6CCC"/>
    <w:rsid w:val="002B6D61"/>
    <w:rsid w:val="002B6E15"/>
    <w:rsid w:val="002B6FC2"/>
    <w:rsid w:val="002B7308"/>
    <w:rsid w:val="002B7496"/>
    <w:rsid w:val="002B75DD"/>
    <w:rsid w:val="002B766C"/>
    <w:rsid w:val="002B772F"/>
    <w:rsid w:val="002B7810"/>
    <w:rsid w:val="002B786D"/>
    <w:rsid w:val="002B79BA"/>
    <w:rsid w:val="002B79C3"/>
    <w:rsid w:val="002B7CD3"/>
    <w:rsid w:val="002B7E52"/>
    <w:rsid w:val="002B7E6F"/>
    <w:rsid w:val="002C013A"/>
    <w:rsid w:val="002C09B0"/>
    <w:rsid w:val="002C0A32"/>
    <w:rsid w:val="002C0B28"/>
    <w:rsid w:val="002C0B39"/>
    <w:rsid w:val="002C0FCF"/>
    <w:rsid w:val="002C1048"/>
    <w:rsid w:val="002C10EE"/>
    <w:rsid w:val="002C13AE"/>
    <w:rsid w:val="002C1656"/>
    <w:rsid w:val="002C1DB1"/>
    <w:rsid w:val="002C1ECD"/>
    <w:rsid w:val="002C1FA5"/>
    <w:rsid w:val="002C206D"/>
    <w:rsid w:val="002C20DF"/>
    <w:rsid w:val="002C2133"/>
    <w:rsid w:val="002C22EC"/>
    <w:rsid w:val="002C23D2"/>
    <w:rsid w:val="002C2412"/>
    <w:rsid w:val="002C24B7"/>
    <w:rsid w:val="002C2776"/>
    <w:rsid w:val="002C2790"/>
    <w:rsid w:val="002C27A9"/>
    <w:rsid w:val="002C2BBA"/>
    <w:rsid w:val="002C2C04"/>
    <w:rsid w:val="002C2C21"/>
    <w:rsid w:val="002C2F19"/>
    <w:rsid w:val="002C30C0"/>
    <w:rsid w:val="002C3457"/>
    <w:rsid w:val="002C3AAE"/>
    <w:rsid w:val="002C3CC6"/>
    <w:rsid w:val="002C423D"/>
    <w:rsid w:val="002C4255"/>
    <w:rsid w:val="002C46DE"/>
    <w:rsid w:val="002C4BC9"/>
    <w:rsid w:val="002C4D1A"/>
    <w:rsid w:val="002C4D4C"/>
    <w:rsid w:val="002C5067"/>
    <w:rsid w:val="002C52CE"/>
    <w:rsid w:val="002C53D9"/>
    <w:rsid w:val="002C57FD"/>
    <w:rsid w:val="002C58CB"/>
    <w:rsid w:val="002C5C15"/>
    <w:rsid w:val="002C5D74"/>
    <w:rsid w:val="002C5D82"/>
    <w:rsid w:val="002C5EF9"/>
    <w:rsid w:val="002C5F20"/>
    <w:rsid w:val="002C5F40"/>
    <w:rsid w:val="002C60F3"/>
    <w:rsid w:val="002C6215"/>
    <w:rsid w:val="002C6248"/>
    <w:rsid w:val="002C629F"/>
    <w:rsid w:val="002C6724"/>
    <w:rsid w:val="002C6E78"/>
    <w:rsid w:val="002C6F94"/>
    <w:rsid w:val="002C766D"/>
    <w:rsid w:val="002C77EB"/>
    <w:rsid w:val="002C7839"/>
    <w:rsid w:val="002C7D76"/>
    <w:rsid w:val="002C7E38"/>
    <w:rsid w:val="002D003A"/>
    <w:rsid w:val="002D013F"/>
    <w:rsid w:val="002D0602"/>
    <w:rsid w:val="002D0786"/>
    <w:rsid w:val="002D07C6"/>
    <w:rsid w:val="002D0843"/>
    <w:rsid w:val="002D08F7"/>
    <w:rsid w:val="002D1074"/>
    <w:rsid w:val="002D10BB"/>
    <w:rsid w:val="002D10EA"/>
    <w:rsid w:val="002D1147"/>
    <w:rsid w:val="002D1761"/>
    <w:rsid w:val="002D19EA"/>
    <w:rsid w:val="002D1BBC"/>
    <w:rsid w:val="002D1C46"/>
    <w:rsid w:val="002D1C4D"/>
    <w:rsid w:val="002D1DF6"/>
    <w:rsid w:val="002D233C"/>
    <w:rsid w:val="002D2344"/>
    <w:rsid w:val="002D2361"/>
    <w:rsid w:val="002D2424"/>
    <w:rsid w:val="002D242F"/>
    <w:rsid w:val="002D33BE"/>
    <w:rsid w:val="002D37E9"/>
    <w:rsid w:val="002D38F5"/>
    <w:rsid w:val="002D3CC4"/>
    <w:rsid w:val="002D3E0B"/>
    <w:rsid w:val="002D4003"/>
    <w:rsid w:val="002D4018"/>
    <w:rsid w:val="002D401C"/>
    <w:rsid w:val="002D4337"/>
    <w:rsid w:val="002D45A4"/>
    <w:rsid w:val="002D4829"/>
    <w:rsid w:val="002D4C17"/>
    <w:rsid w:val="002D4F8A"/>
    <w:rsid w:val="002D516B"/>
    <w:rsid w:val="002D51FE"/>
    <w:rsid w:val="002D53AC"/>
    <w:rsid w:val="002D5497"/>
    <w:rsid w:val="002D58F2"/>
    <w:rsid w:val="002D596F"/>
    <w:rsid w:val="002D5B60"/>
    <w:rsid w:val="002D5DC7"/>
    <w:rsid w:val="002D5DE2"/>
    <w:rsid w:val="002D6018"/>
    <w:rsid w:val="002D6074"/>
    <w:rsid w:val="002D61E0"/>
    <w:rsid w:val="002D63CA"/>
    <w:rsid w:val="002D662E"/>
    <w:rsid w:val="002D6770"/>
    <w:rsid w:val="002D6B63"/>
    <w:rsid w:val="002D6DEC"/>
    <w:rsid w:val="002D6DF1"/>
    <w:rsid w:val="002D6EA6"/>
    <w:rsid w:val="002D6F42"/>
    <w:rsid w:val="002D761D"/>
    <w:rsid w:val="002D76A6"/>
    <w:rsid w:val="002D796D"/>
    <w:rsid w:val="002D7CE2"/>
    <w:rsid w:val="002D7D5A"/>
    <w:rsid w:val="002E0252"/>
    <w:rsid w:val="002E0324"/>
    <w:rsid w:val="002E0959"/>
    <w:rsid w:val="002E108B"/>
    <w:rsid w:val="002E11BB"/>
    <w:rsid w:val="002E1406"/>
    <w:rsid w:val="002E166C"/>
    <w:rsid w:val="002E1788"/>
    <w:rsid w:val="002E1799"/>
    <w:rsid w:val="002E18B3"/>
    <w:rsid w:val="002E1A06"/>
    <w:rsid w:val="002E1C99"/>
    <w:rsid w:val="002E1F01"/>
    <w:rsid w:val="002E2249"/>
    <w:rsid w:val="002E231D"/>
    <w:rsid w:val="002E273A"/>
    <w:rsid w:val="002E2E61"/>
    <w:rsid w:val="002E2E7D"/>
    <w:rsid w:val="002E3367"/>
    <w:rsid w:val="002E39E0"/>
    <w:rsid w:val="002E3A11"/>
    <w:rsid w:val="002E3B87"/>
    <w:rsid w:val="002E3D7F"/>
    <w:rsid w:val="002E3D8F"/>
    <w:rsid w:val="002E4491"/>
    <w:rsid w:val="002E449E"/>
    <w:rsid w:val="002E4B06"/>
    <w:rsid w:val="002E4F61"/>
    <w:rsid w:val="002E50D9"/>
    <w:rsid w:val="002E50E4"/>
    <w:rsid w:val="002E53E6"/>
    <w:rsid w:val="002E53F8"/>
    <w:rsid w:val="002E5748"/>
    <w:rsid w:val="002E58E2"/>
    <w:rsid w:val="002E5993"/>
    <w:rsid w:val="002E5A8B"/>
    <w:rsid w:val="002E5B04"/>
    <w:rsid w:val="002E5B68"/>
    <w:rsid w:val="002E5B74"/>
    <w:rsid w:val="002E5B98"/>
    <w:rsid w:val="002E6676"/>
    <w:rsid w:val="002E69A6"/>
    <w:rsid w:val="002E6BBE"/>
    <w:rsid w:val="002E6C76"/>
    <w:rsid w:val="002E6CEF"/>
    <w:rsid w:val="002E6E63"/>
    <w:rsid w:val="002E756F"/>
    <w:rsid w:val="002E7887"/>
    <w:rsid w:val="002E7F51"/>
    <w:rsid w:val="002F006B"/>
    <w:rsid w:val="002F0070"/>
    <w:rsid w:val="002F010C"/>
    <w:rsid w:val="002F032F"/>
    <w:rsid w:val="002F0335"/>
    <w:rsid w:val="002F03BE"/>
    <w:rsid w:val="002F0827"/>
    <w:rsid w:val="002F0889"/>
    <w:rsid w:val="002F09BA"/>
    <w:rsid w:val="002F0A31"/>
    <w:rsid w:val="002F0AC8"/>
    <w:rsid w:val="002F0D2A"/>
    <w:rsid w:val="002F0D5F"/>
    <w:rsid w:val="002F0DFF"/>
    <w:rsid w:val="002F0F2B"/>
    <w:rsid w:val="002F1091"/>
    <w:rsid w:val="002F126B"/>
    <w:rsid w:val="002F14FF"/>
    <w:rsid w:val="002F1C8A"/>
    <w:rsid w:val="002F1D6E"/>
    <w:rsid w:val="002F1FAB"/>
    <w:rsid w:val="002F20B0"/>
    <w:rsid w:val="002F2438"/>
    <w:rsid w:val="002F276E"/>
    <w:rsid w:val="002F282A"/>
    <w:rsid w:val="002F287C"/>
    <w:rsid w:val="002F2BB9"/>
    <w:rsid w:val="002F2F55"/>
    <w:rsid w:val="002F3075"/>
    <w:rsid w:val="002F33CC"/>
    <w:rsid w:val="002F3973"/>
    <w:rsid w:val="002F3C28"/>
    <w:rsid w:val="002F431A"/>
    <w:rsid w:val="002F44DD"/>
    <w:rsid w:val="002F4644"/>
    <w:rsid w:val="002F49AB"/>
    <w:rsid w:val="002F4A9A"/>
    <w:rsid w:val="002F4C6E"/>
    <w:rsid w:val="002F4DAB"/>
    <w:rsid w:val="002F4ED1"/>
    <w:rsid w:val="002F4F13"/>
    <w:rsid w:val="002F524C"/>
    <w:rsid w:val="002F53AB"/>
    <w:rsid w:val="002F5629"/>
    <w:rsid w:val="002F584C"/>
    <w:rsid w:val="002F58B0"/>
    <w:rsid w:val="002F5A20"/>
    <w:rsid w:val="002F5BAC"/>
    <w:rsid w:val="002F5CCC"/>
    <w:rsid w:val="002F5E0B"/>
    <w:rsid w:val="002F5E47"/>
    <w:rsid w:val="002F6011"/>
    <w:rsid w:val="002F6393"/>
    <w:rsid w:val="002F64E8"/>
    <w:rsid w:val="002F6784"/>
    <w:rsid w:val="002F68CD"/>
    <w:rsid w:val="002F69CC"/>
    <w:rsid w:val="002F6FC4"/>
    <w:rsid w:val="002F786F"/>
    <w:rsid w:val="002F7B3F"/>
    <w:rsid w:val="002F7C90"/>
    <w:rsid w:val="002F7E38"/>
    <w:rsid w:val="00300016"/>
    <w:rsid w:val="003000AD"/>
    <w:rsid w:val="00300105"/>
    <w:rsid w:val="00300124"/>
    <w:rsid w:val="00300519"/>
    <w:rsid w:val="003005C0"/>
    <w:rsid w:val="00300658"/>
    <w:rsid w:val="003007B3"/>
    <w:rsid w:val="003007C6"/>
    <w:rsid w:val="00300802"/>
    <w:rsid w:val="00300855"/>
    <w:rsid w:val="00300967"/>
    <w:rsid w:val="00300A1D"/>
    <w:rsid w:val="00300A4B"/>
    <w:rsid w:val="00300A9A"/>
    <w:rsid w:val="00300AF9"/>
    <w:rsid w:val="00300C55"/>
    <w:rsid w:val="00300CE3"/>
    <w:rsid w:val="00301003"/>
    <w:rsid w:val="00301075"/>
    <w:rsid w:val="003010FB"/>
    <w:rsid w:val="00301D59"/>
    <w:rsid w:val="00301F1C"/>
    <w:rsid w:val="00301F9A"/>
    <w:rsid w:val="00302072"/>
    <w:rsid w:val="003023B7"/>
    <w:rsid w:val="003028C8"/>
    <w:rsid w:val="00302AB6"/>
    <w:rsid w:val="00302BD9"/>
    <w:rsid w:val="00302D38"/>
    <w:rsid w:val="00302D7A"/>
    <w:rsid w:val="00303046"/>
    <w:rsid w:val="0030313A"/>
    <w:rsid w:val="0030389B"/>
    <w:rsid w:val="0030399C"/>
    <w:rsid w:val="00303A56"/>
    <w:rsid w:val="00303B32"/>
    <w:rsid w:val="00303C77"/>
    <w:rsid w:val="00303DE6"/>
    <w:rsid w:val="00303F0A"/>
    <w:rsid w:val="00303F12"/>
    <w:rsid w:val="00304015"/>
    <w:rsid w:val="003040D2"/>
    <w:rsid w:val="0030432F"/>
    <w:rsid w:val="003043D4"/>
    <w:rsid w:val="00304426"/>
    <w:rsid w:val="0030446D"/>
    <w:rsid w:val="003045FE"/>
    <w:rsid w:val="00304723"/>
    <w:rsid w:val="00304A30"/>
    <w:rsid w:val="00304A9B"/>
    <w:rsid w:val="00304C8A"/>
    <w:rsid w:val="00304D3D"/>
    <w:rsid w:val="00305120"/>
    <w:rsid w:val="00305235"/>
    <w:rsid w:val="003052ED"/>
    <w:rsid w:val="003056F9"/>
    <w:rsid w:val="00305749"/>
    <w:rsid w:val="00305944"/>
    <w:rsid w:val="00305B11"/>
    <w:rsid w:val="00305C55"/>
    <w:rsid w:val="00305DBA"/>
    <w:rsid w:val="0030616E"/>
    <w:rsid w:val="003063D0"/>
    <w:rsid w:val="00306493"/>
    <w:rsid w:val="0030668E"/>
    <w:rsid w:val="003066D9"/>
    <w:rsid w:val="0030683F"/>
    <w:rsid w:val="00306A2F"/>
    <w:rsid w:val="00306C95"/>
    <w:rsid w:val="00306DEE"/>
    <w:rsid w:val="00306E88"/>
    <w:rsid w:val="00306F2E"/>
    <w:rsid w:val="0030725B"/>
    <w:rsid w:val="003073D8"/>
    <w:rsid w:val="0030765F"/>
    <w:rsid w:val="003076B9"/>
    <w:rsid w:val="003079A6"/>
    <w:rsid w:val="00307BB2"/>
    <w:rsid w:val="00307BC0"/>
    <w:rsid w:val="00307C12"/>
    <w:rsid w:val="00307CBD"/>
    <w:rsid w:val="00307DA1"/>
    <w:rsid w:val="00307DD2"/>
    <w:rsid w:val="00307E89"/>
    <w:rsid w:val="00307F35"/>
    <w:rsid w:val="003107C5"/>
    <w:rsid w:val="0031083F"/>
    <w:rsid w:val="00310A5C"/>
    <w:rsid w:val="00310BD3"/>
    <w:rsid w:val="00311007"/>
    <w:rsid w:val="003110A0"/>
    <w:rsid w:val="00311258"/>
    <w:rsid w:val="00311335"/>
    <w:rsid w:val="0031134A"/>
    <w:rsid w:val="00311403"/>
    <w:rsid w:val="003117D2"/>
    <w:rsid w:val="00311913"/>
    <w:rsid w:val="00311C54"/>
    <w:rsid w:val="00311CAC"/>
    <w:rsid w:val="003123E2"/>
    <w:rsid w:val="00312448"/>
    <w:rsid w:val="00312729"/>
    <w:rsid w:val="00312881"/>
    <w:rsid w:val="0031290B"/>
    <w:rsid w:val="00312ADC"/>
    <w:rsid w:val="0031321A"/>
    <w:rsid w:val="0031328A"/>
    <w:rsid w:val="0031329A"/>
    <w:rsid w:val="003134D3"/>
    <w:rsid w:val="003135D4"/>
    <w:rsid w:val="00314180"/>
    <w:rsid w:val="0031418C"/>
    <w:rsid w:val="00314373"/>
    <w:rsid w:val="003144C7"/>
    <w:rsid w:val="003146B8"/>
    <w:rsid w:val="00314989"/>
    <w:rsid w:val="00314A74"/>
    <w:rsid w:val="00314B16"/>
    <w:rsid w:val="00314BB7"/>
    <w:rsid w:val="00314C83"/>
    <w:rsid w:val="00315023"/>
    <w:rsid w:val="003154BC"/>
    <w:rsid w:val="00315698"/>
    <w:rsid w:val="00315B8B"/>
    <w:rsid w:val="00315D3E"/>
    <w:rsid w:val="00315EE4"/>
    <w:rsid w:val="0031659A"/>
    <w:rsid w:val="00316C24"/>
    <w:rsid w:val="00316E4C"/>
    <w:rsid w:val="00316E94"/>
    <w:rsid w:val="00316ED0"/>
    <w:rsid w:val="0031756B"/>
    <w:rsid w:val="003179E1"/>
    <w:rsid w:val="003179EF"/>
    <w:rsid w:val="00317A10"/>
    <w:rsid w:val="00317A49"/>
    <w:rsid w:val="00317C4A"/>
    <w:rsid w:val="00317C79"/>
    <w:rsid w:val="00317EC0"/>
    <w:rsid w:val="00317EC7"/>
    <w:rsid w:val="00317F05"/>
    <w:rsid w:val="00317FC0"/>
    <w:rsid w:val="0032015C"/>
    <w:rsid w:val="00320224"/>
    <w:rsid w:val="003205FD"/>
    <w:rsid w:val="003206A4"/>
    <w:rsid w:val="003207C4"/>
    <w:rsid w:val="00320807"/>
    <w:rsid w:val="00320A4A"/>
    <w:rsid w:val="00320E62"/>
    <w:rsid w:val="00320ECE"/>
    <w:rsid w:val="00320F18"/>
    <w:rsid w:val="0032108C"/>
    <w:rsid w:val="00321158"/>
    <w:rsid w:val="003211A9"/>
    <w:rsid w:val="003212A9"/>
    <w:rsid w:val="0032145C"/>
    <w:rsid w:val="0032149D"/>
    <w:rsid w:val="003217F2"/>
    <w:rsid w:val="003219E4"/>
    <w:rsid w:val="0032213D"/>
    <w:rsid w:val="00322447"/>
    <w:rsid w:val="00322622"/>
    <w:rsid w:val="003226BB"/>
    <w:rsid w:val="003230BB"/>
    <w:rsid w:val="00323986"/>
    <w:rsid w:val="00323CBE"/>
    <w:rsid w:val="00323D3D"/>
    <w:rsid w:val="00323E62"/>
    <w:rsid w:val="003240E5"/>
    <w:rsid w:val="003241C3"/>
    <w:rsid w:val="003241DD"/>
    <w:rsid w:val="00324512"/>
    <w:rsid w:val="003249D9"/>
    <w:rsid w:val="00324AC2"/>
    <w:rsid w:val="00324F0B"/>
    <w:rsid w:val="00325061"/>
    <w:rsid w:val="00325A81"/>
    <w:rsid w:val="00325EB5"/>
    <w:rsid w:val="00325ED8"/>
    <w:rsid w:val="00325EE9"/>
    <w:rsid w:val="00325EF9"/>
    <w:rsid w:val="00325F3E"/>
    <w:rsid w:val="00325F8B"/>
    <w:rsid w:val="00326116"/>
    <w:rsid w:val="00326206"/>
    <w:rsid w:val="00326474"/>
    <w:rsid w:val="0032697C"/>
    <w:rsid w:val="00326BAB"/>
    <w:rsid w:val="00326DD1"/>
    <w:rsid w:val="0032722C"/>
    <w:rsid w:val="0032749D"/>
    <w:rsid w:val="00327775"/>
    <w:rsid w:val="00327820"/>
    <w:rsid w:val="00327C71"/>
    <w:rsid w:val="0033047D"/>
    <w:rsid w:val="003304EA"/>
    <w:rsid w:val="00330974"/>
    <w:rsid w:val="00330BEB"/>
    <w:rsid w:val="00330DB1"/>
    <w:rsid w:val="0033101B"/>
    <w:rsid w:val="00331166"/>
    <w:rsid w:val="003313BA"/>
    <w:rsid w:val="0033146B"/>
    <w:rsid w:val="00331483"/>
    <w:rsid w:val="00331491"/>
    <w:rsid w:val="00331E6F"/>
    <w:rsid w:val="00331ECF"/>
    <w:rsid w:val="00331FB9"/>
    <w:rsid w:val="00331FBD"/>
    <w:rsid w:val="003320BF"/>
    <w:rsid w:val="00332450"/>
    <w:rsid w:val="0033255C"/>
    <w:rsid w:val="00332831"/>
    <w:rsid w:val="00332BC6"/>
    <w:rsid w:val="00332FEB"/>
    <w:rsid w:val="0033315E"/>
    <w:rsid w:val="00333198"/>
    <w:rsid w:val="00333385"/>
    <w:rsid w:val="0033356D"/>
    <w:rsid w:val="00333776"/>
    <w:rsid w:val="00333A87"/>
    <w:rsid w:val="00333C26"/>
    <w:rsid w:val="00333F0A"/>
    <w:rsid w:val="0033405C"/>
    <w:rsid w:val="00334207"/>
    <w:rsid w:val="003348CA"/>
    <w:rsid w:val="0033497B"/>
    <w:rsid w:val="00334BE9"/>
    <w:rsid w:val="00334CE5"/>
    <w:rsid w:val="00334E17"/>
    <w:rsid w:val="00334E55"/>
    <w:rsid w:val="00334FC3"/>
    <w:rsid w:val="00334FC7"/>
    <w:rsid w:val="00335297"/>
    <w:rsid w:val="0033532D"/>
    <w:rsid w:val="00335371"/>
    <w:rsid w:val="003353AF"/>
    <w:rsid w:val="0033577B"/>
    <w:rsid w:val="0033582A"/>
    <w:rsid w:val="00335A9F"/>
    <w:rsid w:val="00335D41"/>
    <w:rsid w:val="00335E5E"/>
    <w:rsid w:val="00336185"/>
    <w:rsid w:val="003364B2"/>
    <w:rsid w:val="003368F8"/>
    <w:rsid w:val="003370BA"/>
    <w:rsid w:val="00337443"/>
    <w:rsid w:val="003374DC"/>
    <w:rsid w:val="003375C2"/>
    <w:rsid w:val="003376AC"/>
    <w:rsid w:val="0033786E"/>
    <w:rsid w:val="00337908"/>
    <w:rsid w:val="00337A36"/>
    <w:rsid w:val="00337BB5"/>
    <w:rsid w:val="00337BBC"/>
    <w:rsid w:val="003400C3"/>
    <w:rsid w:val="00340158"/>
    <w:rsid w:val="003403DA"/>
    <w:rsid w:val="00340499"/>
    <w:rsid w:val="00340567"/>
    <w:rsid w:val="003405DA"/>
    <w:rsid w:val="00340632"/>
    <w:rsid w:val="003407A7"/>
    <w:rsid w:val="00340BD2"/>
    <w:rsid w:val="00340C4E"/>
    <w:rsid w:val="00341125"/>
    <w:rsid w:val="003412B4"/>
    <w:rsid w:val="003413B6"/>
    <w:rsid w:val="003415AD"/>
    <w:rsid w:val="00341858"/>
    <w:rsid w:val="00341B4B"/>
    <w:rsid w:val="00341CFC"/>
    <w:rsid w:val="00341DB0"/>
    <w:rsid w:val="00341FC0"/>
    <w:rsid w:val="00342893"/>
    <w:rsid w:val="00342F83"/>
    <w:rsid w:val="00342FD9"/>
    <w:rsid w:val="0034314E"/>
    <w:rsid w:val="0034331B"/>
    <w:rsid w:val="0034349B"/>
    <w:rsid w:val="00343776"/>
    <w:rsid w:val="0034389B"/>
    <w:rsid w:val="003439A1"/>
    <w:rsid w:val="0034403B"/>
    <w:rsid w:val="0034451A"/>
    <w:rsid w:val="0034451D"/>
    <w:rsid w:val="00344591"/>
    <w:rsid w:val="00344DFE"/>
    <w:rsid w:val="00344E6A"/>
    <w:rsid w:val="00345212"/>
    <w:rsid w:val="00345293"/>
    <w:rsid w:val="0034535C"/>
    <w:rsid w:val="003456BB"/>
    <w:rsid w:val="00345755"/>
    <w:rsid w:val="003457F4"/>
    <w:rsid w:val="00345B50"/>
    <w:rsid w:val="00345C70"/>
    <w:rsid w:val="00345D15"/>
    <w:rsid w:val="00345D6C"/>
    <w:rsid w:val="00345E8E"/>
    <w:rsid w:val="00345E9B"/>
    <w:rsid w:val="00345F1C"/>
    <w:rsid w:val="00345FF9"/>
    <w:rsid w:val="003461BA"/>
    <w:rsid w:val="0034629A"/>
    <w:rsid w:val="00346884"/>
    <w:rsid w:val="00346886"/>
    <w:rsid w:val="00346B93"/>
    <w:rsid w:val="00346F15"/>
    <w:rsid w:val="0034701F"/>
    <w:rsid w:val="00347347"/>
    <w:rsid w:val="00347583"/>
    <w:rsid w:val="003475C8"/>
    <w:rsid w:val="00347605"/>
    <w:rsid w:val="003477C3"/>
    <w:rsid w:val="00347870"/>
    <w:rsid w:val="00347D68"/>
    <w:rsid w:val="00347EBB"/>
    <w:rsid w:val="00347FAD"/>
    <w:rsid w:val="00350355"/>
    <w:rsid w:val="00350422"/>
    <w:rsid w:val="003508CB"/>
    <w:rsid w:val="00350908"/>
    <w:rsid w:val="00350A10"/>
    <w:rsid w:val="00350BC4"/>
    <w:rsid w:val="00350D44"/>
    <w:rsid w:val="00350E65"/>
    <w:rsid w:val="00350E8A"/>
    <w:rsid w:val="003514EF"/>
    <w:rsid w:val="0035155F"/>
    <w:rsid w:val="00351637"/>
    <w:rsid w:val="0035163E"/>
    <w:rsid w:val="003519C9"/>
    <w:rsid w:val="00351A9D"/>
    <w:rsid w:val="00351B2A"/>
    <w:rsid w:val="00351BAF"/>
    <w:rsid w:val="00351C37"/>
    <w:rsid w:val="00351D5E"/>
    <w:rsid w:val="00351E27"/>
    <w:rsid w:val="00351F4D"/>
    <w:rsid w:val="003520FA"/>
    <w:rsid w:val="003521E7"/>
    <w:rsid w:val="00352257"/>
    <w:rsid w:val="00352289"/>
    <w:rsid w:val="00352BC3"/>
    <w:rsid w:val="00352D75"/>
    <w:rsid w:val="00352DAD"/>
    <w:rsid w:val="00352EB3"/>
    <w:rsid w:val="003531FC"/>
    <w:rsid w:val="003535AD"/>
    <w:rsid w:val="003539F4"/>
    <w:rsid w:val="003539F7"/>
    <w:rsid w:val="00353A15"/>
    <w:rsid w:val="00353B04"/>
    <w:rsid w:val="00353C85"/>
    <w:rsid w:val="00353CD9"/>
    <w:rsid w:val="00353EA8"/>
    <w:rsid w:val="0035469B"/>
    <w:rsid w:val="003546AF"/>
    <w:rsid w:val="00354A73"/>
    <w:rsid w:val="00354B1A"/>
    <w:rsid w:val="00354C81"/>
    <w:rsid w:val="00354D9D"/>
    <w:rsid w:val="00354E34"/>
    <w:rsid w:val="00354E8A"/>
    <w:rsid w:val="00355141"/>
    <w:rsid w:val="003552EB"/>
    <w:rsid w:val="003552F6"/>
    <w:rsid w:val="00355728"/>
    <w:rsid w:val="003557F7"/>
    <w:rsid w:val="00355961"/>
    <w:rsid w:val="00355C2D"/>
    <w:rsid w:val="003560A8"/>
    <w:rsid w:val="00356770"/>
    <w:rsid w:val="003568B5"/>
    <w:rsid w:val="003568BB"/>
    <w:rsid w:val="00356EBB"/>
    <w:rsid w:val="00356FB3"/>
    <w:rsid w:val="00356FCB"/>
    <w:rsid w:val="00357227"/>
    <w:rsid w:val="003572AE"/>
    <w:rsid w:val="003572D0"/>
    <w:rsid w:val="003572FB"/>
    <w:rsid w:val="00357335"/>
    <w:rsid w:val="003575B3"/>
    <w:rsid w:val="003575E2"/>
    <w:rsid w:val="00357657"/>
    <w:rsid w:val="003576AD"/>
    <w:rsid w:val="003578F3"/>
    <w:rsid w:val="00357976"/>
    <w:rsid w:val="00357B13"/>
    <w:rsid w:val="00357D9C"/>
    <w:rsid w:val="00357DB1"/>
    <w:rsid w:val="00360028"/>
    <w:rsid w:val="00360055"/>
    <w:rsid w:val="003603FE"/>
    <w:rsid w:val="003604D8"/>
    <w:rsid w:val="00360579"/>
    <w:rsid w:val="0036064E"/>
    <w:rsid w:val="00360752"/>
    <w:rsid w:val="00360B74"/>
    <w:rsid w:val="00360BA3"/>
    <w:rsid w:val="00361148"/>
    <w:rsid w:val="003615BE"/>
    <w:rsid w:val="003617F0"/>
    <w:rsid w:val="00361D5C"/>
    <w:rsid w:val="00361E56"/>
    <w:rsid w:val="003620D9"/>
    <w:rsid w:val="0036262A"/>
    <w:rsid w:val="0036267C"/>
    <w:rsid w:val="003627C3"/>
    <w:rsid w:val="00362B72"/>
    <w:rsid w:val="00362E3E"/>
    <w:rsid w:val="00362EA2"/>
    <w:rsid w:val="00362EC1"/>
    <w:rsid w:val="00362F1A"/>
    <w:rsid w:val="00363600"/>
    <w:rsid w:val="00363669"/>
    <w:rsid w:val="00363854"/>
    <w:rsid w:val="003638C6"/>
    <w:rsid w:val="00363930"/>
    <w:rsid w:val="00363A7F"/>
    <w:rsid w:val="00363CD9"/>
    <w:rsid w:val="00363F60"/>
    <w:rsid w:val="0036402C"/>
    <w:rsid w:val="00364035"/>
    <w:rsid w:val="0036404F"/>
    <w:rsid w:val="0036407E"/>
    <w:rsid w:val="00364370"/>
    <w:rsid w:val="00364720"/>
    <w:rsid w:val="003648F4"/>
    <w:rsid w:val="00364987"/>
    <w:rsid w:val="00364A81"/>
    <w:rsid w:val="00364ADA"/>
    <w:rsid w:val="00364D1A"/>
    <w:rsid w:val="00364D80"/>
    <w:rsid w:val="003651F0"/>
    <w:rsid w:val="003656B7"/>
    <w:rsid w:val="00365852"/>
    <w:rsid w:val="003658F6"/>
    <w:rsid w:val="00365CCE"/>
    <w:rsid w:val="00365DAA"/>
    <w:rsid w:val="0036610D"/>
    <w:rsid w:val="003665AD"/>
    <w:rsid w:val="00366C51"/>
    <w:rsid w:val="00366EF0"/>
    <w:rsid w:val="00366F8D"/>
    <w:rsid w:val="003670B1"/>
    <w:rsid w:val="003671FF"/>
    <w:rsid w:val="00367295"/>
    <w:rsid w:val="003672DF"/>
    <w:rsid w:val="0036748A"/>
    <w:rsid w:val="003677AD"/>
    <w:rsid w:val="003677CF"/>
    <w:rsid w:val="00367A76"/>
    <w:rsid w:val="00367B2A"/>
    <w:rsid w:val="00367FA5"/>
    <w:rsid w:val="003700E6"/>
    <w:rsid w:val="003706CE"/>
    <w:rsid w:val="0037074D"/>
    <w:rsid w:val="00370BB4"/>
    <w:rsid w:val="00370D5D"/>
    <w:rsid w:val="00370D93"/>
    <w:rsid w:val="00370EDD"/>
    <w:rsid w:val="00371298"/>
    <w:rsid w:val="0037134A"/>
    <w:rsid w:val="0037136E"/>
    <w:rsid w:val="0037157A"/>
    <w:rsid w:val="00371A3D"/>
    <w:rsid w:val="00371B4E"/>
    <w:rsid w:val="00371D75"/>
    <w:rsid w:val="00372033"/>
    <w:rsid w:val="0037207D"/>
    <w:rsid w:val="0037225E"/>
    <w:rsid w:val="00372460"/>
    <w:rsid w:val="0037285A"/>
    <w:rsid w:val="003728C9"/>
    <w:rsid w:val="00372C17"/>
    <w:rsid w:val="00372C69"/>
    <w:rsid w:val="00372E9E"/>
    <w:rsid w:val="00372F7A"/>
    <w:rsid w:val="00373062"/>
    <w:rsid w:val="0037322F"/>
    <w:rsid w:val="00373250"/>
    <w:rsid w:val="003739B1"/>
    <w:rsid w:val="003739EF"/>
    <w:rsid w:val="00373B80"/>
    <w:rsid w:val="0037413F"/>
    <w:rsid w:val="00374C8E"/>
    <w:rsid w:val="00374E6D"/>
    <w:rsid w:val="003750FB"/>
    <w:rsid w:val="003751E5"/>
    <w:rsid w:val="003754D5"/>
    <w:rsid w:val="003755CF"/>
    <w:rsid w:val="003761B5"/>
    <w:rsid w:val="00376247"/>
    <w:rsid w:val="0037625F"/>
    <w:rsid w:val="0037632E"/>
    <w:rsid w:val="00376363"/>
    <w:rsid w:val="00376381"/>
    <w:rsid w:val="0037679B"/>
    <w:rsid w:val="0037684A"/>
    <w:rsid w:val="00376887"/>
    <w:rsid w:val="00376AB4"/>
    <w:rsid w:val="00376D53"/>
    <w:rsid w:val="00377162"/>
    <w:rsid w:val="00377558"/>
    <w:rsid w:val="00377ECD"/>
    <w:rsid w:val="00377F77"/>
    <w:rsid w:val="0038001F"/>
    <w:rsid w:val="00380141"/>
    <w:rsid w:val="003802A5"/>
    <w:rsid w:val="00380481"/>
    <w:rsid w:val="0038057E"/>
    <w:rsid w:val="00380B93"/>
    <w:rsid w:val="003811F3"/>
    <w:rsid w:val="00381427"/>
    <w:rsid w:val="003814BC"/>
    <w:rsid w:val="00381799"/>
    <w:rsid w:val="0038179E"/>
    <w:rsid w:val="0038182D"/>
    <w:rsid w:val="00381935"/>
    <w:rsid w:val="00381D9C"/>
    <w:rsid w:val="0038282F"/>
    <w:rsid w:val="00382CB5"/>
    <w:rsid w:val="0038348C"/>
    <w:rsid w:val="00383588"/>
    <w:rsid w:val="0038363E"/>
    <w:rsid w:val="00383681"/>
    <w:rsid w:val="003837E4"/>
    <w:rsid w:val="0038390A"/>
    <w:rsid w:val="00383D08"/>
    <w:rsid w:val="00383D68"/>
    <w:rsid w:val="0038428C"/>
    <w:rsid w:val="0038432E"/>
    <w:rsid w:val="003843CF"/>
    <w:rsid w:val="003844F3"/>
    <w:rsid w:val="0038473A"/>
    <w:rsid w:val="00385146"/>
    <w:rsid w:val="00385202"/>
    <w:rsid w:val="00385260"/>
    <w:rsid w:val="003852C3"/>
    <w:rsid w:val="00385317"/>
    <w:rsid w:val="00385518"/>
    <w:rsid w:val="00385777"/>
    <w:rsid w:val="003861BD"/>
    <w:rsid w:val="003861C8"/>
    <w:rsid w:val="0038620C"/>
    <w:rsid w:val="00386292"/>
    <w:rsid w:val="00386364"/>
    <w:rsid w:val="0038646D"/>
    <w:rsid w:val="0038688B"/>
    <w:rsid w:val="00386896"/>
    <w:rsid w:val="0038695F"/>
    <w:rsid w:val="00386AC3"/>
    <w:rsid w:val="00386CFD"/>
    <w:rsid w:val="00386DA0"/>
    <w:rsid w:val="00386DDE"/>
    <w:rsid w:val="00386E6B"/>
    <w:rsid w:val="00386F68"/>
    <w:rsid w:val="003870B1"/>
    <w:rsid w:val="003873B6"/>
    <w:rsid w:val="0038741E"/>
    <w:rsid w:val="003874EE"/>
    <w:rsid w:val="0038762B"/>
    <w:rsid w:val="0038773B"/>
    <w:rsid w:val="0038787C"/>
    <w:rsid w:val="00387D42"/>
    <w:rsid w:val="00387E8A"/>
    <w:rsid w:val="00387EFA"/>
    <w:rsid w:val="00390589"/>
    <w:rsid w:val="0039068E"/>
    <w:rsid w:val="00390751"/>
    <w:rsid w:val="003907DD"/>
    <w:rsid w:val="00390884"/>
    <w:rsid w:val="00390907"/>
    <w:rsid w:val="003909D1"/>
    <w:rsid w:val="00390AA8"/>
    <w:rsid w:val="00390D30"/>
    <w:rsid w:val="00390E8B"/>
    <w:rsid w:val="00390ED2"/>
    <w:rsid w:val="00391032"/>
    <w:rsid w:val="00391059"/>
    <w:rsid w:val="0039146D"/>
    <w:rsid w:val="00391646"/>
    <w:rsid w:val="0039187C"/>
    <w:rsid w:val="00391A38"/>
    <w:rsid w:val="00391BAD"/>
    <w:rsid w:val="00391BBE"/>
    <w:rsid w:val="00391CA0"/>
    <w:rsid w:val="00391D1C"/>
    <w:rsid w:val="00391D20"/>
    <w:rsid w:val="00392113"/>
    <w:rsid w:val="00392126"/>
    <w:rsid w:val="00392261"/>
    <w:rsid w:val="00392358"/>
    <w:rsid w:val="0039265E"/>
    <w:rsid w:val="003926F4"/>
    <w:rsid w:val="003927EC"/>
    <w:rsid w:val="0039292D"/>
    <w:rsid w:val="00392E73"/>
    <w:rsid w:val="00392EB7"/>
    <w:rsid w:val="0039334F"/>
    <w:rsid w:val="00393D4E"/>
    <w:rsid w:val="003941D7"/>
    <w:rsid w:val="003944F7"/>
    <w:rsid w:val="00394568"/>
    <w:rsid w:val="00394739"/>
    <w:rsid w:val="00394884"/>
    <w:rsid w:val="003949F6"/>
    <w:rsid w:val="0039511F"/>
    <w:rsid w:val="0039537F"/>
    <w:rsid w:val="00395705"/>
    <w:rsid w:val="00395CD1"/>
    <w:rsid w:val="00395F42"/>
    <w:rsid w:val="00396072"/>
    <w:rsid w:val="00396234"/>
    <w:rsid w:val="0039623A"/>
    <w:rsid w:val="003962E6"/>
    <w:rsid w:val="00396499"/>
    <w:rsid w:val="003964EB"/>
    <w:rsid w:val="00396AEA"/>
    <w:rsid w:val="00396AF8"/>
    <w:rsid w:val="00396BB8"/>
    <w:rsid w:val="00396BC3"/>
    <w:rsid w:val="00396CA7"/>
    <w:rsid w:val="00396EA0"/>
    <w:rsid w:val="00396FE4"/>
    <w:rsid w:val="003974B7"/>
    <w:rsid w:val="003974E7"/>
    <w:rsid w:val="00397755"/>
    <w:rsid w:val="003978BE"/>
    <w:rsid w:val="003979FD"/>
    <w:rsid w:val="003A0039"/>
    <w:rsid w:val="003A0133"/>
    <w:rsid w:val="003A0542"/>
    <w:rsid w:val="003A0968"/>
    <w:rsid w:val="003A0A4F"/>
    <w:rsid w:val="003A0AB8"/>
    <w:rsid w:val="003A0D6B"/>
    <w:rsid w:val="003A0EBD"/>
    <w:rsid w:val="003A0FEA"/>
    <w:rsid w:val="003A1046"/>
    <w:rsid w:val="003A13C8"/>
    <w:rsid w:val="003A1446"/>
    <w:rsid w:val="003A1528"/>
    <w:rsid w:val="003A154B"/>
    <w:rsid w:val="003A1778"/>
    <w:rsid w:val="003A17A9"/>
    <w:rsid w:val="003A1884"/>
    <w:rsid w:val="003A1970"/>
    <w:rsid w:val="003A1BB2"/>
    <w:rsid w:val="003A1DF1"/>
    <w:rsid w:val="003A1EFB"/>
    <w:rsid w:val="003A200A"/>
    <w:rsid w:val="003A2199"/>
    <w:rsid w:val="003A2250"/>
    <w:rsid w:val="003A282A"/>
    <w:rsid w:val="003A2C4C"/>
    <w:rsid w:val="003A2EBF"/>
    <w:rsid w:val="003A3063"/>
    <w:rsid w:val="003A353C"/>
    <w:rsid w:val="003A3995"/>
    <w:rsid w:val="003A3ADF"/>
    <w:rsid w:val="003A3D94"/>
    <w:rsid w:val="003A3E43"/>
    <w:rsid w:val="003A46C0"/>
    <w:rsid w:val="003A471A"/>
    <w:rsid w:val="003A47BF"/>
    <w:rsid w:val="003A4AA7"/>
    <w:rsid w:val="003A4C9F"/>
    <w:rsid w:val="003A4DD0"/>
    <w:rsid w:val="003A4DEA"/>
    <w:rsid w:val="003A4FF2"/>
    <w:rsid w:val="003A50F1"/>
    <w:rsid w:val="003A52BB"/>
    <w:rsid w:val="003A54AD"/>
    <w:rsid w:val="003A6553"/>
    <w:rsid w:val="003A67E4"/>
    <w:rsid w:val="003A6924"/>
    <w:rsid w:val="003A6A56"/>
    <w:rsid w:val="003A6C83"/>
    <w:rsid w:val="003A6DA9"/>
    <w:rsid w:val="003A71A4"/>
    <w:rsid w:val="003A76F2"/>
    <w:rsid w:val="003A7808"/>
    <w:rsid w:val="003A7D29"/>
    <w:rsid w:val="003B0238"/>
    <w:rsid w:val="003B0912"/>
    <w:rsid w:val="003B0917"/>
    <w:rsid w:val="003B0B01"/>
    <w:rsid w:val="003B0D24"/>
    <w:rsid w:val="003B1474"/>
    <w:rsid w:val="003B1529"/>
    <w:rsid w:val="003B1725"/>
    <w:rsid w:val="003B1798"/>
    <w:rsid w:val="003B18EE"/>
    <w:rsid w:val="003B1920"/>
    <w:rsid w:val="003B1B0F"/>
    <w:rsid w:val="003B1C3D"/>
    <w:rsid w:val="003B1C81"/>
    <w:rsid w:val="003B2200"/>
    <w:rsid w:val="003B220A"/>
    <w:rsid w:val="003B2432"/>
    <w:rsid w:val="003B28AB"/>
    <w:rsid w:val="003B2F49"/>
    <w:rsid w:val="003B309E"/>
    <w:rsid w:val="003B30BE"/>
    <w:rsid w:val="003B33D2"/>
    <w:rsid w:val="003B341E"/>
    <w:rsid w:val="003B34AE"/>
    <w:rsid w:val="003B34DE"/>
    <w:rsid w:val="003B3E03"/>
    <w:rsid w:val="003B4326"/>
    <w:rsid w:val="003B4441"/>
    <w:rsid w:val="003B45BD"/>
    <w:rsid w:val="003B4617"/>
    <w:rsid w:val="003B462D"/>
    <w:rsid w:val="003B4807"/>
    <w:rsid w:val="003B4963"/>
    <w:rsid w:val="003B49E2"/>
    <w:rsid w:val="003B4CB6"/>
    <w:rsid w:val="003B4DC0"/>
    <w:rsid w:val="003B4DD7"/>
    <w:rsid w:val="003B4E9C"/>
    <w:rsid w:val="003B5C15"/>
    <w:rsid w:val="003B6110"/>
    <w:rsid w:val="003B6325"/>
    <w:rsid w:val="003B64CA"/>
    <w:rsid w:val="003B668F"/>
    <w:rsid w:val="003B66F2"/>
    <w:rsid w:val="003B67C8"/>
    <w:rsid w:val="003B68A3"/>
    <w:rsid w:val="003B693F"/>
    <w:rsid w:val="003B6A28"/>
    <w:rsid w:val="003B6BB4"/>
    <w:rsid w:val="003B6D16"/>
    <w:rsid w:val="003B6DF9"/>
    <w:rsid w:val="003B708A"/>
    <w:rsid w:val="003B71EC"/>
    <w:rsid w:val="003B7318"/>
    <w:rsid w:val="003B7494"/>
    <w:rsid w:val="003B7498"/>
    <w:rsid w:val="003B7564"/>
    <w:rsid w:val="003B7614"/>
    <w:rsid w:val="003B775E"/>
    <w:rsid w:val="003C003B"/>
    <w:rsid w:val="003C0665"/>
    <w:rsid w:val="003C07B5"/>
    <w:rsid w:val="003C0BD6"/>
    <w:rsid w:val="003C0DBA"/>
    <w:rsid w:val="003C0F1B"/>
    <w:rsid w:val="003C10EE"/>
    <w:rsid w:val="003C1405"/>
    <w:rsid w:val="003C1601"/>
    <w:rsid w:val="003C16E5"/>
    <w:rsid w:val="003C18E8"/>
    <w:rsid w:val="003C2214"/>
    <w:rsid w:val="003C28D3"/>
    <w:rsid w:val="003C2CBE"/>
    <w:rsid w:val="003C2E50"/>
    <w:rsid w:val="003C2F21"/>
    <w:rsid w:val="003C379A"/>
    <w:rsid w:val="003C3826"/>
    <w:rsid w:val="003C3A5B"/>
    <w:rsid w:val="003C400C"/>
    <w:rsid w:val="003C42A0"/>
    <w:rsid w:val="003C4ADC"/>
    <w:rsid w:val="003C4E1D"/>
    <w:rsid w:val="003C4FA5"/>
    <w:rsid w:val="003C4FCC"/>
    <w:rsid w:val="003C53D9"/>
    <w:rsid w:val="003C552E"/>
    <w:rsid w:val="003C5CDD"/>
    <w:rsid w:val="003C5D09"/>
    <w:rsid w:val="003C5E4B"/>
    <w:rsid w:val="003C5F7C"/>
    <w:rsid w:val="003C6357"/>
    <w:rsid w:val="003C6412"/>
    <w:rsid w:val="003C6434"/>
    <w:rsid w:val="003C64A7"/>
    <w:rsid w:val="003C68DD"/>
    <w:rsid w:val="003C6D21"/>
    <w:rsid w:val="003C6E55"/>
    <w:rsid w:val="003C6F2D"/>
    <w:rsid w:val="003C6F86"/>
    <w:rsid w:val="003C7760"/>
    <w:rsid w:val="003C79C6"/>
    <w:rsid w:val="003C7A3E"/>
    <w:rsid w:val="003C7BE2"/>
    <w:rsid w:val="003C7E5A"/>
    <w:rsid w:val="003D02BD"/>
    <w:rsid w:val="003D076E"/>
    <w:rsid w:val="003D084E"/>
    <w:rsid w:val="003D0926"/>
    <w:rsid w:val="003D0DA9"/>
    <w:rsid w:val="003D0FEA"/>
    <w:rsid w:val="003D1178"/>
    <w:rsid w:val="003D11CD"/>
    <w:rsid w:val="003D1326"/>
    <w:rsid w:val="003D1356"/>
    <w:rsid w:val="003D1475"/>
    <w:rsid w:val="003D14DB"/>
    <w:rsid w:val="003D163B"/>
    <w:rsid w:val="003D18FA"/>
    <w:rsid w:val="003D1B88"/>
    <w:rsid w:val="003D1D1E"/>
    <w:rsid w:val="003D1E29"/>
    <w:rsid w:val="003D1F99"/>
    <w:rsid w:val="003D2163"/>
    <w:rsid w:val="003D216C"/>
    <w:rsid w:val="003D260C"/>
    <w:rsid w:val="003D2682"/>
    <w:rsid w:val="003D2711"/>
    <w:rsid w:val="003D27E3"/>
    <w:rsid w:val="003D2815"/>
    <w:rsid w:val="003D2B83"/>
    <w:rsid w:val="003D2D32"/>
    <w:rsid w:val="003D2EAF"/>
    <w:rsid w:val="003D2FB6"/>
    <w:rsid w:val="003D32C2"/>
    <w:rsid w:val="003D3457"/>
    <w:rsid w:val="003D350F"/>
    <w:rsid w:val="003D3587"/>
    <w:rsid w:val="003D3663"/>
    <w:rsid w:val="003D36BE"/>
    <w:rsid w:val="003D3780"/>
    <w:rsid w:val="003D3B73"/>
    <w:rsid w:val="003D3BA0"/>
    <w:rsid w:val="003D3E29"/>
    <w:rsid w:val="003D3F05"/>
    <w:rsid w:val="003D4958"/>
    <w:rsid w:val="003D4C4A"/>
    <w:rsid w:val="003D4EDF"/>
    <w:rsid w:val="003D569D"/>
    <w:rsid w:val="003D5740"/>
    <w:rsid w:val="003D5B53"/>
    <w:rsid w:val="003D5CEC"/>
    <w:rsid w:val="003D6347"/>
    <w:rsid w:val="003D639D"/>
    <w:rsid w:val="003D64EA"/>
    <w:rsid w:val="003D66B0"/>
    <w:rsid w:val="003D6CA4"/>
    <w:rsid w:val="003D6CD2"/>
    <w:rsid w:val="003D6EE3"/>
    <w:rsid w:val="003D6FBF"/>
    <w:rsid w:val="003D732D"/>
    <w:rsid w:val="003D74CF"/>
    <w:rsid w:val="003D750A"/>
    <w:rsid w:val="003D7516"/>
    <w:rsid w:val="003D771E"/>
    <w:rsid w:val="003D7930"/>
    <w:rsid w:val="003D798D"/>
    <w:rsid w:val="003D7D0D"/>
    <w:rsid w:val="003D7D5E"/>
    <w:rsid w:val="003D7DAB"/>
    <w:rsid w:val="003E024E"/>
    <w:rsid w:val="003E05F8"/>
    <w:rsid w:val="003E07FD"/>
    <w:rsid w:val="003E09CA"/>
    <w:rsid w:val="003E09E6"/>
    <w:rsid w:val="003E0D7E"/>
    <w:rsid w:val="003E0DBF"/>
    <w:rsid w:val="003E0E97"/>
    <w:rsid w:val="003E0F72"/>
    <w:rsid w:val="003E119F"/>
    <w:rsid w:val="003E1330"/>
    <w:rsid w:val="003E16B9"/>
    <w:rsid w:val="003E183F"/>
    <w:rsid w:val="003E19E6"/>
    <w:rsid w:val="003E259C"/>
    <w:rsid w:val="003E25FA"/>
    <w:rsid w:val="003E2BFB"/>
    <w:rsid w:val="003E2D44"/>
    <w:rsid w:val="003E2D9B"/>
    <w:rsid w:val="003E2DBB"/>
    <w:rsid w:val="003E2E4A"/>
    <w:rsid w:val="003E30D3"/>
    <w:rsid w:val="003E30D8"/>
    <w:rsid w:val="003E33A6"/>
    <w:rsid w:val="003E3493"/>
    <w:rsid w:val="003E36DD"/>
    <w:rsid w:val="003E3A4B"/>
    <w:rsid w:val="003E3A4C"/>
    <w:rsid w:val="003E3BA6"/>
    <w:rsid w:val="003E3D1B"/>
    <w:rsid w:val="003E3D3B"/>
    <w:rsid w:val="003E446C"/>
    <w:rsid w:val="003E45A8"/>
    <w:rsid w:val="003E4690"/>
    <w:rsid w:val="003E50FB"/>
    <w:rsid w:val="003E52F8"/>
    <w:rsid w:val="003E5807"/>
    <w:rsid w:val="003E587D"/>
    <w:rsid w:val="003E5889"/>
    <w:rsid w:val="003E5A95"/>
    <w:rsid w:val="003E6159"/>
    <w:rsid w:val="003E677E"/>
    <w:rsid w:val="003E67F8"/>
    <w:rsid w:val="003E6911"/>
    <w:rsid w:val="003E6D71"/>
    <w:rsid w:val="003E6F5D"/>
    <w:rsid w:val="003E72F9"/>
    <w:rsid w:val="003E75A6"/>
    <w:rsid w:val="003E7F73"/>
    <w:rsid w:val="003F021C"/>
    <w:rsid w:val="003F04AF"/>
    <w:rsid w:val="003F050C"/>
    <w:rsid w:val="003F0EAA"/>
    <w:rsid w:val="003F10E6"/>
    <w:rsid w:val="003F14E9"/>
    <w:rsid w:val="003F157A"/>
    <w:rsid w:val="003F1686"/>
    <w:rsid w:val="003F16E3"/>
    <w:rsid w:val="003F17CD"/>
    <w:rsid w:val="003F17D7"/>
    <w:rsid w:val="003F1D6B"/>
    <w:rsid w:val="003F1DFA"/>
    <w:rsid w:val="003F2017"/>
    <w:rsid w:val="003F20EC"/>
    <w:rsid w:val="003F2534"/>
    <w:rsid w:val="003F27C3"/>
    <w:rsid w:val="003F2B2C"/>
    <w:rsid w:val="003F2CCE"/>
    <w:rsid w:val="003F2EB7"/>
    <w:rsid w:val="003F32A5"/>
    <w:rsid w:val="003F33DE"/>
    <w:rsid w:val="003F350B"/>
    <w:rsid w:val="003F35BD"/>
    <w:rsid w:val="003F3756"/>
    <w:rsid w:val="003F4109"/>
    <w:rsid w:val="003F41BB"/>
    <w:rsid w:val="003F4505"/>
    <w:rsid w:val="003F461E"/>
    <w:rsid w:val="003F4703"/>
    <w:rsid w:val="003F47BF"/>
    <w:rsid w:val="003F4A9F"/>
    <w:rsid w:val="003F4C42"/>
    <w:rsid w:val="003F4F2D"/>
    <w:rsid w:val="003F50B6"/>
    <w:rsid w:val="003F51D3"/>
    <w:rsid w:val="003F51F9"/>
    <w:rsid w:val="003F55FE"/>
    <w:rsid w:val="003F5A79"/>
    <w:rsid w:val="003F5F27"/>
    <w:rsid w:val="003F5F60"/>
    <w:rsid w:val="003F6015"/>
    <w:rsid w:val="003F6017"/>
    <w:rsid w:val="003F62CE"/>
    <w:rsid w:val="003F6315"/>
    <w:rsid w:val="003F6DF6"/>
    <w:rsid w:val="003F6E99"/>
    <w:rsid w:val="003F7194"/>
    <w:rsid w:val="003F71C8"/>
    <w:rsid w:val="003F74B4"/>
    <w:rsid w:val="003F773E"/>
    <w:rsid w:val="003F77D2"/>
    <w:rsid w:val="003F78EA"/>
    <w:rsid w:val="003F7B08"/>
    <w:rsid w:val="003F7C8B"/>
    <w:rsid w:val="003F7E1D"/>
    <w:rsid w:val="003F7E44"/>
    <w:rsid w:val="00400023"/>
    <w:rsid w:val="00400504"/>
    <w:rsid w:val="00400950"/>
    <w:rsid w:val="00400AE2"/>
    <w:rsid w:val="00400D02"/>
    <w:rsid w:val="00400EAD"/>
    <w:rsid w:val="00401323"/>
    <w:rsid w:val="004014B8"/>
    <w:rsid w:val="004015A3"/>
    <w:rsid w:val="00401945"/>
    <w:rsid w:val="00401DEA"/>
    <w:rsid w:val="00401EDA"/>
    <w:rsid w:val="00401F2A"/>
    <w:rsid w:val="00402945"/>
    <w:rsid w:val="00402BC7"/>
    <w:rsid w:val="00402DEE"/>
    <w:rsid w:val="00402F6A"/>
    <w:rsid w:val="004036A6"/>
    <w:rsid w:val="004036EC"/>
    <w:rsid w:val="004036F0"/>
    <w:rsid w:val="004037DF"/>
    <w:rsid w:val="00403C98"/>
    <w:rsid w:val="0040403D"/>
    <w:rsid w:val="004042F5"/>
    <w:rsid w:val="00404B98"/>
    <w:rsid w:val="00404C5B"/>
    <w:rsid w:val="00404E1C"/>
    <w:rsid w:val="0040511D"/>
    <w:rsid w:val="004055D4"/>
    <w:rsid w:val="0040561B"/>
    <w:rsid w:val="004059A3"/>
    <w:rsid w:val="00405B95"/>
    <w:rsid w:val="00405E38"/>
    <w:rsid w:val="00406203"/>
    <w:rsid w:val="004063F8"/>
    <w:rsid w:val="004066F0"/>
    <w:rsid w:val="00406800"/>
    <w:rsid w:val="00406807"/>
    <w:rsid w:val="004069E7"/>
    <w:rsid w:val="00406B02"/>
    <w:rsid w:val="00406D56"/>
    <w:rsid w:val="004070B2"/>
    <w:rsid w:val="004070BA"/>
    <w:rsid w:val="004072B3"/>
    <w:rsid w:val="00407646"/>
    <w:rsid w:val="004079CE"/>
    <w:rsid w:val="00407A7D"/>
    <w:rsid w:val="00407C3E"/>
    <w:rsid w:val="00410184"/>
    <w:rsid w:val="0041019F"/>
    <w:rsid w:val="0041046F"/>
    <w:rsid w:val="0041064A"/>
    <w:rsid w:val="0041066E"/>
    <w:rsid w:val="00410749"/>
    <w:rsid w:val="0041086A"/>
    <w:rsid w:val="004108B8"/>
    <w:rsid w:val="0041099E"/>
    <w:rsid w:val="004110A4"/>
    <w:rsid w:val="00411193"/>
    <w:rsid w:val="004112F1"/>
    <w:rsid w:val="00411408"/>
    <w:rsid w:val="004115C8"/>
    <w:rsid w:val="00411912"/>
    <w:rsid w:val="0041197A"/>
    <w:rsid w:val="00411D54"/>
    <w:rsid w:val="00411D6B"/>
    <w:rsid w:val="004123C7"/>
    <w:rsid w:val="004123E6"/>
    <w:rsid w:val="00412687"/>
    <w:rsid w:val="00412ABF"/>
    <w:rsid w:val="00413012"/>
    <w:rsid w:val="004132C6"/>
    <w:rsid w:val="004133C3"/>
    <w:rsid w:val="00413585"/>
    <w:rsid w:val="004136EC"/>
    <w:rsid w:val="0041371F"/>
    <w:rsid w:val="00413722"/>
    <w:rsid w:val="0041379C"/>
    <w:rsid w:val="00413859"/>
    <w:rsid w:val="00414336"/>
    <w:rsid w:val="004143CA"/>
    <w:rsid w:val="004143D5"/>
    <w:rsid w:val="0041464D"/>
    <w:rsid w:val="004147A0"/>
    <w:rsid w:val="004147CD"/>
    <w:rsid w:val="00414A76"/>
    <w:rsid w:val="00414A9F"/>
    <w:rsid w:val="00414CDD"/>
    <w:rsid w:val="00414E03"/>
    <w:rsid w:val="00414E50"/>
    <w:rsid w:val="00414F7C"/>
    <w:rsid w:val="00415043"/>
    <w:rsid w:val="0041542C"/>
    <w:rsid w:val="0041567A"/>
    <w:rsid w:val="00415686"/>
    <w:rsid w:val="0041591A"/>
    <w:rsid w:val="004160BF"/>
    <w:rsid w:val="00416631"/>
    <w:rsid w:val="004167D0"/>
    <w:rsid w:val="004167F6"/>
    <w:rsid w:val="004168F7"/>
    <w:rsid w:val="00416A77"/>
    <w:rsid w:val="00416D40"/>
    <w:rsid w:val="00416D7C"/>
    <w:rsid w:val="0041700B"/>
    <w:rsid w:val="004171BD"/>
    <w:rsid w:val="004173A0"/>
    <w:rsid w:val="00417403"/>
    <w:rsid w:val="00417414"/>
    <w:rsid w:val="0041755A"/>
    <w:rsid w:val="00417568"/>
    <w:rsid w:val="004175EF"/>
    <w:rsid w:val="00417646"/>
    <w:rsid w:val="004178FF"/>
    <w:rsid w:val="00417A45"/>
    <w:rsid w:val="00417D37"/>
    <w:rsid w:val="00417F71"/>
    <w:rsid w:val="0042024E"/>
    <w:rsid w:val="0042027F"/>
    <w:rsid w:val="004202D9"/>
    <w:rsid w:val="004204B4"/>
    <w:rsid w:val="0042084C"/>
    <w:rsid w:val="00420D03"/>
    <w:rsid w:val="00420E38"/>
    <w:rsid w:val="00420F6E"/>
    <w:rsid w:val="004210B4"/>
    <w:rsid w:val="0042116E"/>
    <w:rsid w:val="004211E7"/>
    <w:rsid w:val="004217F2"/>
    <w:rsid w:val="0042189F"/>
    <w:rsid w:val="004218FD"/>
    <w:rsid w:val="004219AF"/>
    <w:rsid w:val="00421C3C"/>
    <w:rsid w:val="00421D08"/>
    <w:rsid w:val="0042237B"/>
    <w:rsid w:val="004223CC"/>
    <w:rsid w:val="00422574"/>
    <w:rsid w:val="00422670"/>
    <w:rsid w:val="00422D27"/>
    <w:rsid w:val="00422E61"/>
    <w:rsid w:val="0042317D"/>
    <w:rsid w:val="0042320F"/>
    <w:rsid w:val="00423509"/>
    <w:rsid w:val="004237D2"/>
    <w:rsid w:val="004238E5"/>
    <w:rsid w:val="004239A4"/>
    <w:rsid w:val="00423B11"/>
    <w:rsid w:val="00423CBC"/>
    <w:rsid w:val="00423D29"/>
    <w:rsid w:val="00423E1C"/>
    <w:rsid w:val="00424166"/>
    <w:rsid w:val="00424449"/>
    <w:rsid w:val="00424555"/>
    <w:rsid w:val="004245FB"/>
    <w:rsid w:val="00424948"/>
    <w:rsid w:val="004249DD"/>
    <w:rsid w:val="00425177"/>
    <w:rsid w:val="0042532D"/>
    <w:rsid w:val="00425413"/>
    <w:rsid w:val="004256D2"/>
    <w:rsid w:val="00425708"/>
    <w:rsid w:val="004258A4"/>
    <w:rsid w:val="00425EFA"/>
    <w:rsid w:val="00426051"/>
    <w:rsid w:val="00426065"/>
    <w:rsid w:val="004265F9"/>
    <w:rsid w:val="004266B9"/>
    <w:rsid w:val="00426727"/>
    <w:rsid w:val="00426994"/>
    <w:rsid w:val="00426A94"/>
    <w:rsid w:val="00426D22"/>
    <w:rsid w:val="00426F6B"/>
    <w:rsid w:val="0042733F"/>
    <w:rsid w:val="0042741C"/>
    <w:rsid w:val="004274FF"/>
    <w:rsid w:val="004277A3"/>
    <w:rsid w:val="00430456"/>
    <w:rsid w:val="004304EC"/>
    <w:rsid w:val="0043079F"/>
    <w:rsid w:val="004308D2"/>
    <w:rsid w:val="0043093B"/>
    <w:rsid w:val="00430B20"/>
    <w:rsid w:val="00430E21"/>
    <w:rsid w:val="00430E5F"/>
    <w:rsid w:val="004311E9"/>
    <w:rsid w:val="00431895"/>
    <w:rsid w:val="00431B91"/>
    <w:rsid w:val="00431C8C"/>
    <w:rsid w:val="00431D0F"/>
    <w:rsid w:val="00431D59"/>
    <w:rsid w:val="00431E6B"/>
    <w:rsid w:val="00432065"/>
    <w:rsid w:val="0043211F"/>
    <w:rsid w:val="00432E3A"/>
    <w:rsid w:val="00433279"/>
    <w:rsid w:val="00433771"/>
    <w:rsid w:val="00433802"/>
    <w:rsid w:val="00433AC1"/>
    <w:rsid w:val="00433C50"/>
    <w:rsid w:val="00433D88"/>
    <w:rsid w:val="00433EB8"/>
    <w:rsid w:val="0043406E"/>
    <w:rsid w:val="0043458E"/>
    <w:rsid w:val="00434BA4"/>
    <w:rsid w:val="00434ECD"/>
    <w:rsid w:val="00435538"/>
    <w:rsid w:val="0043554D"/>
    <w:rsid w:val="004355D6"/>
    <w:rsid w:val="00435682"/>
    <w:rsid w:val="004356F0"/>
    <w:rsid w:val="0043594E"/>
    <w:rsid w:val="0043595F"/>
    <w:rsid w:val="00435AF7"/>
    <w:rsid w:val="00435E14"/>
    <w:rsid w:val="00436106"/>
    <w:rsid w:val="0043624F"/>
    <w:rsid w:val="0043645E"/>
    <w:rsid w:val="0043678C"/>
    <w:rsid w:val="00436800"/>
    <w:rsid w:val="00436DD9"/>
    <w:rsid w:val="00436F41"/>
    <w:rsid w:val="0043723A"/>
    <w:rsid w:val="00437415"/>
    <w:rsid w:val="00437678"/>
    <w:rsid w:val="004379C5"/>
    <w:rsid w:val="00437A91"/>
    <w:rsid w:val="00437B7F"/>
    <w:rsid w:val="00437C21"/>
    <w:rsid w:val="00437DC6"/>
    <w:rsid w:val="00437F0E"/>
    <w:rsid w:val="004403D3"/>
    <w:rsid w:val="0044054B"/>
    <w:rsid w:val="00440974"/>
    <w:rsid w:val="00440B90"/>
    <w:rsid w:val="00440DF2"/>
    <w:rsid w:val="00440F2D"/>
    <w:rsid w:val="0044142A"/>
    <w:rsid w:val="0044165B"/>
    <w:rsid w:val="00441883"/>
    <w:rsid w:val="004418D7"/>
    <w:rsid w:val="00441BEF"/>
    <w:rsid w:val="00441FB2"/>
    <w:rsid w:val="0044227B"/>
    <w:rsid w:val="0044229C"/>
    <w:rsid w:val="00442420"/>
    <w:rsid w:val="00442426"/>
    <w:rsid w:val="00442668"/>
    <w:rsid w:val="00442747"/>
    <w:rsid w:val="004427D9"/>
    <w:rsid w:val="0044293E"/>
    <w:rsid w:val="004429A6"/>
    <w:rsid w:val="00442A3C"/>
    <w:rsid w:val="00442AA0"/>
    <w:rsid w:val="00442D0D"/>
    <w:rsid w:val="00442E16"/>
    <w:rsid w:val="00442E78"/>
    <w:rsid w:val="00442FAE"/>
    <w:rsid w:val="00443000"/>
    <w:rsid w:val="0044322B"/>
    <w:rsid w:val="004432FA"/>
    <w:rsid w:val="004434D7"/>
    <w:rsid w:val="00443505"/>
    <w:rsid w:val="0044361D"/>
    <w:rsid w:val="004436E0"/>
    <w:rsid w:val="00443AEB"/>
    <w:rsid w:val="004441A2"/>
    <w:rsid w:val="00444223"/>
    <w:rsid w:val="0044467B"/>
    <w:rsid w:val="004446C5"/>
    <w:rsid w:val="004448E5"/>
    <w:rsid w:val="00444CA8"/>
    <w:rsid w:val="00444DEE"/>
    <w:rsid w:val="00444F50"/>
    <w:rsid w:val="00445531"/>
    <w:rsid w:val="0044553B"/>
    <w:rsid w:val="004455C1"/>
    <w:rsid w:val="004458A3"/>
    <w:rsid w:val="004459F2"/>
    <w:rsid w:val="00445A1E"/>
    <w:rsid w:val="00445D14"/>
    <w:rsid w:val="00445E1B"/>
    <w:rsid w:val="00445E49"/>
    <w:rsid w:val="004461C1"/>
    <w:rsid w:val="0044632D"/>
    <w:rsid w:val="004465E4"/>
    <w:rsid w:val="004466F4"/>
    <w:rsid w:val="0044672D"/>
    <w:rsid w:val="00446939"/>
    <w:rsid w:val="00446A66"/>
    <w:rsid w:val="00446F5F"/>
    <w:rsid w:val="004470EC"/>
    <w:rsid w:val="00447198"/>
    <w:rsid w:val="004471DD"/>
    <w:rsid w:val="00447240"/>
    <w:rsid w:val="004473B6"/>
    <w:rsid w:val="0044741D"/>
    <w:rsid w:val="004478AE"/>
    <w:rsid w:val="00447F00"/>
    <w:rsid w:val="004508F6"/>
    <w:rsid w:val="0045098E"/>
    <w:rsid w:val="00450C0C"/>
    <w:rsid w:val="00450D93"/>
    <w:rsid w:val="00450E13"/>
    <w:rsid w:val="00450FD4"/>
    <w:rsid w:val="004510FA"/>
    <w:rsid w:val="00451198"/>
    <w:rsid w:val="0045125B"/>
    <w:rsid w:val="0045140E"/>
    <w:rsid w:val="004515DA"/>
    <w:rsid w:val="00451985"/>
    <w:rsid w:val="00451CE3"/>
    <w:rsid w:val="00451D14"/>
    <w:rsid w:val="00451D4F"/>
    <w:rsid w:val="00452166"/>
    <w:rsid w:val="00452997"/>
    <w:rsid w:val="004529FD"/>
    <w:rsid w:val="00452A3A"/>
    <w:rsid w:val="00452A7F"/>
    <w:rsid w:val="00452C42"/>
    <w:rsid w:val="00452F80"/>
    <w:rsid w:val="00453539"/>
    <w:rsid w:val="004537FF"/>
    <w:rsid w:val="00453849"/>
    <w:rsid w:val="00453A78"/>
    <w:rsid w:val="00453C12"/>
    <w:rsid w:val="00453D0A"/>
    <w:rsid w:val="00453D5B"/>
    <w:rsid w:val="00453E0E"/>
    <w:rsid w:val="00454047"/>
    <w:rsid w:val="00454305"/>
    <w:rsid w:val="00454375"/>
    <w:rsid w:val="00454508"/>
    <w:rsid w:val="0045467D"/>
    <w:rsid w:val="00454DDD"/>
    <w:rsid w:val="0045511E"/>
    <w:rsid w:val="00455157"/>
    <w:rsid w:val="0045552B"/>
    <w:rsid w:val="0045557A"/>
    <w:rsid w:val="00455737"/>
    <w:rsid w:val="004557F9"/>
    <w:rsid w:val="004558FD"/>
    <w:rsid w:val="00455C02"/>
    <w:rsid w:val="00455CFA"/>
    <w:rsid w:val="00455FAF"/>
    <w:rsid w:val="00455FB4"/>
    <w:rsid w:val="0045604C"/>
    <w:rsid w:val="0045625E"/>
    <w:rsid w:val="004568D7"/>
    <w:rsid w:val="00456D62"/>
    <w:rsid w:val="00456EBE"/>
    <w:rsid w:val="00456ED5"/>
    <w:rsid w:val="0045705F"/>
    <w:rsid w:val="00457069"/>
    <w:rsid w:val="00457085"/>
    <w:rsid w:val="00457278"/>
    <w:rsid w:val="0045754F"/>
    <w:rsid w:val="00457EB1"/>
    <w:rsid w:val="00457F18"/>
    <w:rsid w:val="0046026C"/>
    <w:rsid w:val="00460470"/>
    <w:rsid w:val="004606D3"/>
    <w:rsid w:val="004607BD"/>
    <w:rsid w:val="004607C9"/>
    <w:rsid w:val="004607D3"/>
    <w:rsid w:val="0046094A"/>
    <w:rsid w:val="004609E7"/>
    <w:rsid w:val="00460D44"/>
    <w:rsid w:val="00460D5D"/>
    <w:rsid w:val="0046101C"/>
    <w:rsid w:val="0046152A"/>
    <w:rsid w:val="0046167A"/>
    <w:rsid w:val="004619B9"/>
    <w:rsid w:val="00461A43"/>
    <w:rsid w:val="00462172"/>
    <w:rsid w:val="00462298"/>
    <w:rsid w:val="004623E8"/>
    <w:rsid w:val="00462610"/>
    <w:rsid w:val="004628BE"/>
    <w:rsid w:val="0046291C"/>
    <w:rsid w:val="00462A13"/>
    <w:rsid w:val="00462A8D"/>
    <w:rsid w:val="00462E52"/>
    <w:rsid w:val="00462F09"/>
    <w:rsid w:val="004637B4"/>
    <w:rsid w:val="00463B55"/>
    <w:rsid w:val="00463D54"/>
    <w:rsid w:val="00464901"/>
    <w:rsid w:val="00464D23"/>
    <w:rsid w:val="004650F0"/>
    <w:rsid w:val="0046517D"/>
    <w:rsid w:val="004651C1"/>
    <w:rsid w:val="004652A2"/>
    <w:rsid w:val="004652D6"/>
    <w:rsid w:val="004655E7"/>
    <w:rsid w:val="004657B8"/>
    <w:rsid w:val="00465B68"/>
    <w:rsid w:val="00465CEA"/>
    <w:rsid w:val="00465F22"/>
    <w:rsid w:val="00465FFA"/>
    <w:rsid w:val="004664E3"/>
    <w:rsid w:val="004667ED"/>
    <w:rsid w:val="00466917"/>
    <w:rsid w:val="00466AED"/>
    <w:rsid w:val="00466C3F"/>
    <w:rsid w:val="00467134"/>
    <w:rsid w:val="0046734F"/>
    <w:rsid w:val="00467413"/>
    <w:rsid w:val="0046781D"/>
    <w:rsid w:val="0046782D"/>
    <w:rsid w:val="00467BEF"/>
    <w:rsid w:val="00467EAC"/>
    <w:rsid w:val="004705A1"/>
    <w:rsid w:val="004705B4"/>
    <w:rsid w:val="00470757"/>
    <w:rsid w:val="00471218"/>
    <w:rsid w:val="0047126F"/>
    <w:rsid w:val="00471309"/>
    <w:rsid w:val="0047153B"/>
    <w:rsid w:val="00471B95"/>
    <w:rsid w:val="00471BCF"/>
    <w:rsid w:val="00471E2A"/>
    <w:rsid w:val="00471E4A"/>
    <w:rsid w:val="00471E54"/>
    <w:rsid w:val="00471E9B"/>
    <w:rsid w:val="0047217D"/>
    <w:rsid w:val="0047223D"/>
    <w:rsid w:val="0047246E"/>
    <w:rsid w:val="004725F7"/>
    <w:rsid w:val="00472632"/>
    <w:rsid w:val="00472671"/>
    <w:rsid w:val="0047269C"/>
    <w:rsid w:val="0047286F"/>
    <w:rsid w:val="00472CA7"/>
    <w:rsid w:val="00472F8C"/>
    <w:rsid w:val="0047323B"/>
    <w:rsid w:val="00473393"/>
    <w:rsid w:val="0047383E"/>
    <w:rsid w:val="00473884"/>
    <w:rsid w:val="00473C05"/>
    <w:rsid w:val="00473D53"/>
    <w:rsid w:val="00474070"/>
    <w:rsid w:val="004741E7"/>
    <w:rsid w:val="004741EF"/>
    <w:rsid w:val="00474610"/>
    <w:rsid w:val="00474ABB"/>
    <w:rsid w:val="00474BA0"/>
    <w:rsid w:val="004751FA"/>
    <w:rsid w:val="004752AF"/>
    <w:rsid w:val="00475356"/>
    <w:rsid w:val="00475433"/>
    <w:rsid w:val="004756E9"/>
    <w:rsid w:val="00475C9E"/>
    <w:rsid w:val="00475CA9"/>
    <w:rsid w:val="0047607C"/>
    <w:rsid w:val="004760AF"/>
    <w:rsid w:val="004760FE"/>
    <w:rsid w:val="00476706"/>
    <w:rsid w:val="0047688B"/>
    <w:rsid w:val="004768F5"/>
    <w:rsid w:val="00476EBC"/>
    <w:rsid w:val="00476ECE"/>
    <w:rsid w:val="00477B73"/>
    <w:rsid w:val="00477C00"/>
    <w:rsid w:val="00477C50"/>
    <w:rsid w:val="00477EFE"/>
    <w:rsid w:val="00480403"/>
    <w:rsid w:val="00480584"/>
    <w:rsid w:val="0048059E"/>
    <w:rsid w:val="004806C4"/>
    <w:rsid w:val="004806EC"/>
    <w:rsid w:val="00480731"/>
    <w:rsid w:val="00480BF0"/>
    <w:rsid w:val="00480F06"/>
    <w:rsid w:val="00480FBC"/>
    <w:rsid w:val="004810C7"/>
    <w:rsid w:val="00481176"/>
    <w:rsid w:val="0048121F"/>
    <w:rsid w:val="004812AF"/>
    <w:rsid w:val="0048155A"/>
    <w:rsid w:val="004816B5"/>
    <w:rsid w:val="0048187B"/>
    <w:rsid w:val="004819C1"/>
    <w:rsid w:val="00481B93"/>
    <w:rsid w:val="00481BE4"/>
    <w:rsid w:val="00481C12"/>
    <w:rsid w:val="00481F8F"/>
    <w:rsid w:val="0048239C"/>
    <w:rsid w:val="004825CA"/>
    <w:rsid w:val="00482996"/>
    <w:rsid w:val="004829C5"/>
    <w:rsid w:val="00482BAD"/>
    <w:rsid w:val="00482E7F"/>
    <w:rsid w:val="00482F9E"/>
    <w:rsid w:val="00483303"/>
    <w:rsid w:val="0048347F"/>
    <w:rsid w:val="004834A8"/>
    <w:rsid w:val="00483903"/>
    <w:rsid w:val="004839B6"/>
    <w:rsid w:val="00483B73"/>
    <w:rsid w:val="0048417C"/>
    <w:rsid w:val="0048467B"/>
    <w:rsid w:val="00484742"/>
    <w:rsid w:val="0048479A"/>
    <w:rsid w:val="004847F6"/>
    <w:rsid w:val="00484836"/>
    <w:rsid w:val="00484B8E"/>
    <w:rsid w:val="00484BC1"/>
    <w:rsid w:val="00484C44"/>
    <w:rsid w:val="00484CAB"/>
    <w:rsid w:val="00484D2A"/>
    <w:rsid w:val="00484D77"/>
    <w:rsid w:val="00484F7D"/>
    <w:rsid w:val="00485247"/>
    <w:rsid w:val="0048539C"/>
    <w:rsid w:val="004855E2"/>
    <w:rsid w:val="00485623"/>
    <w:rsid w:val="004856E5"/>
    <w:rsid w:val="00485928"/>
    <w:rsid w:val="00485AC8"/>
    <w:rsid w:val="00485B23"/>
    <w:rsid w:val="004864B6"/>
    <w:rsid w:val="0048671C"/>
    <w:rsid w:val="00486D49"/>
    <w:rsid w:val="00486D76"/>
    <w:rsid w:val="0048733C"/>
    <w:rsid w:val="00487386"/>
    <w:rsid w:val="004875AC"/>
    <w:rsid w:val="004875F6"/>
    <w:rsid w:val="0048778F"/>
    <w:rsid w:val="0048779E"/>
    <w:rsid w:val="00487A9B"/>
    <w:rsid w:val="00487B58"/>
    <w:rsid w:val="00487D8A"/>
    <w:rsid w:val="00487DED"/>
    <w:rsid w:val="00487F62"/>
    <w:rsid w:val="00487F6E"/>
    <w:rsid w:val="004902E5"/>
    <w:rsid w:val="00490643"/>
    <w:rsid w:val="00490680"/>
    <w:rsid w:val="0049105D"/>
    <w:rsid w:val="0049107C"/>
    <w:rsid w:val="0049120A"/>
    <w:rsid w:val="00491501"/>
    <w:rsid w:val="004915A5"/>
    <w:rsid w:val="004915A6"/>
    <w:rsid w:val="00491691"/>
    <w:rsid w:val="00491D29"/>
    <w:rsid w:val="0049219B"/>
    <w:rsid w:val="004922AC"/>
    <w:rsid w:val="00492867"/>
    <w:rsid w:val="0049298E"/>
    <w:rsid w:val="00492B0D"/>
    <w:rsid w:val="00492DE5"/>
    <w:rsid w:val="00493272"/>
    <w:rsid w:val="00493286"/>
    <w:rsid w:val="004932A5"/>
    <w:rsid w:val="004933B6"/>
    <w:rsid w:val="00493477"/>
    <w:rsid w:val="0049383D"/>
    <w:rsid w:val="0049391E"/>
    <w:rsid w:val="00493938"/>
    <w:rsid w:val="00493ECA"/>
    <w:rsid w:val="00494045"/>
    <w:rsid w:val="004943E5"/>
    <w:rsid w:val="0049442D"/>
    <w:rsid w:val="00494556"/>
    <w:rsid w:val="004946AB"/>
    <w:rsid w:val="0049491B"/>
    <w:rsid w:val="00494BAF"/>
    <w:rsid w:val="00494C17"/>
    <w:rsid w:val="00494CC0"/>
    <w:rsid w:val="00494D79"/>
    <w:rsid w:val="00495018"/>
    <w:rsid w:val="0049526A"/>
    <w:rsid w:val="00495296"/>
    <w:rsid w:val="004952A3"/>
    <w:rsid w:val="004953A4"/>
    <w:rsid w:val="0049578B"/>
    <w:rsid w:val="004959B9"/>
    <w:rsid w:val="00495BA8"/>
    <w:rsid w:val="00495DE9"/>
    <w:rsid w:val="004963BA"/>
    <w:rsid w:val="004967C9"/>
    <w:rsid w:val="00496C7B"/>
    <w:rsid w:val="00496CBB"/>
    <w:rsid w:val="00496DBB"/>
    <w:rsid w:val="00497142"/>
    <w:rsid w:val="004971C7"/>
    <w:rsid w:val="00497226"/>
    <w:rsid w:val="0049726F"/>
    <w:rsid w:val="00497313"/>
    <w:rsid w:val="004976A7"/>
    <w:rsid w:val="0049778F"/>
    <w:rsid w:val="00497F72"/>
    <w:rsid w:val="004A0375"/>
    <w:rsid w:val="004A06D4"/>
    <w:rsid w:val="004A0802"/>
    <w:rsid w:val="004A0E5A"/>
    <w:rsid w:val="004A0F51"/>
    <w:rsid w:val="004A110A"/>
    <w:rsid w:val="004A11ED"/>
    <w:rsid w:val="004A1323"/>
    <w:rsid w:val="004A1477"/>
    <w:rsid w:val="004A17D5"/>
    <w:rsid w:val="004A17FC"/>
    <w:rsid w:val="004A1859"/>
    <w:rsid w:val="004A18EF"/>
    <w:rsid w:val="004A1F15"/>
    <w:rsid w:val="004A1F2D"/>
    <w:rsid w:val="004A2634"/>
    <w:rsid w:val="004A26B2"/>
    <w:rsid w:val="004A2A60"/>
    <w:rsid w:val="004A2C39"/>
    <w:rsid w:val="004A2CEF"/>
    <w:rsid w:val="004A2FA2"/>
    <w:rsid w:val="004A332A"/>
    <w:rsid w:val="004A33D1"/>
    <w:rsid w:val="004A3456"/>
    <w:rsid w:val="004A357B"/>
    <w:rsid w:val="004A367C"/>
    <w:rsid w:val="004A3757"/>
    <w:rsid w:val="004A37AF"/>
    <w:rsid w:val="004A37EE"/>
    <w:rsid w:val="004A3883"/>
    <w:rsid w:val="004A38AA"/>
    <w:rsid w:val="004A3D66"/>
    <w:rsid w:val="004A3ED8"/>
    <w:rsid w:val="004A3FA5"/>
    <w:rsid w:val="004A401A"/>
    <w:rsid w:val="004A404A"/>
    <w:rsid w:val="004A430E"/>
    <w:rsid w:val="004A432F"/>
    <w:rsid w:val="004A4330"/>
    <w:rsid w:val="004A4361"/>
    <w:rsid w:val="004A4519"/>
    <w:rsid w:val="004A4844"/>
    <w:rsid w:val="004A4966"/>
    <w:rsid w:val="004A4986"/>
    <w:rsid w:val="004A4C95"/>
    <w:rsid w:val="004A4D63"/>
    <w:rsid w:val="004A4D7B"/>
    <w:rsid w:val="004A4DD7"/>
    <w:rsid w:val="004A4E7C"/>
    <w:rsid w:val="004A508F"/>
    <w:rsid w:val="004A549E"/>
    <w:rsid w:val="004A586B"/>
    <w:rsid w:val="004A6024"/>
    <w:rsid w:val="004A60E5"/>
    <w:rsid w:val="004A611A"/>
    <w:rsid w:val="004A6130"/>
    <w:rsid w:val="004A627A"/>
    <w:rsid w:val="004A62E4"/>
    <w:rsid w:val="004A643C"/>
    <w:rsid w:val="004A645A"/>
    <w:rsid w:val="004A6725"/>
    <w:rsid w:val="004A687B"/>
    <w:rsid w:val="004A6E3B"/>
    <w:rsid w:val="004A72C6"/>
    <w:rsid w:val="004A7757"/>
    <w:rsid w:val="004A790F"/>
    <w:rsid w:val="004A7B52"/>
    <w:rsid w:val="004A7DB2"/>
    <w:rsid w:val="004A7F42"/>
    <w:rsid w:val="004B0207"/>
    <w:rsid w:val="004B058F"/>
    <w:rsid w:val="004B073A"/>
    <w:rsid w:val="004B0C08"/>
    <w:rsid w:val="004B0CC6"/>
    <w:rsid w:val="004B0CFC"/>
    <w:rsid w:val="004B13D3"/>
    <w:rsid w:val="004B147D"/>
    <w:rsid w:val="004B1623"/>
    <w:rsid w:val="004B187C"/>
    <w:rsid w:val="004B18B7"/>
    <w:rsid w:val="004B1E29"/>
    <w:rsid w:val="004B1F8B"/>
    <w:rsid w:val="004B1FF1"/>
    <w:rsid w:val="004B2145"/>
    <w:rsid w:val="004B2484"/>
    <w:rsid w:val="004B24CE"/>
    <w:rsid w:val="004B252D"/>
    <w:rsid w:val="004B25D6"/>
    <w:rsid w:val="004B26FF"/>
    <w:rsid w:val="004B2B7E"/>
    <w:rsid w:val="004B2BAC"/>
    <w:rsid w:val="004B2CCA"/>
    <w:rsid w:val="004B2DEF"/>
    <w:rsid w:val="004B325F"/>
    <w:rsid w:val="004B32DF"/>
    <w:rsid w:val="004B33BF"/>
    <w:rsid w:val="004B3563"/>
    <w:rsid w:val="004B3756"/>
    <w:rsid w:val="004B3BB7"/>
    <w:rsid w:val="004B3F84"/>
    <w:rsid w:val="004B40A5"/>
    <w:rsid w:val="004B473E"/>
    <w:rsid w:val="004B4B45"/>
    <w:rsid w:val="004B4D13"/>
    <w:rsid w:val="004B4FD8"/>
    <w:rsid w:val="004B522A"/>
    <w:rsid w:val="004B5D9C"/>
    <w:rsid w:val="004B5E88"/>
    <w:rsid w:val="004B5F0E"/>
    <w:rsid w:val="004B6B31"/>
    <w:rsid w:val="004B6D16"/>
    <w:rsid w:val="004B6E95"/>
    <w:rsid w:val="004B6F30"/>
    <w:rsid w:val="004B7242"/>
    <w:rsid w:val="004B77FF"/>
    <w:rsid w:val="004B7BA2"/>
    <w:rsid w:val="004C0170"/>
    <w:rsid w:val="004C02F6"/>
    <w:rsid w:val="004C0708"/>
    <w:rsid w:val="004C086F"/>
    <w:rsid w:val="004C0C91"/>
    <w:rsid w:val="004C15CD"/>
    <w:rsid w:val="004C18FD"/>
    <w:rsid w:val="004C1A5A"/>
    <w:rsid w:val="004C1E68"/>
    <w:rsid w:val="004C227E"/>
    <w:rsid w:val="004C2352"/>
    <w:rsid w:val="004C257D"/>
    <w:rsid w:val="004C2616"/>
    <w:rsid w:val="004C2715"/>
    <w:rsid w:val="004C28DB"/>
    <w:rsid w:val="004C29B7"/>
    <w:rsid w:val="004C2F15"/>
    <w:rsid w:val="004C3310"/>
    <w:rsid w:val="004C3345"/>
    <w:rsid w:val="004C34E0"/>
    <w:rsid w:val="004C351A"/>
    <w:rsid w:val="004C3984"/>
    <w:rsid w:val="004C44D6"/>
    <w:rsid w:val="004C44E3"/>
    <w:rsid w:val="004C4724"/>
    <w:rsid w:val="004C4CA6"/>
    <w:rsid w:val="004C4F3D"/>
    <w:rsid w:val="004C4F44"/>
    <w:rsid w:val="004C534C"/>
    <w:rsid w:val="004C53E3"/>
    <w:rsid w:val="004C55E0"/>
    <w:rsid w:val="004C5A62"/>
    <w:rsid w:val="004C5BBE"/>
    <w:rsid w:val="004C5CCE"/>
    <w:rsid w:val="004C5EA3"/>
    <w:rsid w:val="004C5FF1"/>
    <w:rsid w:val="004C6076"/>
    <w:rsid w:val="004C61C8"/>
    <w:rsid w:val="004C6297"/>
    <w:rsid w:val="004C6604"/>
    <w:rsid w:val="004C682E"/>
    <w:rsid w:val="004C69B2"/>
    <w:rsid w:val="004C6D51"/>
    <w:rsid w:val="004C6D96"/>
    <w:rsid w:val="004C70A5"/>
    <w:rsid w:val="004C721F"/>
    <w:rsid w:val="004C7834"/>
    <w:rsid w:val="004C79DD"/>
    <w:rsid w:val="004C7AD4"/>
    <w:rsid w:val="004C7CF2"/>
    <w:rsid w:val="004C7DBC"/>
    <w:rsid w:val="004C7E05"/>
    <w:rsid w:val="004D01C5"/>
    <w:rsid w:val="004D0505"/>
    <w:rsid w:val="004D0506"/>
    <w:rsid w:val="004D077C"/>
    <w:rsid w:val="004D0A0E"/>
    <w:rsid w:val="004D0C4C"/>
    <w:rsid w:val="004D0C74"/>
    <w:rsid w:val="004D0DA7"/>
    <w:rsid w:val="004D1591"/>
    <w:rsid w:val="004D1B6F"/>
    <w:rsid w:val="004D1B94"/>
    <w:rsid w:val="004D1E15"/>
    <w:rsid w:val="004D1FE6"/>
    <w:rsid w:val="004D225B"/>
    <w:rsid w:val="004D27C2"/>
    <w:rsid w:val="004D2942"/>
    <w:rsid w:val="004D2A78"/>
    <w:rsid w:val="004D2B20"/>
    <w:rsid w:val="004D2DC7"/>
    <w:rsid w:val="004D2E4C"/>
    <w:rsid w:val="004D2FFC"/>
    <w:rsid w:val="004D332D"/>
    <w:rsid w:val="004D33DF"/>
    <w:rsid w:val="004D33E0"/>
    <w:rsid w:val="004D38F2"/>
    <w:rsid w:val="004D3BE4"/>
    <w:rsid w:val="004D3DC2"/>
    <w:rsid w:val="004D3E54"/>
    <w:rsid w:val="004D4141"/>
    <w:rsid w:val="004D446F"/>
    <w:rsid w:val="004D4521"/>
    <w:rsid w:val="004D4662"/>
    <w:rsid w:val="004D4AA3"/>
    <w:rsid w:val="004D4AAA"/>
    <w:rsid w:val="004D4DE0"/>
    <w:rsid w:val="004D517B"/>
    <w:rsid w:val="004D54A9"/>
    <w:rsid w:val="004D598A"/>
    <w:rsid w:val="004D64FD"/>
    <w:rsid w:val="004D674B"/>
    <w:rsid w:val="004D6BF6"/>
    <w:rsid w:val="004D6DEF"/>
    <w:rsid w:val="004D6E70"/>
    <w:rsid w:val="004D6FE0"/>
    <w:rsid w:val="004D728A"/>
    <w:rsid w:val="004D7415"/>
    <w:rsid w:val="004D749C"/>
    <w:rsid w:val="004D7861"/>
    <w:rsid w:val="004D790B"/>
    <w:rsid w:val="004D7B7C"/>
    <w:rsid w:val="004D7F81"/>
    <w:rsid w:val="004E0000"/>
    <w:rsid w:val="004E022C"/>
    <w:rsid w:val="004E04F4"/>
    <w:rsid w:val="004E0A59"/>
    <w:rsid w:val="004E0BFD"/>
    <w:rsid w:val="004E0C35"/>
    <w:rsid w:val="004E0EAA"/>
    <w:rsid w:val="004E181B"/>
    <w:rsid w:val="004E18FC"/>
    <w:rsid w:val="004E1A66"/>
    <w:rsid w:val="004E1B04"/>
    <w:rsid w:val="004E1FE0"/>
    <w:rsid w:val="004E2560"/>
    <w:rsid w:val="004E273C"/>
    <w:rsid w:val="004E2782"/>
    <w:rsid w:val="004E2A05"/>
    <w:rsid w:val="004E2B96"/>
    <w:rsid w:val="004E2CC4"/>
    <w:rsid w:val="004E2E39"/>
    <w:rsid w:val="004E2EC6"/>
    <w:rsid w:val="004E3025"/>
    <w:rsid w:val="004E3131"/>
    <w:rsid w:val="004E34E0"/>
    <w:rsid w:val="004E359C"/>
    <w:rsid w:val="004E3623"/>
    <w:rsid w:val="004E380B"/>
    <w:rsid w:val="004E3944"/>
    <w:rsid w:val="004E39A7"/>
    <w:rsid w:val="004E3B7A"/>
    <w:rsid w:val="004E3BB9"/>
    <w:rsid w:val="004E3C56"/>
    <w:rsid w:val="004E3CBA"/>
    <w:rsid w:val="004E3D7D"/>
    <w:rsid w:val="004E3FB9"/>
    <w:rsid w:val="004E3FF3"/>
    <w:rsid w:val="004E4061"/>
    <w:rsid w:val="004E44E8"/>
    <w:rsid w:val="004E4532"/>
    <w:rsid w:val="004E47DB"/>
    <w:rsid w:val="004E49F1"/>
    <w:rsid w:val="004E4A46"/>
    <w:rsid w:val="004E4B1B"/>
    <w:rsid w:val="004E4BE0"/>
    <w:rsid w:val="004E4DAE"/>
    <w:rsid w:val="004E4F55"/>
    <w:rsid w:val="004E4FD3"/>
    <w:rsid w:val="004E50DA"/>
    <w:rsid w:val="004E5246"/>
    <w:rsid w:val="004E5716"/>
    <w:rsid w:val="004E5851"/>
    <w:rsid w:val="004E5859"/>
    <w:rsid w:val="004E59BB"/>
    <w:rsid w:val="004E5F63"/>
    <w:rsid w:val="004E63CD"/>
    <w:rsid w:val="004E64EA"/>
    <w:rsid w:val="004E6920"/>
    <w:rsid w:val="004E7169"/>
    <w:rsid w:val="004E71EA"/>
    <w:rsid w:val="004E738F"/>
    <w:rsid w:val="004E760E"/>
    <w:rsid w:val="004E766D"/>
    <w:rsid w:val="004E7DDE"/>
    <w:rsid w:val="004E7F3C"/>
    <w:rsid w:val="004E7FF8"/>
    <w:rsid w:val="004F0030"/>
    <w:rsid w:val="004F017B"/>
    <w:rsid w:val="004F06B3"/>
    <w:rsid w:val="004F083E"/>
    <w:rsid w:val="004F0BD3"/>
    <w:rsid w:val="004F0C86"/>
    <w:rsid w:val="004F0CD8"/>
    <w:rsid w:val="004F0D01"/>
    <w:rsid w:val="004F0DE9"/>
    <w:rsid w:val="004F0EA3"/>
    <w:rsid w:val="004F1564"/>
    <w:rsid w:val="004F1744"/>
    <w:rsid w:val="004F1B9B"/>
    <w:rsid w:val="004F1CEB"/>
    <w:rsid w:val="004F1E84"/>
    <w:rsid w:val="004F2102"/>
    <w:rsid w:val="004F235D"/>
    <w:rsid w:val="004F27E9"/>
    <w:rsid w:val="004F2A0A"/>
    <w:rsid w:val="004F2B45"/>
    <w:rsid w:val="004F2DD6"/>
    <w:rsid w:val="004F2EC0"/>
    <w:rsid w:val="004F32C8"/>
    <w:rsid w:val="004F3416"/>
    <w:rsid w:val="004F35B6"/>
    <w:rsid w:val="004F37B6"/>
    <w:rsid w:val="004F383C"/>
    <w:rsid w:val="004F38CA"/>
    <w:rsid w:val="004F3D96"/>
    <w:rsid w:val="004F3E04"/>
    <w:rsid w:val="004F3FBF"/>
    <w:rsid w:val="004F452C"/>
    <w:rsid w:val="004F4782"/>
    <w:rsid w:val="004F4A28"/>
    <w:rsid w:val="004F4F3B"/>
    <w:rsid w:val="004F5327"/>
    <w:rsid w:val="004F593B"/>
    <w:rsid w:val="004F5A1F"/>
    <w:rsid w:val="004F5B59"/>
    <w:rsid w:val="004F5D80"/>
    <w:rsid w:val="004F5E53"/>
    <w:rsid w:val="004F60AB"/>
    <w:rsid w:val="004F611F"/>
    <w:rsid w:val="004F637D"/>
    <w:rsid w:val="004F63F3"/>
    <w:rsid w:val="004F6CA7"/>
    <w:rsid w:val="004F6E7E"/>
    <w:rsid w:val="004F7507"/>
    <w:rsid w:val="004F7E5A"/>
    <w:rsid w:val="004F7FF4"/>
    <w:rsid w:val="00500109"/>
    <w:rsid w:val="0050054E"/>
    <w:rsid w:val="00500737"/>
    <w:rsid w:val="005009F4"/>
    <w:rsid w:val="00500BB5"/>
    <w:rsid w:val="00500C6F"/>
    <w:rsid w:val="00500E83"/>
    <w:rsid w:val="00500F61"/>
    <w:rsid w:val="00501010"/>
    <w:rsid w:val="0050102A"/>
    <w:rsid w:val="0050139C"/>
    <w:rsid w:val="005013B5"/>
    <w:rsid w:val="005017B5"/>
    <w:rsid w:val="0050193C"/>
    <w:rsid w:val="00501ADC"/>
    <w:rsid w:val="00502211"/>
    <w:rsid w:val="0050274F"/>
    <w:rsid w:val="0050308C"/>
    <w:rsid w:val="005034BB"/>
    <w:rsid w:val="00503600"/>
    <w:rsid w:val="0050369F"/>
    <w:rsid w:val="005038A4"/>
    <w:rsid w:val="00503960"/>
    <w:rsid w:val="005039E6"/>
    <w:rsid w:val="00503A64"/>
    <w:rsid w:val="00503A8E"/>
    <w:rsid w:val="00503CB0"/>
    <w:rsid w:val="00503E27"/>
    <w:rsid w:val="00503E2A"/>
    <w:rsid w:val="0050460F"/>
    <w:rsid w:val="00504852"/>
    <w:rsid w:val="00504900"/>
    <w:rsid w:val="00504ADE"/>
    <w:rsid w:val="00504D41"/>
    <w:rsid w:val="00504D89"/>
    <w:rsid w:val="00504DB1"/>
    <w:rsid w:val="00504E07"/>
    <w:rsid w:val="00504EDD"/>
    <w:rsid w:val="00505182"/>
    <w:rsid w:val="00505891"/>
    <w:rsid w:val="00505E98"/>
    <w:rsid w:val="00506261"/>
    <w:rsid w:val="0050631F"/>
    <w:rsid w:val="005066AC"/>
    <w:rsid w:val="005067D7"/>
    <w:rsid w:val="005067FA"/>
    <w:rsid w:val="0050691D"/>
    <w:rsid w:val="00506B9C"/>
    <w:rsid w:val="0050750F"/>
    <w:rsid w:val="0050751F"/>
    <w:rsid w:val="00507723"/>
    <w:rsid w:val="005078C9"/>
    <w:rsid w:val="00507A77"/>
    <w:rsid w:val="00507B0E"/>
    <w:rsid w:val="00507BE0"/>
    <w:rsid w:val="00507D72"/>
    <w:rsid w:val="00507D76"/>
    <w:rsid w:val="005100D1"/>
    <w:rsid w:val="005102C8"/>
    <w:rsid w:val="0051030C"/>
    <w:rsid w:val="00510344"/>
    <w:rsid w:val="00510354"/>
    <w:rsid w:val="00510391"/>
    <w:rsid w:val="0051064A"/>
    <w:rsid w:val="0051092D"/>
    <w:rsid w:val="005109F1"/>
    <w:rsid w:val="00510D49"/>
    <w:rsid w:val="00510E5A"/>
    <w:rsid w:val="00510F60"/>
    <w:rsid w:val="005110C3"/>
    <w:rsid w:val="00511162"/>
    <w:rsid w:val="00511397"/>
    <w:rsid w:val="00511A09"/>
    <w:rsid w:val="00511A23"/>
    <w:rsid w:val="005121A7"/>
    <w:rsid w:val="005121CE"/>
    <w:rsid w:val="005121F1"/>
    <w:rsid w:val="0051236D"/>
    <w:rsid w:val="00512687"/>
    <w:rsid w:val="00512712"/>
    <w:rsid w:val="00512CFE"/>
    <w:rsid w:val="00512DB7"/>
    <w:rsid w:val="00512FC6"/>
    <w:rsid w:val="005136BB"/>
    <w:rsid w:val="00513729"/>
    <w:rsid w:val="00513AC0"/>
    <w:rsid w:val="00513C27"/>
    <w:rsid w:val="00513E23"/>
    <w:rsid w:val="0051408B"/>
    <w:rsid w:val="00514418"/>
    <w:rsid w:val="00514791"/>
    <w:rsid w:val="0051493D"/>
    <w:rsid w:val="005149BD"/>
    <w:rsid w:val="00514A38"/>
    <w:rsid w:val="00514BB4"/>
    <w:rsid w:val="00514FBD"/>
    <w:rsid w:val="005150A3"/>
    <w:rsid w:val="00515181"/>
    <w:rsid w:val="00515285"/>
    <w:rsid w:val="005153A8"/>
    <w:rsid w:val="00515524"/>
    <w:rsid w:val="005156E7"/>
    <w:rsid w:val="00515875"/>
    <w:rsid w:val="00515901"/>
    <w:rsid w:val="005159C0"/>
    <w:rsid w:val="00515AD1"/>
    <w:rsid w:val="00515EEF"/>
    <w:rsid w:val="00515F3F"/>
    <w:rsid w:val="00516335"/>
    <w:rsid w:val="005166BD"/>
    <w:rsid w:val="005166EF"/>
    <w:rsid w:val="005168AF"/>
    <w:rsid w:val="00516F72"/>
    <w:rsid w:val="0051781D"/>
    <w:rsid w:val="00517F72"/>
    <w:rsid w:val="00520599"/>
    <w:rsid w:val="00520C2F"/>
    <w:rsid w:val="00520E03"/>
    <w:rsid w:val="00520E05"/>
    <w:rsid w:val="00520ECB"/>
    <w:rsid w:val="0052106A"/>
    <w:rsid w:val="005212BA"/>
    <w:rsid w:val="005218AE"/>
    <w:rsid w:val="005218E0"/>
    <w:rsid w:val="00521932"/>
    <w:rsid w:val="00521C9B"/>
    <w:rsid w:val="00521D61"/>
    <w:rsid w:val="005229EA"/>
    <w:rsid w:val="00522F31"/>
    <w:rsid w:val="005232A2"/>
    <w:rsid w:val="005238A3"/>
    <w:rsid w:val="00523C55"/>
    <w:rsid w:val="00523CBF"/>
    <w:rsid w:val="005243F8"/>
    <w:rsid w:val="0052488F"/>
    <w:rsid w:val="00524BC9"/>
    <w:rsid w:val="00524C23"/>
    <w:rsid w:val="00524E8E"/>
    <w:rsid w:val="0052518D"/>
    <w:rsid w:val="005251E0"/>
    <w:rsid w:val="00525258"/>
    <w:rsid w:val="00525435"/>
    <w:rsid w:val="005257F6"/>
    <w:rsid w:val="00525983"/>
    <w:rsid w:val="005259E5"/>
    <w:rsid w:val="00525AD6"/>
    <w:rsid w:val="00525B9F"/>
    <w:rsid w:val="0052613F"/>
    <w:rsid w:val="00526172"/>
    <w:rsid w:val="0052665B"/>
    <w:rsid w:val="00526AAC"/>
    <w:rsid w:val="00526E65"/>
    <w:rsid w:val="00526F90"/>
    <w:rsid w:val="005270A8"/>
    <w:rsid w:val="005271C2"/>
    <w:rsid w:val="00527947"/>
    <w:rsid w:val="00527A3C"/>
    <w:rsid w:val="00527C76"/>
    <w:rsid w:val="00527CDE"/>
    <w:rsid w:val="005308F8"/>
    <w:rsid w:val="00530C0D"/>
    <w:rsid w:val="00530C39"/>
    <w:rsid w:val="00530C98"/>
    <w:rsid w:val="00530F04"/>
    <w:rsid w:val="0053105A"/>
    <w:rsid w:val="005312FF"/>
    <w:rsid w:val="005318D9"/>
    <w:rsid w:val="00531936"/>
    <w:rsid w:val="00531A8E"/>
    <w:rsid w:val="00531B95"/>
    <w:rsid w:val="00531CD4"/>
    <w:rsid w:val="00531D64"/>
    <w:rsid w:val="005325E5"/>
    <w:rsid w:val="00532A74"/>
    <w:rsid w:val="00532B7C"/>
    <w:rsid w:val="005331D1"/>
    <w:rsid w:val="00533339"/>
    <w:rsid w:val="00533426"/>
    <w:rsid w:val="005336B8"/>
    <w:rsid w:val="005337C6"/>
    <w:rsid w:val="00533B05"/>
    <w:rsid w:val="00533C20"/>
    <w:rsid w:val="00533FE7"/>
    <w:rsid w:val="0053409D"/>
    <w:rsid w:val="00534138"/>
    <w:rsid w:val="0053417D"/>
    <w:rsid w:val="005343C9"/>
    <w:rsid w:val="0053472A"/>
    <w:rsid w:val="00534767"/>
    <w:rsid w:val="005348D2"/>
    <w:rsid w:val="00534920"/>
    <w:rsid w:val="00534A11"/>
    <w:rsid w:val="00534CE4"/>
    <w:rsid w:val="00534E4D"/>
    <w:rsid w:val="00535451"/>
    <w:rsid w:val="0053554F"/>
    <w:rsid w:val="00535613"/>
    <w:rsid w:val="00535803"/>
    <w:rsid w:val="00535E52"/>
    <w:rsid w:val="00536293"/>
    <w:rsid w:val="0053636D"/>
    <w:rsid w:val="0053672E"/>
    <w:rsid w:val="005367E2"/>
    <w:rsid w:val="00536A35"/>
    <w:rsid w:val="00536C0F"/>
    <w:rsid w:val="00536CDC"/>
    <w:rsid w:val="00536D8F"/>
    <w:rsid w:val="00536D9A"/>
    <w:rsid w:val="00536EFF"/>
    <w:rsid w:val="005373F3"/>
    <w:rsid w:val="00537887"/>
    <w:rsid w:val="005378EF"/>
    <w:rsid w:val="00537E65"/>
    <w:rsid w:val="00537EBB"/>
    <w:rsid w:val="0054020A"/>
    <w:rsid w:val="00540252"/>
    <w:rsid w:val="005402A0"/>
    <w:rsid w:val="0054066E"/>
    <w:rsid w:val="00540D8E"/>
    <w:rsid w:val="0054104F"/>
    <w:rsid w:val="00541139"/>
    <w:rsid w:val="005414EC"/>
    <w:rsid w:val="00541CF1"/>
    <w:rsid w:val="00541EFD"/>
    <w:rsid w:val="00542057"/>
    <w:rsid w:val="0054214B"/>
    <w:rsid w:val="005423B7"/>
    <w:rsid w:val="00542474"/>
    <w:rsid w:val="00542490"/>
    <w:rsid w:val="0054253C"/>
    <w:rsid w:val="0054286B"/>
    <w:rsid w:val="00542A97"/>
    <w:rsid w:val="00542BCA"/>
    <w:rsid w:val="00542C2D"/>
    <w:rsid w:val="00542E44"/>
    <w:rsid w:val="00542F12"/>
    <w:rsid w:val="00543257"/>
    <w:rsid w:val="00543380"/>
    <w:rsid w:val="005433FD"/>
    <w:rsid w:val="005438F7"/>
    <w:rsid w:val="00543E0F"/>
    <w:rsid w:val="005444E8"/>
    <w:rsid w:val="0054455F"/>
    <w:rsid w:val="005445AE"/>
    <w:rsid w:val="005446EA"/>
    <w:rsid w:val="0054479A"/>
    <w:rsid w:val="005448F9"/>
    <w:rsid w:val="0054490F"/>
    <w:rsid w:val="00544914"/>
    <w:rsid w:val="00544EA8"/>
    <w:rsid w:val="0054518B"/>
    <w:rsid w:val="0054581B"/>
    <w:rsid w:val="0054597C"/>
    <w:rsid w:val="00545A5F"/>
    <w:rsid w:val="00545CDA"/>
    <w:rsid w:val="00545F5D"/>
    <w:rsid w:val="005461D3"/>
    <w:rsid w:val="005462B3"/>
    <w:rsid w:val="0054650E"/>
    <w:rsid w:val="0054655D"/>
    <w:rsid w:val="005465B5"/>
    <w:rsid w:val="00546782"/>
    <w:rsid w:val="00546C3E"/>
    <w:rsid w:val="00546CA8"/>
    <w:rsid w:val="00546DAD"/>
    <w:rsid w:val="00546DBD"/>
    <w:rsid w:val="00546FF2"/>
    <w:rsid w:val="005474CC"/>
    <w:rsid w:val="00547544"/>
    <w:rsid w:val="00547697"/>
    <w:rsid w:val="005477F5"/>
    <w:rsid w:val="005478AD"/>
    <w:rsid w:val="005478E7"/>
    <w:rsid w:val="0054796C"/>
    <w:rsid w:val="00547D4B"/>
    <w:rsid w:val="00547E35"/>
    <w:rsid w:val="005509D7"/>
    <w:rsid w:val="00550BC4"/>
    <w:rsid w:val="00550C03"/>
    <w:rsid w:val="00550C52"/>
    <w:rsid w:val="005510BC"/>
    <w:rsid w:val="00551322"/>
    <w:rsid w:val="005513E2"/>
    <w:rsid w:val="00551D03"/>
    <w:rsid w:val="00551DC6"/>
    <w:rsid w:val="00551EBB"/>
    <w:rsid w:val="00551F5B"/>
    <w:rsid w:val="005524FE"/>
    <w:rsid w:val="0055252F"/>
    <w:rsid w:val="00552668"/>
    <w:rsid w:val="005528BA"/>
    <w:rsid w:val="00552F3D"/>
    <w:rsid w:val="005531FC"/>
    <w:rsid w:val="00553558"/>
    <w:rsid w:val="005538D5"/>
    <w:rsid w:val="005538D8"/>
    <w:rsid w:val="005539EC"/>
    <w:rsid w:val="00553AB1"/>
    <w:rsid w:val="00554068"/>
    <w:rsid w:val="005541E2"/>
    <w:rsid w:val="005542D7"/>
    <w:rsid w:val="0055445C"/>
    <w:rsid w:val="00554666"/>
    <w:rsid w:val="005547E2"/>
    <w:rsid w:val="005548A4"/>
    <w:rsid w:val="00555270"/>
    <w:rsid w:val="00555379"/>
    <w:rsid w:val="005558A0"/>
    <w:rsid w:val="00555A26"/>
    <w:rsid w:val="00555CA2"/>
    <w:rsid w:val="00555D1C"/>
    <w:rsid w:val="00555D39"/>
    <w:rsid w:val="00556165"/>
    <w:rsid w:val="0055636F"/>
    <w:rsid w:val="00556426"/>
    <w:rsid w:val="00556854"/>
    <w:rsid w:val="00556873"/>
    <w:rsid w:val="005572BE"/>
    <w:rsid w:val="0055731D"/>
    <w:rsid w:val="00557E48"/>
    <w:rsid w:val="00560660"/>
    <w:rsid w:val="00560C52"/>
    <w:rsid w:val="00560D95"/>
    <w:rsid w:val="00560F97"/>
    <w:rsid w:val="00560FC7"/>
    <w:rsid w:val="0056112E"/>
    <w:rsid w:val="005613EC"/>
    <w:rsid w:val="00561F86"/>
    <w:rsid w:val="0056225F"/>
    <w:rsid w:val="005627EF"/>
    <w:rsid w:val="005628CA"/>
    <w:rsid w:val="005629C8"/>
    <w:rsid w:val="00562B4C"/>
    <w:rsid w:val="00562C0B"/>
    <w:rsid w:val="00562E39"/>
    <w:rsid w:val="00562FD6"/>
    <w:rsid w:val="005634E0"/>
    <w:rsid w:val="005637BA"/>
    <w:rsid w:val="005639BB"/>
    <w:rsid w:val="00563BE1"/>
    <w:rsid w:val="00563DFB"/>
    <w:rsid w:val="00564051"/>
    <w:rsid w:val="005640CA"/>
    <w:rsid w:val="005647BA"/>
    <w:rsid w:val="00564918"/>
    <w:rsid w:val="00564926"/>
    <w:rsid w:val="00564CBF"/>
    <w:rsid w:val="005650C7"/>
    <w:rsid w:val="00565334"/>
    <w:rsid w:val="005655BA"/>
    <w:rsid w:val="00565766"/>
    <w:rsid w:val="00565836"/>
    <w:rsid w:val="0056592B"/>
    <w:rsid w:val="00565ED0"/>
    <w:rsid w:val="00565F27"/>
    <w:rsid w:val="005660F7"/>
    <w:rsid w:val="0056612B"/>
    <w:rsid w:val="00566234"/>
    <w:rsid w:val="00566264"/>
    <w:rsid w:val="00566483"/>
    <w:rsid w:val="005665BD"/>
    <w:rsid w:val="005665CB"/>
    <w:rsid w:val="00566C30"/>
    <w:rsid w:val="00566C5B"/>
    <w:rsid w:val="00566D8F"/>
    <w:rsid w:val="005670E4"/>
    <w:rsid w:val="005673FB"/>
    <w:rsid w:val="00567460"/>
    <w:rsid w:val="005674D2"/>
    <w:rsid w:val="005677C7"/>
    <w:rsid w:val="005677FB"/>
    <w:rsid w:val="00567A1C"/>
    <w:rsid w:val="00567BC2"/>
    <w:rsid w:val="00567C3F"/>
    <w:rsid w:val="00567F6D"/>
    <w:rsid w:val="0057057D"/>
    <w:rsid w:val="00570633"/>
    <w:rsid w:val="005706BA"/>
    <w:rsid w:val="00570BCA"/>
    <w:rsid w:val="00570D23"/>
    <w:rsid w:val="00570D66"/>
    <w:rsid w:val="00570E9F"/>
    <w:rsid w:val="00570FAA"/>
    <w:rsid w:val="0057117D"/>
    <w:rsid w:val="00571321"/>
    <w:rsid w:val="00571851"/>
    <w:rsid w:val="00571D48"/>
    <w:rsid w:val="00571ED4"/>
    <w:rsid w:val="005721AB"/>
    <w:rsid w:val="00572240"/>
    <w:rsid w:val="00572286"/>
    <w:rsid w:val="005727DB"/>
    <w:rsid w:val="00572D5A"/>
    <w:rsid w:val="0057319D"/>
    <w:rsid w:val="0057369B"/>
    <w:rsid w:val="0057376D"/>
    <w:rsid w:val="0057392C"/>
    <w:rsid w:val="00573C2C"/>
    <w:rsid w:val="00573D4C"/>
    <w:rsid w:val="00573E4F"/>
    <w:rsid w:val="00573F72"/>
    <w:rsid w:val="00574680"/>
    <w:rsid w:val="0057485A"/>
    <w:rsid w:val="005748DC"/>
    <w:rsid w:val="00574C53"/>
    <w:rsid w:val="00574EA5"/>
    <w:rsid w:val="00575010"/>
    <w:rsid w:val="00575396"/>
    <w:rsid w:val="00575543"/>
    <w:rsid w:val="00575723"/>
    <w:rsid w:val="0057573D"/>
    <w:rsid w:val="0057586E"/>
    <w:rsid w:val="00575942"/>
    <w:rsid w:val="00575BF3"/>
    <w:rsid w:val="00575E93"/>
    <w:rsid w:val="0057606A"/>
    <w:rsid w:val="005765CF"/>
    <w:rsid w:val="00576790"/>
    <w:rsid w:val="00576969"/>
    <w:rsid w:val="005769CC"/>
    <w:rsid w:val="00576C2C"/>
    <w:rsid w:val="00576DB2"/>
    <w:rsid w:val="00576DD9"/>
    <w:rsid w:val="00576E45"/>
    <w:rsid w:val="00576E47"/>
    <w:rsid w:val="00576FC3"/>
    <w:rsid w:val="0057741E"/>
    <w:rsid w:val="0057755F"/>
    <w:rsid w:val="005776F3"/>
    <w:rsid w:val="00577940"/>
    <w:rsid w:val="00577C86"/>
    <w:rsid w:val="00577E13"/>
    <w:rsid w:val="00577FAD"/>
    <w:rsid w:val="005802DD"/>
    <w:rsid w:val="00580331"/>
    <w:rsid w:val="005803B7"/>
    <w:rsid w:val="005809A7"/>
    <w:rsid w:val="005809FF"/>
    <w:rsid w:val="00580A6D"/>
    <w:rsid w:val="00580A76"/>
    <w:rsid w:val="00580D68"/>
    <w:rsid w:val="00580ED7"/>
    <w:rsid w:val="005811DC"/>
    <w:rsid w:val="005812DC"/>
    <w:rsid w:val="00581541"/>
    <w:rsid w:val="005822F7"/>
    <w:rsid w:val="005824BE"/>
    <w:rsid w:val="0058269B"/>
    <w:rsid w:val="005826D8"/>
    <w:rsid w:val="005829FB"/>
    <w:rsid w:val="00582B18"/>
    <w:rsid w:val="00583219"/>
    <w:rsid w:val="0058359B"/>
    <w:rsid w:val="0058369D"/>
    <w:rsid w:val="00583BAF"/>
    <w:rsid w:val="00583E4A"/>
    <w:rsid w:val="00583FDF"/>
    <w:rsid w:val="00584136"/>
    <w:rsid w:val="005843D0"/>
    <w:rsid w:val="00584485"/>
    <w:rsid w:val="00584705"/>
    <w:rsid w:val="00584D1B"/>
    <w:rsid w:val="00585398"/>
    <w:rsid w:val="00585421"/>
    <w:rsid w:val="005857FB"/>
    <w:rsid w:val="00585D71"/>
    <w:rsid w:val="00585EC8"/>
    <w:rsid w:val="00585FD2"/>
    <w:rsid w:val="00586131"/>
    <w:rsid w:val="0058614B"/>
    <w:rsid w:val="0058628D"/>
    <w:rsid w:val="0058679B"/>
    <w:rsid w:val="00586CB3"/>
    <w:rsid w:val="00586CB4"/>
    <w:rsid w:val="00586FCB"/>
    <w:rsid w:val="005870C0"/>
    <w:rsid w:val="005870C5"/>
    <w:rsid w:val="005870E6"/>
    <w:rsid w:val="005870EC"/>
    <w:rsid w:val="00587145"/>
    <w:rsid w:val="00587184"/>
    <w:rsid w:val="005875C6"/>
    <w:rsid w:val="00587826"/>
    <w:rsid w:val="00587839"/>
    <w:rsid w:val="005879E0"/>
    <w:rsid w:val="00587A9A"/>
    <w:rsid w:val="00587C2A"/>
    <w:rsid w:val="00587DA1"/>
    <w:rsid w:val="00590012"/>
    <w:rsid w:val="00590069"/>
    <w:rsid w:val="005900C2"/>
    <w:rsid w:val="005901A6"/>
    <w:rsid w:val="0059044D"/>
    <w:rsid w:val="0059048D"/>
    <w:rsid w:val="005909B0"/>
    <w:rsid w:val="00590A1A"/>
    <w:rsid w:val="00590B00"/>
    <w:rsid w:val="00590C8F"/>
    <w:rsid w:val="00590E2E"/>
    <w:rsid w:val="00590F6C"/>
    <w:rsid w:val="00591523"/>
    <w:rsid w:val="005917EF"/>
    <w:rsid w:val="00591A12"/>
    <w:rsid w:val="00591B65"/>
    <w:rsid w:val="00591DE9"/>
    <w:rsid w:val="00592292"/>
    <w:rsid w:val="005922B7"/>
    <w:rsid w:val="0059230E"/>
    <w:rsid w:val="00592858"/>
    <w:rsid w:val="00592AAA"/>
    <w:rsid w:val="00592F05"/>
    <w:rsid w:val="00592F89"/>
    <w:rsid w:val="00593358"/>
    <w:rsid w:val="0059341E"/>
    <w:rsid w:val="00593474"/>
    <w:rsid w:val="005937C7"/>
    <w:rsid w:val="00593946"/>
    <w:rsid w:val="005939DB"/>
    <w:rsid w:val="00593A6A"/>
    <w:rsid w:val="00593CF5"/>
    <w:rsid w:val="00593DD8"/>
    <w:rsid w:val="005941C5"/>
    <w:rsid w:val="0059424E"/>
    <w:rsid w:val="00594288"/>
    <w:rsid w:val="0059434E"/>
    <w:rsid w:val="005945FB"/>
    <w:rsid w:val="0059463D"/>
    <w:rsid w:val="005947CC"/>
    <w:rsid w:val="0059483E"/>
    <w:rsid w:val="0059489F"/>
    <w:rsid w:val="00594A9A"/>
    <w:rsid w:val="00594E29"/>
    <w:rsid w:val="0059535B"/>
    <w:rsid w:val="005956C2"/>
    <w:rsid w:val="005956F7"/>
    <w:rsid w:val="00595724"/>
    <w:rsid w:val="00595881"/>
    <w:rsid w:val="00595BBF"/>
    <w:rsid w:val="00595D6C"/>
    <w:rsid w:val="005960BE"/>
    <w:rsid w:val="005961A9"/>
    <w:rsid w:val="00596328"/>
    <w:rsid w:val="00596BDF"/>
    <w:rsid w:val="00596D96"/>
    <w:rsid w:val="00596E2A"/>
    <w:rsid w:val="0059769A"/>
    <w:rsid w:val="00597A4D"/>
    <w:rsid w:val="00597DC7"/>
    <w:rsid w:val="005A016C"/>
    <w:rsid w:val="005A066B"/>
    <w:rsid w:val="005A089A"/>
    <w:rsid w:val="005A0CA4"/>
    <w:rsid w:val="005A0EAD"/>
    <w:rsid w:val="005A135B"/>
    <w:rsid w:val="005A1479"/>
    <w:rsid w:val="005A156D"/>
    <w:rsid w:val="005A156E"/>
    <w:rsid w:val="005A1761"/>
    <w:rsid w:val="005A199A"/>
    <w:rsid w:val="005A199C"/>
    <w:rsid w:val="005A1AB8"/>
    <w:rsid w:val="005A1FFC"/>
    <w:rsid w:val="005A28EC"/>
    <w:rsid w:val="005A2AB5"/>
    <w:rsid w:val="005A2AFE"/>
    <w:rsid w:val="005A2C81"/>
    <w:rsid w:val="005A2C8A"/>
    <w:rsid w:val="005A32CC"/>
    <w:rsid w:val="005A348F"/>
    <w:rsid w:val="005A3587"/>
    <w:rsid w:val="005A3736"/>
    <w:rsid w:val="005A3B5F"/>
    <w:rsid w:val="005A3C04"/>
    <w:rsid w:val="005A3F76"/>
    <w:rsid w:val="005A407E"/>
    <w:rsid w:val="005A442D"/>
    <w:rsid w:val="005A475A"/>
    <w:rsid w:val="005A47B6"/>
    <w:rsid w:val="005A4CD6"/>
    <w:rsid w:val="005A4D83"/>
    <w:rsid w:val="005A4DCC"/>
    <w:rsid w:val="005A4EA3"/>
    <w:rsid w:val="005A4FAB"/>
    <w:rsid w:val="005A532F"/>
    <w:rsid w:val="005A567B"/>
    <w:rsid w:val="005A570F"/>
    <w:rsid w:val="005A58AF"/>
    <w:rsid w:val="005A5BCF"/>
    <w:rsid w:val="005A5C60"/>
    <w:rsid w:val="005A5C7C"/>
    <w:rsid w:val="005A5D72"/>
    <w:rsid w:val="005A601B"/>
    <w:rsid w:val="005A62B9"/>
    <w:rsid w:val="005A6318"/>
    <w:rsid w:val="005A64E3"/>
    <w:rsid w:val="005A6564"/>
    <w:rsid w:val="005A6615"/>
    <w:rsid w:val="005A6795"/>
    <w:rsid w:val="005A69EF"/>
    <w:rsid w:val="005A6A1F"/>
    <w:rsid w:val="005A6B23"/>
    <w:rsid w:val="005A6B34"/>
    <w:rsid w:val="005A6FE9"/>
    <w:rsid w:val="005A72E5"/>
    <w:rsid w:val="005A74FD"/>
    <w:rsid w:val="005A7691"/>
    <w:rsid w:val="005A7922"/>
    <w:rsid w:val="005A799B"/>
    <w:rsid w:val="005A7A5A"/>
    <w:rsid w:val="005A7AC7"/>
    <w:rsid w:val="005A7B5B"/>
    <w:rsid w:val="005A7C49"/>
    <w:rsid w:val="005B0182"/>
    <w:rsid w:val="005B079E"/>
    <w:rsid w:val="005B0D10"/>
    <w:rsid w:val="005B0D32"/>
    <w:rsid w:val="005B131C"/>
    <w:rsid w:val="005B1441"/>
    <w:rsid w:val="005B1613"/>
    <w:rsid w:val="005B17E4"/>
    <w:rsid w:val="005B1859"/>
    <w:rsid w:val="005B1B27"/>
    <w:rsid w:val="005B1E35"/>
    <w:rsid w:val="005B2858"/>
    <w:rsid w:val="005B29DD"/>
    <w:rsid w:val="005B2ACC"/>
    <w:rsid w:val="005B30AA"/>
    <w:rsid w:val="005B3171"/>
    <w:rsid w:val="005B3301"/>
    <w:rsid w:val="005B3384"/>
    <w:rsid w:val="005B35AC"/>
    <w:rsid w:val="005B38C7"/>
    <w:rsid w:val="005B3965"/>
    <w:rsid w:val="005B3B34"/>
    <w:rsid w:val="005B3CBA"/>
    <w:rsid w:val="005B3DA0"/>
    <w:rsid w:val="005B41EC"/>
    <w:rsid w:val="005B41F3"/>
    <w:rsid w:val="005B439B"/>
    <w:rsid w:val="005B48AB"/>
    <w:rsid w:val="005B4B30"/>
    <w:rsid w:val="005B50DA"/>
    <w:rsid w:val="005B518A"/>
    <w:rsid w:val="005B51D9"/>
    <w:rsid w:val="005B5817"/>
    <w:rsid w:val="005B5BB3"/>
    <w:rsid w:val="005B5C3B"/>
    <w:rsid w:val="005B5F46"/>
    <w:rsid w:val="005B600F"/>
    <w:rsid w:val="005B62F1"/>
    <w:rsid w:val="005B633E"/>
    <w:rsid w:val="005B6529"/>
    <w:rsid w:val="005B6610"/>
    <w:rsid w:val="005B685B"/>
    <w:rsid w:val="005B6964"/>
    <w:rsid w:val="005B6AED"/>
    <w:rsid w:val="005B6D73"/>
    <w:rsid w:val="005B7093"/>
    <w:rsid w:val="005B7162"/>
    <w:rsid w:val="005B758D"/>
    <w:rsid w:val="005B78B0"/>
    <w:rsid w:val="005B7C1E"/>
    <w:rsid w:val="005B7EC3"/>
    <w:rsid w:val="005C03E5"/>
    <w:rsid w:val="005C0406"/>
    <w:rsid w:val="005C0475"/>
    <w:rsid w:val="005C0950"/>
    <w:rsid w:val="005C0B4B"/>
    <w:rsid w:val="005C0B5D"/>
    <w:rsid w:val="005C0ED1"/>
    <w:rsid w:val="005C152E"/>
    <w:rsid w:val="005C157C"/>
    <w:rsid w:val="005C2025"/>
    <w:rsid w:val="005C2432"/>
    <w:rsid w:val="005C25AC"/>
    <w:rsid w:val="005C25D2"/>
    <w:rsid w:val="005C25E0"/>
    <w:rsid w:val="005C2666"/>
    <w:rsid w:val="005C271D"/>
    <w:rsid w:val="005C3137"/>
    <w:rsid w:val="005C327D"/>
    <w:rsid w:val="005C33E3"/>
    <w:rsid w:val="005C3B63"/>
    <w:rsid w:val="005C3CEC"/>
    <w:rsid w:val="005C3DB2"/>
    <w:rsid w:val="005C4217"/>
    <w:rsid w:val="005C4736"/>
    <w:rsid w:val="005C47F2"/>
    <w:rsid w:val="005C4B2F"/>
    <w:rsid w:val="005C4DBF"/>
    <w:rsid w:val="005C4E20"/>
    <w:rsid w:val="005C5047"/>
    <w:rsid w:val="005C50B7"/>
    <w:rsid w:val="005C5413"/>
    <w:rsid w:val="005C5469"/>
    <w:rsid w:val="005C55C8"/>
    <w:rsid w:val="005C55D4"/>
    <w:rsid w:val="005C5723"/>
    <w:rsid w:val="005C5A11"/>
    <w:rsid w:val="005C5C69"/>
    <w:rsid w:val="005C5D88"/>
    <w:rsid w:val="005C5E10"/>
    <w:rsid w:val="005C5F03"/>
    <w:rsid w:val="005C60B1"/>
    <w:rsid w:val="005C6306"/>
    <w:rsid w:val="005C633D"/>
    <w:rsid w:val="005C64C5"/>
    <w:rsid w:val="005C6522"/>
    <w:rsid w:val="005C6691"/>
    <w:rsid w:val="005C6783"/>
    <w:rsid w:val="005C69B2"/>
    <w:rsid w:val="005C7081"/>
    <w:rsid w:val="005C71F8"/>
    <w:rsid w:val="005C72B4"/>
    <w:rsid w:val="005C72B6"/>
    <w:rsid w:val="005C7400"/>
    <w:rsid w:val="005C7884"/>
    <w:rsid w:val="005C78C1"/>
    <w:rsid w:val="005C7B5B"/>
    <w:rsid w:val="005C7F40"/>
    <w:rsid w:val="005D02B9"/>
    <w:rsid w:val="005D0592"/>
    <w:rsid w:val="005D0688"/>
    <w:rsid w:val="005D083B"/>
    <w:rsid w:val="005D0866"/>
    <w:rsid w:val="005D08B3"/>
    <w:rsid w:val="005D0B12"/>
    <w:rsid w:val="005D0F5D"/>
    <w:rsid w:val="005D1063"/>
    <w:rsid w:val="005D11FF"/>
    <w:rsid w:val="005D1320"/>
    <w:rsid w:val="005D15B9"/>
    <w:rsid w:val="005D15C8"/>
    <w:rsid w:val="005D1689"/>
    <w:rsid w:val="005D1725"/>
    <w:rsid w:val="005D1BD3"/>
    <w:rsid w:val="005D1CCA"/>
    <w:rsid w:val="005D1EE0"/>
    <w:rsid w:val="005D203E"/>
    <w:rsid w:val="005D2071"/>
    <w:rsid w:val="005D20EC"/>
    <w:rsid w:val="005D20FE"/>
    <w:rsid w:val="005D21B4"/>
    <w:rsid w:val="005D2549"/>
    <w:rsid w:val="005D2559"/>
    <w:rsid w:val="005D2699"/>
    <w:rsid w:val="005D26A4"/>
    <w:rsid w:val="005D28FE"/>
    <w:rsid w:val="005D2BD3"/>
    <w:rsid w:val="005D2C84"/>
    <w:rsid w:val="005D2DBF"/>
    <w:rsid w:val="005D352F"/>
    <w:rsid w:val="005D365E"/>
    <w:rsid w:val="005D379E"/>
    <w:rsid w:val="005D37F6"/>
    <w:rsid w:val="005D3A85"/>
    <w:rsid w:val="005D3CF7"/>
    <w:rsid w:val="005D3D73"/>
    <w:rsid w:val="005D40DF"/>
    <w:rsid w:val="005D41AC"/>
    <w:rsid w:val="005D45F0"/>
    <w:rsid w:val="005D45F3"/>
    <w:rsid w:val="005D4AD9"/>
    <w:rsid w:val="005D4B73"/>
    <w:rsid w:val="005D4CD2"/>
    <w:rsid w:val="005D4FC8"/>
    <w:rsid w:val="005D5112"/>
    <w:rsid w:val="005D52C7"/>
    <w:rsid w:val="005D5408"/>
    <w:rsid w:val="005D580A"/>
    <w:rsid w:val="005D59DD"/>
    <w:rsid w:val="005D5CA6"/>
    <w:rsid w:val="005D60B8"/>
    <w:rsid w:val="005D615B"/>
    <w:rsid w:val="005D6195"/>
    <w:rsid w:val="005D6620"/>
    <w:rsid w:val="005D67C3"/>
    <w:rsid w:val="005D697A"/>
    <w:rsid w:val="005D6C0E"/>
    <w:rsid w:val="005D6C17"/>
    <w:rsid w:val="005D6C3D"/>
    <w:rsid w:val="005D721D"/>
    <w:rsid w:val="005D72BC"/>
    <w:rsid w:val="005D739D"/>
    <w:rsid w:val="005D75E1"/>
    <w:rsid w:val="005D760C"/>
    <w:rsid w:val="005D7841"/>
    <w:rsid w:val="005D79A6"/>
    <w:rsid w:val="005D7D92"/>
    <w:rsid w:val="005D7F43"/>
    <w:rsid w:val="005E057A"/>
    <w:rsid w:val="005E09B5"/>
    <w:rsid w:val="005E0BF6"/>
    <w:rsid w:val="005E0E6D"/>
    <w:rsid w:val="005E0EF5"/>
    <w:rsid w:val="005E1170"/>
    <w:rsid w:val="005E11D5"/>
    <w:rsid w:val="005E1434"/>
    <w:rsid w:val="005E1607"/>
    <w:rsid w:val="005E1608"/>
    <w:rsid w:val="005E19F7"/>
    <w:rsid w:val="005E1B22"/>
    <w:rsid w:val="005E1EB8"/>
    <w:rsid w:val="005E228C"/>
    <w:rsid w:val="005E229D"/>
    <w:rsid w:val="005E285E"/>
    <w:rsid w:val="005E2978"/>
    <w:rsid w:val="005E2B7D"/>
    <w:rsid w:val="005E2DD9"/>
    <w:rsid w:val="005E3149"/>
    <w:rsid w:val="005E33EA"/>
    <w:rsid w:val="005E36DA"/>
    <w:rsid w:val="005E3728"/>
    <w:rsid w:val="005E3753"/>
    <w:rsid w:val="005E390B"/>
    <w:rsid w:val="005E3A27"/>
    <w:rsid w:val="005E4144"/>
    <w:rsid w:val="005E41C2"/>
    <w:rsid w:val="005E4484"/>
    <w:rsid w:val="005E454F"/>
    <w:rsid w:val="005E4675"/>
    <w:rsid w:val="005E488D"/>
    <w:rsid w:val="005E4D02"/>
    <w:rsid w:val="005E4E49"/>
    <w:rsid w:val="005E4EFF"/>
    <w:rsid w:val="005E4F7D"/>
    <w:rsid w:val="005E5031"/>
    <w:rsid w:val="005E51C1"/>
    <w:rsid w:val="005E5431"/>
    <w:rsid w:val="005E54E5"/>
    <w:rsid w:val="005E5512"/>
    <w:rsid w:val="005E552F"/>
    <w:rsid w:val="005E5BFB"/>
    <w:rsid w:val="005E5C36"/>
    <w:rsid w:val="005E5C9B"/>
    <w:rsid w:val="005E625E"/>
    <w:rsid w:val="005E6477"/>
    <w:rsid w:val="005E6683"/>
    <w:rsid w:val="005E6C1F"/>
    <w:rsid w:val="005E724E"/>
    <w:rsid w:val="005E7459"/>
    <w:rsid w:val="005E755A"/>
    <w:rsid w:val="005E75C3"/>
    <w:rsid w:val="005E76E0"/>
    <w:rsid w:val="005E774C"/>
    <w:rsid w:val="005E78B4"/>
    <w:rsid w:val="005E7CAA"/>
    <w:rsid w:val="005E7F88"/>
    <w:rsid w:val="005F0133"/>
    <w:rsid w:val="005F0387"/>
    <w:rsid w:val="005F077D"/>
    <w:rsid w:val="005F07B7"/>
    <w:rsid w:val="005F0853"/>
    <w:rsid w:val="005F0A5F"/>
    <w:rsid w:val="005F0AA6"/>
    <w:rsid w:val="005F0FF9"/>
    <w:rsid w:val="005F11FD"/>
    <w:rsid w:val="005F1407"/>
    <w:rsid w:val="005F15C2"/>
    <w:rsid w:val="005F1CB4"/>
    <w:rsid w:val="005F1D94"/>
    <w:rsid w:val="005F2247"/>
    <w:rsid w:val="005F269F"/>
    <w:rsid w:val="005F2959"/>
    <w:rsid w:val="005F2A49"/>
    <w:rsid w:val="005F2CB3"/>
    <w:rsid w:val="005F2DCE"/>
    <w:rsid w:val="005F34C9"/>
    <w:rsid w:val="005F34DD"/>
    <w:rsid w:val="005F38B4"/>
    <w:rsid w:val="005F42B7"/>
    <w:rsid w:val="005F43F1"/>
    <w:rsid w:val="005F44A4"/>
    <w:rsid w:val="005F45B4"/>
    <w:rsid w:val="005F4A2F"/>
    <w:rsid w:val="005F4C50"/>
    <w:rsid w:val="005F56A5"/>
    <w:rsid w:val="005F5A22"/>
    <w:rsid w:val="005F60D4"/>
    <w:rsid w:val="005F6287"/>
    <w:rsid w:val="005F63A0"/>
    <w:rsid w:val="005F6761"/>
    <w:rsid w:val="005F6A36"/>
    <w:rsid w:val="005F6EA7"/>
    <w:rsid w:val="005F6EB2"/>
    <w:rsid w:val="005F7013"/>
    <w:rsid w:val="005F7136"/>
    <w:rsid w:val="005F7399"/>
    <w:rsid w:val="005F73E5"/>
    <w:rsid w:val="005F7651"/>
    <w:rsid w:val="005F773C"/>
    <w:rsid w:val="005F7A2B"/>
    <w:rsid w:val="005F7BE8"/>
    <w:rsid w:val="005F7C5D"/>
    <w:rsid w:val="005F7F26"/>
    <w:rsid w:val="006000C4"/>
    <w:rsid w:val="006000C8"/>
    <w:rsid w:val="00600362"/>
    <w:rsid w:val="006003A9"/>
    <w:rsid w:val="00600793"/>
    <w:rsid w:val="00600A91"/>
    <w:rsid w:val="00600B08"/>
    <w:rsid w:val="00600F5E"/>
    <w:rsid w:val="006010FC"/>
    <w:rsid w:val="006016F3"/>
    <w:rsid w:val="00601746"/>
    <w:rsid w:val="006017C2"/>
    <w:rsid w:val="0060184C"/>
    <w:rsid w:val="00601A0A"/>
    <w:rsid w:val="00601D9B"/>
    <w:rsid w:val="00602071"/>
    <w:rsid w:val="006021E2"/>
    <w:rsid w:val="006022DC"/>
    <w:rsid w:val="006022F0"/>
    <w:rsid w:val="00602481"/>
    <w:rsid w:val="0060260A"/>
    <w:rsid w:val="00602633"/>
    <w:rsid w:val="00602684"/>
    <w:rsid w:val="00602BDE"/>
    <w:rsid w:val="00602D2D"/>
    <w:rsid w:val="00602E05"/>
    <w:rsid w:val="00602F64"/>
    <w:rsid w:val="00602FB3"/>
    <w:rsid w:val="006030D6"/>
    <w:rsid w:val="00603394"/>
    <w:rsid w:val="00603A7C"/>
    <w:rsid w:val="00603A93"/>
    <w:rsid w:val="00603B9F"/>
    <w:rsid w:val="00603DCA"/>
    <w:rsid w:val="00604023"/>
    <w:rsid w:val="00604143"/>
    <w:rsid w:val="00604469"/>
    <w:rsid w:val="00604546"/>
    <w:rsid w:val="0060456D"/>
    <w:rsid w:val="0060457D"/>
    <w:rsid w:val="0060464F"/>
    <w:rsid w:val="00604916"/>
    <w:rsid w:val="00604AEB"/>
    <w:rsid w:val="00604C38"/>
    <w:rsid w:val="00604CC1"/>
    <w:rsid w:val="00605490"/>
    <w:rsid w:val="00605657"/>
    <w:rsid w:val="00605896"/>
    <w:rsid w:val="00605971"/>
    <w:rsid w:val="00605B4F"/>
    <w:rsid w:val="00605BF3"/>
    <w:rsid w:val="00605DB8"/>
    <w:rsid w:val="0060635F"/>
    <w:rsid w:val="0060637D"/>
    <w:rsid w:val="006066EE"/>
    <w:rsid w:val="00606817"/>
    <w:rsid w:val="00606A65"/>
    <w:rsid w:val="00606F0C"/>
    <w:rsid w:val="0060759B"/>
    <w:rsid w:val="00607A1C"/>
    <w:rsid w:val="00607ABE"/>
    <w:rsid w:val="00607BA9"/>
    <w:rsid w:val="00607BC0"/>
    <w:rsid w:val="00610022"/>
    <w:rsid w:val="00610245"/>
    <w:rsid w:val="006102CB"/>
    <w:rsid w:val="0061053E"/>
    <w:rsid w:val="006106D4"/>
    <w:rsid w:val="00610719"/>
    <w:rsid w:val="00610802"/>
    <w:rsid w:val="0061084A"/>
    <w:rsid w:val="00610AFB"/>
    <w:rsid w:val="00610B30"/>
    <w:rsid w:val="00610C30"/>
    <w:rsid w:val="00610C64"/>
    <w:rsid w:val="00610C99"/>
    <w:rsid w:val="00610EEB"/>
    <w:rsid w:val="00610F76"/>
    <w:rsid w:val="00610FFD"/>
    <w:rsid w:val="00611124"/>
    <w:rsid w:val="00611170"/>
    <w:rsid w:val="006114C0"/>
    <w:rsid w:val="00611552"/>
    <w:rsid w:val="00611738"/>
    <w:rsid w:val="006118BA"/>
    <w:rsid w:val="006119D0"/>
    <w:rsid w:val="00611A4A"/>
    <w:rsid w:val="00611AFD"/>
    <w:rsid w:val="00611C9B"/>
    <w:rsid w:val="00611CE0"/>
    <w:rsid w:val="00611D8E"/>
    <w:rsid w:val="00611E90"/>
    <w:rsid w:val="00611EA3"/>
    <w:rsid w:val="00611EAA"/>
    <w:rsid w:val="00611F6A"/>
    <w:rsid w:val="006120E1"/>
    <w:rsid w:val="006122E5"/>
    <w:rsid w:val="00612480"/>
    <w:rsid w:val="006125A5"/>
    <w:rsid w:val="0061266E"/>
    <w:rsid w:val="006126C3"/>
    <w:rsid w:val="006126CD"/>
    <w:rsid w:val="006128F9"/>
    <w:rsid w:val="006129C8"/>
    <w:rsid w:val="00613032"/>
    <w:rsid w:val="0061309E"/>
    <w:rsid w:val="006134B1"/>
    <w:rsid w:val="006135FF"/>
    <w:rsid w:val="00613631"/>
    <w:rsid w:val="006138DC"/>
    <w:rsid w:val="006139DE"/>
    <w:rsid w:val="006139E7"/>
    <w:rsid w:val="00613A92"/>
    <w:rsid w:val="00613AF4"/>
    <w:rsid w:val="00613CA7"/>
    <w:rsid w:val="00613EAF"/>
    <w:rsid w:val="00613F2F"/>
    <w:rsid w:val="00614083"/>
    <w:rsid w:val="006140C4"/>
    <w:rsid w:val="0061419A"/>
    <w:rsid w:val="006142DF"/>
    <w:rsid w:val="0061432D"/>
    <w:rsid w:val="00614619"/>
    <w:rsid w:val="006148F3"/>
    <w:rsid w:val="006148F8"/>
    <w:rsid w:val="00614F53"/>
    <w:rsid w:val="0061519C"/>
    <w:rsid w:val="00615230"/>
    <w:rsid w:val="00615441"/>
    <w:rsid w:val="006154AE"/>
    <w:rsid w:val="006154C5"/>
    <w:rsid w:val="006155A3"/>
    <w:rsid w:val="006157ED"/>
    <w:rsid w:val="00615925"/>
    <w:rsid w:val="00615B5A"/>
    <w:rsid w:val="00615CF5"/>
    <w:rsid w:val="00615DF2"/>
    <w:rsid w:val="00615FB7"/>
    <w:rsid w:val="00616079"/>
    <w:rsid w:val="0061614D"/>
    <w:rsid w:val="00616225"/>
    <w:rsid w:val="006163D4"/>
    <w:rsid w:val="00616690"/>
    <w:rsid w:val="00616CA7"/>
    <w:rsid w:val="00616DBD"/>
    <w:rsid w:val="006170BF"/>
    <w:rsid w:val="006170EC"/>
    <w:rsid w:val="006174C7"/>
    <w:rsid w:val="00617719"/>
    <w:rsid w:val="006177D1"/>
    <w:rsid w:val="00617971"/>
    <w:rsid w:val="006179C3"/>
    <w:rsid w:val="00617DCD"/>
    <w:rsid w:val="00617F53"/>
    <w:rsid w:val="00617F63"/>
    <w:rsid w:val="0062014C"/>
    <w:rsid w:val="006202C6"/>
    <w:rsid w:val="00620494"/>
    <w:rsid w:val="00620679"/>
    <w:rsid w:val="006207E6"/>
    <w:rsid w:val="006207F2"/>
    <w:rsid w:val="00620D68"/>
    <w:rsid w:val="00620DB7"/>
    <w:rsid w:val="0062109E"/>
    <w:rsid w:val="0062118E"/>
    <w:rsid w:val="0062150A"/>
    <w:rsid w:val="0062188F"/>
    <w:rsid w:val="00621C44"/>
    <w:rsid w:val="00621CAA"/>
    <w:rsid w:val="00621D14"/>
    <w:rsid w:val="0062235F"/>
    <w:rsid w:val="006225E5"/>
    <w:rsid w:val="00622612"/>
    <w:rsid w:val="006228C8"/>
    <w:rsid w:val="00622AB6"/>
    <w:rsid w:val="00622D92"/>
    <w:rsid w:val="00622E01"/>
    <w:rsid w:val="00622F11"/>
    <w:rsid w:val="006237EE"/>
    <w:rsid w:val="00623AA2"/>
    <w:rsid w:val="00623E8F"/>
    <w:rsid w:val="006241A0"/>
    <w:rsid w:val="00624242"/>
    <w:rsid w:val="0062458D"/>
    <w:rsid w:val="006245CE"/>
    <w:rsid w:val="00624855"/>
    <w:rsid w:val="0062486B"/>
    <w:rsid w:val="006248D2"/>
    <w:rsid w:val="00624979"/>
    <w:rsid w:val="00624A21"/>
    <w:rsid w:val="00624A6A"/>
    <w:rsid w:val="00624C5E"/>
    <w:rsid w:val="006250EF"/>
    <w:rsid w:val="0062529D"/>
    <w:rsid w:val="0062532C"/>
    <w:rsid w:val="00625527"/>
    <w:rsid w:val="00625678"/>
    <w:rsid w:val="006257D9"/>
    <w:rsid w:val="006258CD"/>
    <w:rsid w:val="00625ADE"/>
    <w:rsid w:val="00626214"/>
    <w:rsid w:val="006264C9"/>
    <w:rsid w:val="00626584"/>
    <w:rsid w:val="006265E2"/>
    <w:rsid w:val="006269E7"/>
    <w:rsid w:val="00626A76"/>
    <w:rsid w:val="00626A95"/>
    <w:rsid w:val="00626B3B"/>
    <w:rsid w:val="00626D56"/>
    <w:rsid w:val="00626EEF"/>
    <w:rsid w:val="00627148"/>
    <w:rsid w:val="00627658"/>
    <w:rsid w:val="006276FF"/>
    <w:rsid w:val="00627D93"/>
    <w:rsid w:val="00627DA9"/>
    <w:rsid w:val="00627DC4"/>
    <w:rsid w:val="00627E51"/>
    <w:rsid w:val="00630068"/>
    <w:rsid w:val="00630251"/>
    <w:rsid w:val="0063029A"/>
    <w:rsid w:val="00630303"/>
    <w:rsid w:val="006303BF"/>
    <w:rsid w:val="00630478"/>
    <w:rsid w:val="006309EA"/>
    <w:rsid w:val="00630AB9"/>
    <w:rsid w:val="00630C11"/>
    <w:rsid w:val="00630DA1"/>
    <w:rsid w:val="00630EF4"/>
    <w:rsid w:val="00630F81"/>
    <w:rsid w:val="00631516"/>
    <w:rsid w:val="00631A97"/>
    <w:rsid w:val="00631B06"/>
    <w:rsid w:val="00631E8E"/>
    <w:rsid w:val="00631EA0"/>
    <w:rsid w:val="00632762"/>
    <w:rsid w:val="006328BF"/>
    <w:rsid w:val="00632992"/>
    <w:rsid w:val="006329A5"/>
    <w:rsid w:val="00632ACB"/>
    <w:rsid w:val="00632D35"/>
    <w:rsid w:val="0063300C"/>
    <w:rsid w:val="00633148"/>
    <w:rsid w:val="00633530"/>
    <w:rsid w:val="00633A35"/>
    <w:rsid w:val="00633BC9"/>
    <w:rsid w:val="00633C6B"/>
    <w:rsid w:val="00633F16"/>
    <w:rsid w:val="00633F1D"/>
    <w:rsid w:val="0063400A"/>
    <w:rsid w:val="0063413D"/>
    <w:rsid w:val="006343CD"/>
    <w:rsid w:val="006343DF"/>
    <w:rsid w:val="0063448B"/>
    <w:rsid w:val="00634617"/>
    <w:rsid w:val="00634744"/>
    <w:rsid w:val="00634940"/>
    <w:rsid w:val="006349B4"/>
    <w:rsid w:val="00634A35"/>
    <w:rsid w:val="00634C90"/>
    <w:rsid w:val="00634CDD"/>
    <w:rsid w:val="00634F57"/>
    <w:rsid w:val="006354DF"/>
    <w:rsid w:val="0063563E"/>
    <w:rsid w:val="006357E0"/>
    <w:rsid w:val="00635A70"/>
    <w:rsid w:val="00635AD2"/>
    <w:rsid w:val="00635B58"/>
    <w:rsid w:val="00635B95"/>
    <w:rsid w:val="00635D2B"/>
    <w:rsid w:val="006363FC"/>
    <w:rsid w:val="00636698"/>
    <w:rsid w:val="0063682E"/>
    <w:rsid w:val="0063693C"/>
    <w:rsid w:val="00636CE5"/>
    <w:rsid w:val="00636D66"/>
    <w:rsid w:val="006371AD"/>
    <w:rsid w:val="006371F0"/>
    <w:rsid w:val="0063757E"/>
    <w:rsid w:val="006375B1"/>
    <w:rsid w:val="00637950"/>
    <w:rsid w:val="00637954"/>
    <w:rsid w:val="00637999"/>
    <w:rsid w:val="00637C27"/>
    <w:rsid w:val="00637FB7"/>
    <w:rsid w:val="00640267"/>
    <w:rsid w:val="00640438"/>
    <w:rsid w:val="00640476"/>
    <w:rsid w:val="0064077F"/>
    <w:rsid w:val="00640FDF"/>
    <w:rsid w:val="006410FA"/>
    <w:rsid w:val="006411AB"/>
    <w:rsid w:val="00641349"/>
    <w:rsid w:val="0064161B"/>
    <w:rsid w:val="0064177C"/>
    <w:rsid w:val="00641BF1"/>
    <w:rsid w:val="00641D7B"/>
    <w:rsid w:val="00641E26"/>
    <w:rsid w:val="00642C01"/>
    <w:rsid w:val="00642E46"/>
    <w:rsid w:val="0064309F"/>
    <w:rsid w:val="006431C9"/>
    <w:rsid w:val="0064325D"/>
    <w:rsid w:val="006434FF"/>
    <w:rsid w:val="00643604"/>
    <w:rsid w:val="006438B2"/>
    <w:rsid w:val="00643926"/>
    <w:rsid w:val="00643C4E"/>
    <w:rsid w:val="00643CCB"/>
    <w:rsid w:val="00643EC9"/>
    <w:rsid w:val="00644422"/>
    <w:rsid w:val="00644823"/>
    <w:rsid w:val="0064497C"/>
    <w:rsid w:val="00644A79"/>
    <w:rsid w:val="00644B12"/>
    <w:rsid w:val="00644CB4"/>
    <w:rsid w:val="00644FE2"/>
    <w:rsid w:val="0064525E"/>
    <w:rsid w:val="0064539C"/>
    <w:rsid w:val="0064548C"/>
    <w:rsid w:val="006454E7"/>
    <w:rsid w:val="006456C3"/>
    <w:rsid w:val="00645864"/>
    <w:rsid w:val="006459B2"/>
    <w:rsid w:val="00645A53"/>
    <w:rsid w:val="00645DFB"/>
    <w:rsid w:val="0064613C"/>
    <w:rsid w:val="00646284"/>
    <w:rsid w:val="00646334"/>
    <w:rsid w:val="00646396"/>
    <w:rsid w:val="006465F5"/>
    <w:rsid w:val="0064686E"/>
    <w:rsid w:val="00646BC4"/>
    <w:rsid w:val="00646BD9"/>
    <w:rsid w:val="00646CB4"/>
    <w:rsid w:val="00647087"/>
    <w:rsid w:val="006471EC"/>
    <w:rsid w:val="00647246"/>
    <w:rsid w:val="0064756C"/>
    <w:rsid w:val="006475E8"/>
    <w:rsid w:val="00647770"/>
    <w:rsid w:val="00647A78"/>
    <w:rsid w:val="0065002A"/>
    <w:rsid w:val="00650033"/>
    <w:rsid w:val="00650262"/>
    <w:rsid w:val="00650344"/>
    <w:rsid w:val="00650476"/>
    <w:rsid w:val="006507EA"/>
    <w:rsid w:val="00650832"/>
    <w:rsid w:val="006508B7"/>
    <w:rsid w:val="00650C52"/>
    <w:rsid w:val="00650EC7"/>
    <w:rsid w:val="00651075"/>
    <w:rsid w:val="006510A8"/>
    <w:rsid w:val="006512AF"/>
    <w:rsid w:val="006514B1"/>
    <w:rsid w:val="006516E0"/>
    <w:rsid w:val="006518CB"/>
    <w:rsid w:val="00651BE7"/>
    <w:rsid w:val="00651E78"/>
    <w:rsid w:val="00652179"/>
    <w:rsid w:val="006524B9"/>
    <w:rsid w:val="00652789"/>
    <w:rsid w:val="006528C6"/>
    <w:rsid w:val="006529C5"/>
    <w:rsid w:val="00652A23"/>
    <w:rsid w:val="00652EFF"/>
    <w:rsid w:val="00653027"/>
    <w:rsid w:val="006533A5"/>
    <w:rsid w:val="006533E7"/>
    <w:rsid w:val="00653550"/>
    <w:rsid w:val="00653805"/>
    <w:rsid w:val="00653B0C"/>
    <w:rsid w:val="00653D79"/>
    <w:rsid w:val="0065409E"/>
    <w:rsid w:val="00654198"/>
    <w:rsid w:val="00654451"/>
    <w:rsid w:val="0065455E"/>
    <w:rsid w:val="00654639"/>
    <w:rsid w:val="00654A8C"/>
    <w:rsid w:val="00654E37"/>
    <w:rsid w:val="0065513E"/>
    <w:rsid w:val="00655219"/>
    <w:rsid w:val="00655353"/>
    <w:rsid w:val="00655425"/>
    <w:rsid w:val="0065553E"/>
    <w:rsid w:val="006555A4"/>
    <w:rsid w:val="006555B4"/>
    <w:rsid w:val="006555EC"/>
    <w:rsid w:val="006557A8"/>
    <w:rsid w:val="006557B3"/>
    <w:rsid w:val="00655AB8"/>
    <w:rsid w:val="006560F2"/>
    <w:rsid w:val="006562D0"/>
    <w:rsid w:val="006565B9"/>
    <w:rsid w:val="00656844"/>
    <w:rsid w:val="00656981"/>
    <w:rsid w:val="006569DA"/>
    <w:rsid w:val="00656A6E"/>
    <w:rsid w:val="00656D84"/>
    <w:rsid w:val="00656FC4"/>
    <w:rsid w:val="00656FD4"/>
    <w:rsid w:val="0065775A"/>
    <w:rsid w:val="00657CBD"/>
    <w:rsid w:val="00660586"/>
    <w:rsid w:val="00660A3D"/>
    <w:rsid w:val="00660AEB"/>
    <w:rsid w:val="00660CC1"/>
    <w:rsid w:val="0066113C"/>
    <w:rsid w:val="006617B3"/>
    <w:rsid w:val="00661AFB"/>
    <w:rsid w:val="00661C27"/>
    <w:rsid w:val="0066225A"/>
    <w:rsid w:val="006627AA"/>
    <w:rsid w:val="006628B4"/>
    <w:rsid w:val="00662A3E"/>
    <w:rsid w:val="00662A4D"/>
    <w:rsid w:val="00662B61"/>
    <w:rsid w:val="00662C1E"/>
    <w:rsid w:val="00662E0C"/>
    <w:rsid w:val="00662F6D"/>
    <w:rsid w:val="006637C2"/>
    <w:rsid w:val="00663875"/>
    <w:rsid w:val="00663899"/>
    <w:rsid w:val="006639D9"/>
    <w:rsid w:val="00663B9C"/>
    <w:rsid w:val="00663C42"/>
    <w:rsid w:val="00663D40"/>
    <w:rsid w:val="006640B5"/>
    <w:rsid w:val="006640C3"/>
    <w:rsid w:val="00664891"/>
    <w:rsid w:val="00664A76"/>
    <w:rsid w:val="00664B0D"/>
    <w:rsid w:val="00664B3D"/>
    <w:rsid w:val="00664BD4"/>
    <w:rsid w:val="00664E85"/>
    <w:rsid w:val="00664EDD"/>
    <w:rsid w:val="006650A7"/>
    <w:rsid w:val="00665127"/>
    <w:rsid w:val="0066512B"/>
    <w:rsid w:val="00665198"/>
    <w:rsid w:val="00665387"/>
    <w:rsid w:val="00665406"/>
    <w:rsid w:val="006654B5"/>
    <w:rsid w:val="00665F29"/>
    <w:rsid w:val="00665F6B"/>
    <w:rsid w:val="006661C6"/>
    <w:rsid w:val="00666263"/>
    <w:rsid w:val="0066639E"/>
    <w:rsid w:val="006663A3"/>
    <w:rsid w:val="0066644B"/>
    <w:rsid w:val="0066679F"/>
    <w:rsid w:val="00666835"/>
    <w:rsid w:val="0066692A"/>
    <w:rsid w:val="00666F12"/>
    <w:rsid w:val="00666F19"/>
    <w:rsid w:val="006670FB"/>
    <w:rsid w:val="0066718C"/>
    <w:rsid w:val="00667212"/>
    <w:rsid w:val="00667275"/>
    <w:rsid w:val="0066734B"/>
    <w:rsid w:val="006677A9"/>
    <w:rsid w:val="0066795F"/>
    <w:rsid w:val="00667E23"/>
    <w:rsid w:val="00667E53"/>
    <w:rsid w:val="00667E67"/>
    <w:rsid w:val="00670452"/>
    <w:rsid w:val="006705BC"/>
    <w:rsid w:val="00670760"/>
    <w:rsid w:val="00670B48"/>
    <w:rsid w:val="0067106C"/>
    <w:rsid w:val="00671232"/>
    <w:rsid w:val="0067135B"/>
    <w:rsid w:val="00671423"/>
    <w:rsid w:val="0067146F"/>
    <w:rsid w:val="00671561"/>
    <w:rsid w:val="00671596"/>
    <w:rsid w:val="00671794"/>
    <w:rsid w:val="0067182F"/>
    <w:rsid w:val="006718A7"/>
    <w:rsid w:val="006718EB"/>
    <w:rsid w:val="00671A86"/>
    <w:rsid w:val="00671AB4"/>
    <w:rsid w:val="00671B8E"/>
    <w:rsid w:val="00671D38"/>
    <w:rsid w:val="00671D97"/>
    <w:rsid w:val="00671EFA"/>
    <w:rsid w:val="0067201A"/>
    <w:rsid w:val="0067212C"/>
    <w:rsid w:val="0067231B"/>
    <w:rsid w:val="00672471"/>
    <w:rsid w:val="006726CC"/>
    <w:rsid w:val="00672DFE"/>
    <w:rsid w:val="006731E6"/>
    <w:rsid w:val="006731EF"/>
    <w:rsid w:val="0067322D"/>
    <w:rsid w:val="0067335B"/>
    <w:rsid w:val="00673653"/>
    <w:rsid w:val="00673996"/>
    <w:rsid w:val="00673A03"/>
    <w:rsid w:val="00673AD5"/>
    <w:rsid w:val="00673AE1"/>
    <w:rsid w:val="00673C47"/>
    <w:rsid w:val="00673C8A"/>
    <w:rsid w:val="00673D0A"/>
    <w:rsid w:val="00673D45"/>
    <w:rsid w:val="00673F96"/>
    <w:rsid w:val="00673FC0"/>
    <w:rsid w:val="00674397"/>
    <w:rsid w:val="00674535"/>
    <w:rsid w:val="00674CCC"/>
    <w:rsid w:val="00674D48"/>
    <w:rsid w:val="00674F0C"/>
    <w:rsid w:val="00675061"/>
    <w:rsid w:val="006752B8"/>
    <w:rsid w:val="0067544E"/>
    <w:rsid w:val="006754BA"/>
    <w:rsid w:val="00675737"/>
    <w:rsid w:val="00675F22"/>
    <w:rsid w:val="0067602E"/>
    <w:rsid w:val="0067616D"/>
    <w:rsid w:val="0067619B"/>
    <w:rsid w:val="00676317"/>
    <w:rsid w:val="0067635C"/>
    <w:rsid w:val="006766A9"/>
    <w:rsid w:val="00676C54"/>
    <w:rsid w:val="00676E50"/>
    <w:rsid w:val="00676FD2"/>
    <w:rsid w:val="00677033"/>
    <w:rsid w:val="006770EF"/>
    <w:rsid w:val="0067793E"/>
    <w:rsid w:val="00677A6D"/>
    <w:rsid w:val="00677ABF"/>
    <w:rsid w:val="00677C77"/>
    <w:rsid w:val="00677FBE"/>
    <w:rsid w:val="006801D2"/>
    <w:rsid w:val="0068057C"/>
    <w:rsid w:val="00680B13"/>
    <w:rsid w:val="00680E01"/>
    <w:rsid w:val="00680EFA"/>
    <w:rsid w:val="006810B5"/>
    <w:rsid w:val="006812A7"/>
    <w:rsid w:val="00681519"/>
    <w:rsid w:val="006816EB"/>
    <w:rsid w:val="0068183E"/>
    <w:rsid w:val="00681E15"/>
    <w:rsid w:val="00681F49"/>
    <w:rsid w:val="00681F64"/>
    <w:rsid w:val="00682712"/>
    <w:rsid w:val="00682E80"/>
    <w:rsid w:val="006831D2"/>
    <w:rsid w:val="00683D04"/>
    <w:rsid w:val="00683EEB"/>
    <w:rsid w:val="00684105"/>
    <w:rsid w:val="006841BD"/>
    <w:rsid w:val="0068467D"/>
    <w:rsid w:val="006847ED"/>
    <w:rsid w:val="006848E2"/>
    <w:rsid w:val="00684BCB"/>
    <w:rsid w:val="00684C0F"/>
    <w:rsid w:val="00684D27"/>
    <w:rsid w:val="00685283"/>
    <w:rsid w:val="00685349"/>
    <w:rsid w:val="006855B4"/>
    <w:rsid w:val="006856D2"/>
    <w:rsid w:val="00685CCD"/>
    <w:rsid w:val="00685CDC"/>
    <w:rsid w:val="0068613F"/>
    <w:rsid w:val="006864A1"/>
    <w:rsid w:val="00686634"/>
    <w:rsid w:val="00686C36"/>
    <w:rsid w:val="00686DF0"/>
    <w:rsid w:val="00687030"/>
    <w:rsid w:val="00687245"/>
    <w:rsid w:val="006872F3"/>
    <w:rsid w:val="006875B3"/>
    <w:rsid w:val="006879FD"/>
    <w:rsid w:val="00687BC3"/>
    <w:rsid w:val="00687D6C"/>
    <w:rsid w:val="00687E23"/>
    <w:rsid w:val="00687E44"/>
    <w:rsid w:val="00687EFD"/>
    <w:rsid w:val="006904F3"/>
    <w:rsid w:val="00690544"/>
    <w:rsid w:val="0069089A"/>
    <w:rsid w:val="0069091F"/>
    <w:rsid w:val="00690A7F"/>
    <w:rsid w:val="00690BDD"/>
    <w:rsid w:val="00690C74"/>
    <w:rsid w:val="00690DB2"/>
    <w:rsid w:val="00690DBF"/>
    <w:rsid w:val="006911D0"/>
    <w:rsid w:val="00691203"/>
    <w:rsid w:val="006912F8"/>
    <w:rsid w:val="006913C5"/>
    <w:rsid w:val="006915F5"/>
    <w:rsid w:val="006916C4"/>
    <w:rsid w:val="00691768"/>
    <w:rsid w:val="006918CC"/>
    <w:rsid w:val="00691F08"/>
    <w:rsid w:val="00691F94"/>
    <w:rsid w:val="00691FCA"/>
    <w:rsid w:val="006920A1"/>
    <w:rsid w:val="00692255"/>
    <w:rsid w:val="006923FB"/>
    <w:rsid w:val="00692458"/>
    <w:rsid w:val="00692799"/>
    <w:rsid w:val="006927AC"/>
    <w:rsid w:val="0069288E"/>
    <w:rsid w:val="006929FB"/>
    <w:rsid w:val="00692B3D"/>
    <w:rsid w:val="00692CBD"/>
    <w:rsid w:val="00692E35"/>
    <w:rsid w:val="006930CD"/>
    <w:rsid w:val="0069327B"/>
    <w:rsid w:val="00693335"/>
    <w:rsid w:val="00693367"/>
    <w:rsid w:val="006933CB"/>
    <w:rsid w:val="006937F0"/>
    <w:rsid w:val="00693BDD"/>
    <w:rsid w:val="0069403A"/>
    <w:rsid w:val="0069429E"/>
    <w:rsid w:val="0069475A"/>
    <w:rsid w:val="00694790"/>
    <w:rsid w:val="006948FE"/>
    <w:rsid w:val="00694B00"/>
    <w:rsid w:val="00694B8E"/>
    <w:rsid w:val="00694EE8"/>
    <w:rsid w:val="00695267"/>
    <w:rsid w:val="00695524"/>
    <w:rsid w:val="006956D6"/>
    <w:rsid w:val="0069590A"/>
    <w:rsid w:val="00695DBF"/>
    <w:rsid w:val="00695E8B"/>
    <w:rsid w:val="00695FFF"/>
    <w:rsid w:val="00696100"/>
    <w:rsid w:val="00696323"/>
    <w:rsid w:val="00696451"/>
    <w:rsid w:val="006966DA"/>
    <w:rsid w:val="006966DB"/>
    <w:rsid w:val="006968ED"/>
    <w:rsid w:val="0069696C"/>
    <w:rsid w:val="00696991"/>
    <w:rsid w:val="00696998"/>
    <w:rsid w:val="00696A0F"/>
    <w:rsid w:val="00696BA5"/>
    <w:rsid w:val="00696D01"/>
    <w:rsid w:val="00696D0D"/>
    <w:rsid w:val="00696E6E"/>
    <w:rsid w:val="006971CE"/>
    <w:rsid w:val="006972B5"/>
    <w:rsid w:val="00697441"/>
    <w:rsid w:val="00697568"/>
    <w:rsid w:val="0069767A"/>
    <w:rsid w:val="006978A7"/>
    <w:rsid w:val="00697E3C"/>
    <w:rsid w:val="00697F37"/>
    <w:rsid w:val="006A0368"/>
    <w:rsid w:val="006A0388"/>
    <w:rsid w:val="006A056F"/>
    <w:rsid w:val="006A06B3"/>
    <w:rsid w:val="006A0781"/>
    <w:rsid w:val="006A0997"/>
    <w:rsid w:val="006A0B11"/>
    <w:rsid w:val="006A0C00"/>
    <w:rsid w:val="006A0DBA"/>
    <w:rsid w:val="006A0E7E"/>
    <w:rsid w:val="006A0F02"/>
    <w:rsid w:val="006A0FFB"/>
    <w:rsid w:val="006A110B"/>
    <w:rsid w:val="006A1152"/>
    <w:rsid w:val="006A1D2A"/>
    <w:rsid w:val="006A1DA8"/>
    <w:rsid w:val="006A1E39"/>
    <w:rsid w:val="006A1EC1"/>
    <w:rsid w:val="006A1FFC"/>
    <w:rsid w:val="006A23DA"/>
    <w:rsid w:val="006A2853"/>
    <w:rsid w:val="006A28D7"/>
    <w:rsid w:val="006A2B15"/>
    <w:rsid w:val="006A2BDD"/>
    <w:rsid w:val="006A2C1E"/>
    <w:rsid w:val="006A2E5F"/>
    <w:rsid w:val="006A3169"/>
    <w:rsid w:val="006A332E"/>
    <w:rsid w:val="006A351E"/>
    <w:rsid w:val="006A3545"/>
    <w:rsid w:val="006A35A5"/>
    <w:rsid w:val="006A360D"/>
    <w:rsid w:val="006A3CFF"/>
    <w:rsid w:val="006A3EAE"/>
    <w:rsid w:val="006A3FFA"/>
    <w:rsid w:val="006A416F"/>
    <w:rsid w:val="006A42E5"/>
    <w:rsid w:val="006A445C"/>
    <w:rsid w:val="006A4549"/>
    <w:rsid w:val="006A48F2"/>
    <w:rsid w:val="006A4BAA"/>
    <w:rsid w:val="006A4C43"/>
    <w:rsid w:val="006A4DAC"/>
    <w:rsid w:val="006A4DCA"/>
    <w:rsid w:val="006A4FE4"/>
    <w:rsid w:val="006A5021"/>
    <w:rsid w:val="006A5314"/>
    <w:rsid w:val="006A5496"/>
    <w:rsid w:val="006A56A3"/>
    <w:rsid w:val="006A58CA"/>
    <w:rsid w:val="006A5A21"/>
    <w:rsid w:val="006A5B20"/>
    <w:rsid w:val="006A5C1A"/>
    <w:rsid w:val="006A5DA7"/>
    <w:rsid w:val="006A6010"/>
    <w:rsid w:val="006A64B0"/>
    <w:rsid w:val="006A682A"/>
    <w:rsid w:val="006A6C77"/>
    <w:rsid w:val="006A6E35"/>
    <w:rsid w:val="006A706F"/>
    <w:rsid w:val="006A7074"/>
    <w:rsid w:val="006A71FF"/>
    <w:rsid w:val="006A76E7"/>
    <w:rsid w:val="006A78DA"/>
    <w:rsid w:val="006A7D67"/>
    <w:rsid w:val="006A7DDF"/>
    <w:rsid w:val="006A7E25"/>
    <w:rsid w:val="006B00E1"/>
    <w:rsid w:val="006B0137"/>
    <w:rsid w:val="006B030D"/>
    <w:rsid w:val="006B06E2"/>
    <w:rsid w:val="006B07D0"/>
    <w:rsid w:val="006B0994"/>
    <w:rsid w:val="006B1046"/>
    <w:rsid w:val="006B16F4"/>
    <w:rsid w:val="006B1E20"/>
    <w:rsid w:val="006B221E"/>
    <w:rsid w:val="006B247F"/>
    <w:rsid w:val="006B25B9"/>
    <w:rsid w:val="006B26CA"/>
    <w:rsid w:val="006B274B"/>
    <w:rsid w:val="006B2AC3"/>
    <w:rsid w:val="006B2D11"/>
    <w:rsid w:val="006B2FA5"/>
    <w:rsid w:val="006B3104"/>
    <w:rsid w:val="006B33C8"/>
    <w:rsid w:val="006B3416"/>
    <w:rsid w:val="006B39C8"/>
    <w:rsid w:val="006B3B53"/>
    <w:rsid w:val="006B3C2A"/>
    <w:rsid w:val="006B3C85"/>
    <w:rsid w:val="006B3D13"/>
    <w:rsid w:val="006B3F01"/>
    <w:rsid w:val="006B3F2E"/>
    <w:rsid w:val="006B41B9"/>
    <w:rsid w:val="006B4216"/>
    <w:rsid w:val="006B4336"/>
    <w:rsid w:val="006B4381"/>
    <w:rsid w:val="006B463B"/>
    <w:rsid w:val="006B48C0"/>
    <w:rsid w:val="006B4997"/>
    <w:rsid w:val="006B4F5D"/>
    <w:rsid w:val="006B4FF8"/>
    <w:rsid w:val="006B5229"/>
    <w:rsid w:val="006B55A8"/>
    <w:rsid w:val="006B55E0"/>
    <w:rsid w:val="006B574D"/>
    <w:rsid w:val="006B5D05"/>
    <w:rsid w:val="006B5FFB"/>
    <w:rsid w:val="006B6193"/>
    <w:rsid w:val="006B61B2"/>
    <w:rsid w:val="006B630C"/>
    <w:rsid w:val="006B6552"/>
    <w:rsid w:val="006B6C84"/>
    <w:rsid w:val="006B6F50"/>
    <w:rsid w:val="006B6F58"/>
    <w:rsid w:val="006B7504"/>
    <w:rsid w:val="006B7B40"/>
    <w:rsid w:val="006B7B66"/>
    <w:rsid w:val="006B7F3B"/>
    <w:rsid w:val="006C0032"/>
    <w:rsid w:val="006C0282"/>
    <w:rsid w:val="006C040F"/>
    <w:rsid w:val="006C0466"/>
    <w:rsid w:val="006C083A"/>
    <w:rsid w:val="006C09A1"/>
    <w:rsid w:val="006C0AE3"/>
    <w:rsid w:val="006C0ECC"/>
    <w:rsid w:val="006C1388"/>
    <w:rsid w:val="006C1529"/>
    <w:rsid w:val="006C1554"/>
    <w:rsid w:val="006C1725"/>
    <w:rsid w:val="006C17F3"/>
    <w:rsid w:val="006C18AF"/>
    <w:rsid w:val="006C18E3"/>
    <w:rsid w:val="006C1C8C"/>
    <w:rsid w:val="006C1CAE"/>
    <w:rsid w:val="006C1F77"/>
    <w:rsid w:val="006C20FD"/>
    <w:rsid w:val="006C2224"/>
    <w:rsid w:val="006C228D"/>
    <w:rsid w:val="006C2774"/>
    <w:rsid w:val="006C2BCF"/>
    <w:rsid w:val="006C2E11"/>
    <w:rsid w:val="006C354B"/>
    <w:rsid w:val="006C3605"/>
    <w:rsid w:val="006C394A"/>
    <w:rsid w:val="006C3A19"/>
    <w:rsid w:val="006C3C1E"/>
    <w:rsid w:val="006C3D11"/>
    <w:rsid w:val="006C3D83"/>
    <w:rsid w:val="006C3F36"/>
    <w:rsid w:val="006C3F5C"/>
    <w:rsid w:val="006C444B"/>
    <w:rsid w:val="006C46E0"/>
    <w:rsid w:val="006C4754"/>
    <w:rsid w:val="006C479A"/>
    <w:rsid w:val="006C47D6"/>
    <w:rsid w:val="006C47DA"/>
    <w:rsid w:val="006C4C25"/>
    <w:rsid w:val="006C4C3D"/>
    <w:rsid w:val="006C527B"/>
    <w:rsid w:val="006C52E3"/>
    <w:rsid w:val="006C5797"/>
    <w:rsid w:val="006C5830"/>
    <w:rsid w:val="006C59E8"/>
    <w:rsid w:val="006C5C06"/>
    <w:rsid w:val="006C5C0B"/>
    <w:rsid w:val="006C5C9F"/>
    <w:rsid w:val="006C5CD4"/>
    <w:rsid w:val="006C5EE3"/>
    <w:rsid w:val="006C6297"/>
    <w:rsid w:val="006C63E6"/>
    <w:rsid w:val="006C64A9"/>
    <w:rsid w:val="006C6A16"/>
    <w:rsid w:val="006C6AB8"/>
    <w:rsid w:val="006C6C90"/>
    <w:rsid w:val="006C6DA2"/>
    <w:rsid w:val="006C6F70"/>
    <w:rsid w:val="006C702B"/>
    <w:rsid w:val="006C7481"/>
    <w:rsid w:val="006C7754"/>
    <w:rsid w:val="006C7786"/>
    <w:rsid w:val="006C78E6"/>
    <w:rsid w:val="006C793D"/>
    <w:rsid w:val="006C7A55"/>
    <w:rsid w:val="006C7A7C"/>
    <w:rsid w:val="006D02B5"/>
    <w:rsid w:val="006D02EF"/>
    <w:rsid w:val="006D03E8"/>
    <w:rsid w:val="006D0586"/>
    <w:rsid w:val="006D07B8"/>
    <w:rsid w:val="006D0819"/>
    <w:rsid w:val="006D0834"/>
    <w:rsid w:val="006D0DA1"/>
    <w:rsid w:val="006D0E04"/>
    <w:rsid w:val="006D10C2"/>
    <w:rsid w:val="006D1255"/>
    <w:rsid w:val="006D158E"/>
    <w:rsid w:val="006D15FE"/>
    <w:rsid w:val="006D1C23"/>
    <w:rsid w:val="006D1C79"/>
    <w:rsid w:val="006D2341"/>
    <w:rsid w:val="006D241E"/>
    <w:rsid w:val="006D283C"/>
    <w:rsid w:val="006D2B98"/>
    <w:rsid w:val="006D2CD0"/>
    <w:rsid w:val="006D2CF3"/>
    <w:rsid w:val="006D2D4C"/>
    <w:rsid w:val="006D3227"/>
    <w:rsid w:val="006D358A"/>
    <w:rsid w:val="006D35CE"/>
    <w:rsid w:val="006D39CE"/>
    <w:rsid w:val="006D3A34"/>
    <w:rsid w:val="006D3B8F"/>
    <w:rsid w:val="006D3C93"/>
    <w:rsid w:val="006D3D8B"/>
    <w:rsid w:val="006D4084"/>
    <w:rsid w:val="006D41DF"/>
    <w:rsid w:val="006D41E0"/>
    <w:rsid w:val="006D42E7"/>
    <w:rsid w:val="006D4386"/>
    <w:rsid w:val="006D443F"/>
    <w:rsid w:val="006D4538"/>
    <w:rsid w:val="006D458F"/>
    <w:rsid w:val="006D492A"/>
    <w:rsid w:val="006D4D4E"/>
    <w:rsid w:val="006D5278"/>
    <w:rsid w:val="006D53C8"/>
    <w:rsid w:val="006D56AF"/>
    <w:rsid w:val="006D56D8"/>
    <w:rsid w:val="006D59AC"/>
    <w:rsid w:val="006D5A97"/>
    <w:rsid w:val="006D5B34"/>
    <w:rsid w:val="006D5DE5"/>
    <w:rsid w:val="006D6143"/>
    <w:rsid w:val="006D6388"/>
    <w:rsid w:val="006D64D3"/>
    <w:rsid w:val="006D6630"/>
    <w:rsid w:val="006D6799"/>
    <w:rsid w:val="006D6A78"/>
    <w:rsid w:val="006D6AA8"/>
    <w:rsid w:val="006D6C26"/>
    <w:rsid w:val="006D6CA7"/>
    <w:rsid w:val="006D6DF2"/>
    <w:rsid w:val="006D6E2E"/>
    <w:rsid w:val="006D7138"/>
    <w:rsid w:val="006D716E"/>
    <w:rsid w:val="006D71D7"/>
    <w:rsid w:val="006D757F"/>
    <w:rsid w:val="006D782E"/>
    <w:rsid w:val="006D78CE"/>
    <w:rsid w:val="006D7A49"/>
    <w:rsid w:val="006D7BE4"/>
    <w:rsid w:val="006D7C6B"/>
    <w:rsid w:val="006D7EBF"/>
    <w:rsid w:val="006D7EF5"/>
    <w:rsid w:val="006E002F"/>
    <w:rsid w:val="006E0318"/>
    <w:rsid w:val="006E045C"/>
    <w:rsid w:val="006E05E5"/>
    <w:rsid w:val="006E0690"/>
    <w:rsid w:val="006E088A"/>
    <w:rsid w:val="006E0E43"/>
    <w:rsid w:val="006E0F56"/>
    <w:rsid w:val="006E1AD7"/>
    <w:rsid w:val="006E1B50"/>
    <w:rsid w:val="006E1BB6"/>
    <w:rsid w:val="006E1C48"/>
    <w:rsid w:val="006E1CC0"/>
    <w:rsid w:val="006E1E0C"/>
    <w:rsid w:val="006E206E"/>
    <w:rsid w:val="006E23BD"/>
    <w:rsid w:val="006E24F9"/>
    <w:rsid w:val="006E25C2"/>
    <w:rsid w:val="006E2675"/>
    <w:rsid w:val="006E2810"/>
    <w:rsid w:val="006E2CBB"/>
    <w:rsid w:val="006E2CD8"/>
    <w:rsid w:val="006E2E0C"/>
    <w:rsid w:val="006E33EE"/>
    <w:rsid w:val="006E3536"/>
    <w:rsid w:val="006E358A"/>
    <w:rsid w:val="006E3930"/>
    <w:rsid w:val="006E3A91"/>
    <w:rsid w:val="006E3B1D"/>
    <w:rsid w:val="006E3D9E"/>
    <w:rsid w:val="006E3F02"/>
    <w:rsid w:val="006E41D1"/>
    <w:rsid w:val="006E4244"/>
    <w:rsid w:val="006E4608"/>
    <w:rsid w:val="006E493B"/>
    <w:rsid w:val="006E4980"/>
    <w:rsid w:val="006E4B2F"/>
    <w:rsid w:val="006E4D8B"/>
    <w:rsid w:val="006E4F53"/>
    <w:rsid w:val="006E4F5C"/>
    <w:rsid w:val="006E5033"/>
    <w:rsid w:val="006E508A"/>
    <w:rsid w:val="006E50FD"/>
    <w:rsid w:val="006E51CE"/>
    <w:rsid w:val="006E51F3"/>
    <w:rsid w:val="006E526C"/>
    <w:rsid w:val="006E544E"/>
    <w:rsid w:val="006E568C"/>
    <w:rsid w:val="006E568F"/>
    <w:rsid w:val="006E5701"/>
    <w:rsid w:val="006E59C2"/>
    <w:rsid w:val="006E5AAE"/>
    <w:rsid w:val="006E5E09"/>
    <w:rsid w:val="006E652D"/>
    <w:rsid w:val="006E65EF"/>
    <w:rsid w:val="006E66E3"/>
    <w:rsid w:val="006E68AB"/>
    <w:rsid w:val="006E6B1B"/>
    <w:rsid w:val="006E716B"/>
    <w:rsid w:val="006E71D9"/>
    <w:rsid w:val="006E727C"/>
    <w:rsid w:val="006E76CA"/>
    <w:rsid w:val="006E7814"/>
    <w:rsid w:val="006E782E"/>
    <w:rsid w:val="006E7830"/>
    <w:rsid w:val="006F00D1"/>
    <w:rsid w:val="006F00F9"/>
    <w:rsid w:val="006F028E"/>
    <w:rsid w:val="006F04F0"/>
    <w:rsid w:val="006F065C"/>
    <w:rsid w:val="006F0E0F"/>
    <w:rsid w:val="006F0EAC"/>
    <w:rsid w:val="006F115F"/>
    <w:rsid w:val="006F11E1"/>
    <w:rsid w:val="006F1216"/>
    <w:rsid w:val="006F125D"/>
    <w:rsid w:val="006F14CF"/>
    <w:rsid w:val="006F1575"/>
    <w:rsid w:val="006F16BD"/>
    <w:rsid w:val="006F1BC9"/>
    <w:rsid w:val="006F1BF2"/>
    <w:rsid w:val="006F1C60"/>
    <w:rsid w:val="006F1DD0"/>
    <w:rsid w:val="006F229B"/>
    <w:rsid w:val="006F22B3"/>
    <w:rsid w:val="006F234B"/>
    <w:rsid w:val="006F26E9"/>
    <w:rsid w:val="006F2C32"/>
    <w:rsid w:val="006F2F15"/>
    <w:rsid w:val="006F2FB8"/>
    <w:rsid w:val="006F3112"/>
    <w:rsid w:val="006F3135"/>
    <w:rsid w:val="006F33BF"/>
    <w:rsid w:val="006F34BF"/>
    <w:rsid w:val="006F36DF"/>
    <w:rsid w:val="006F38E3"/>
    <w:rsid w:val="006F3950"/>
    <w:rsid w:val="006F39AF"/>
    <w:rsid w:val="006F3FAC"/>
    <w:rsid w:val="006F4095"/>
    <w:rsid w:val="006F428C"/>
    <w:rsid w:val="006F492B"/>
    <w:rsid w:val="006F4A03"/>
    <w:rsid w:val="006F4B9D"/>
    <w:rsid w:val="006F4BEA"/>
    <w:rsid w:val="006F4CB8"/>
    <w:rsid w:val="006F4D09"/>
    <w:rsid w:val="006F4E19"/>
    <w:rsid w:val="006F525D"/>
    <w:rsid w:val="006F530A"/>
    <w:rsid w:val="006F546C"/>
    <w:rsid w:val="006F5600"/>
    <w:rsid w:val="006F565F"/>
    <w:rsid w:val="006F5713"/>
    <w:rsid w:val="006F5B58"/>
    <w:rsid w:val="006F5B71"/>
    <w:rsid w:val="006F5FB6"/>
    <w:rsid w:val="006F62E1"/>
    <w:rsid w:val="006F6351"/>
    <w:rsid w:val="006F6390"/>
    <w:rsid w:val="006F6405"/>
    <w:rsid w:val="006F6900"/>
    <w:rsid w:val="006F6C1C"/>
    <w:rsid w:val="006F6C47"/>
    <w:rsid w:val="006F6F7B"/>
    <w:rsid w:val="006F70E1"/>
    <w:rsid w:val="006F7172"/>
    <w:rsid w:val="006F71E0"/>
    <w:rsid w:val="006F74F1"/>
    <w:rsid w:val="006F750E"/>
    <w:rsid w:val="006F7683"/>
    <w:rsid w:val="006F7920"/>
    <w:rsid w:val="006F7B4E"/>
    <w:rsid w:val="00700158"/>
    <w:rsid w:val="00700785"/>
    <w:rsid w:val="00700811"/>
    <w:rsid w:val="00700897"/>
    <w:rsid w:val="0070093D"/>
    <w:rsid w:val="007009CE"/>
    <w:rsid w:val="00700A34"/>
    <w:rsid w:val="00700BC2"/>
    <w:rsid w:val="00700CA6"/>
    <w:rsid w:val="00701304"/>
    <w:rsid w:val="007014A3"/>
    <w:rsid w:val="007014AE"/>
    <w:rsid w:val="00701730"/>
    <w:rsid w:val="007018EE"/>
    <w:rsid w:val="00701D9C"/>
    <w:rsid w:val="00701DB1"/>
    <w:rsid w:val="0070219C"/>
    <w:rsid w:val="007021AA"/>
    <w:rsid w:val="007025A9"/>
    <w:rsid w:val="007027A0"/>
    <w:rsid w:val="00702A13"/>
    <w:rsid w:val="00702EF1"/>
    <w:rsid w:val="00702F06"/>
    <w:rsid w:val="007032BD"/>
    <w:rsid w:val="00703322"/>
    <w:rsid w:val="007034A7"/>
    <w:rsid w:val="00703AF9"/>
    <w:rsid w:val="00703DF2"/>
    <w:rsid w:val="00703E98"/>
    <w:rsid w:val="00703F60"/>
    <w:rsid w:val="0070450C"/>
    <w:rsid w:val="00704618"/>
    <w:rsid w:val="007047FE"/>
    <w:rsid w:val="00704AAA"/>
    <w:rsid w:val="00704F99"/>
    <w:rsid w:val="00705153"/>
    <w:rsid w:val="00705249"/>
    <w:rsid w:val="00705407"/>
    <w:rsid w:val="007055CD"/>
    <w:rsid w:val="00705678"/>
    <w:rsid w:val="007057AB"/>
    <w:rsid w:val="00705974"/>
    <w:rsid w:val="00705BE9"/>
    <w:rsid w:val="00705C40"/>
    <w:rsid w:val="00705DF5"/>
    <w:rsid w:val="0070683B"/>
    <w:rsid w:val="00706D5E"/>
    <w:rsid w:val="00706DAD"/>
    <w:rsid w:val="00706E87"/>
    <w:rsid w:val="007070BE"/>
    <w:rsid w:val="00707229"/>
    <w:rsid w:val="00707B64"/>
    <w:rsid w:val="00707EBC"/>
    <w:rsid w:val="00707FF6"/>
    <w:rsid w:val="00710188"/>
    <w:rsid w:val="007101BA"/>
    <w:rsid w:val="007101DD"/>
    <w:rsid w:val="007103DA"/>
    <w:rsid w:val="0071043C"/>
    <w:rsid w:val="007104C9"/>
    <w:rsid w:val="0071056C"/>
    <w:rsid w:val="007106B5"/>
    <w:rsid w:val="00710BEB"/>
    <w:rsid w:val="00710D13"/>
    <w:rsid w:val="00710E6E"/>
    <w:rsid w:val="00711028"/>
    <w:rsid w:val="00711237"/>
    <w:rsid w:val="007112A7"/>
    <w:rsid w:val="0071146A"/>
    <w:rsid w:val="007115B6"/>
    <w:rsid w:val="00711AD3"/>
    <w:rsid w:val="00711D09"/>
    <w:rsid w:val="00712293"/>
    <w:rsid w:val="00712399"/>
    <w:rsid w:val="007129AF"/>
    <w:rsid w:val="00712A66"/>
    <w:rsid w:val="00712A99"/>
    <w:rsid w:val="00712B9F"/>
    <w:rsid w:val="00712D13"/>
    <w:rsid w:val="00712FD7"/>
    <w:rsid w:val="007133D7"/>
    <w:rsid w:val="007134DF"/>
    <w:rsid w:val="007137C2"/>
    <w:rsid w:val="007137F3"/>
    <w:rsid w:val="007138E2"/>
    <w:rsid w:val="00714097"/>
    <w:rsid w:val="007142F5"/>
    <w:rsid w:val="00714403"/>
    <w:rsid w:val="0071441D"/>
    <w:rsid w:val="00714527"/>
    <w:rsid w:val="0071466D"/>
    <w:rsid w:val="00714692"/>
    <w:rsid w:val="00714706"/>
    <w:rsid w:val="0071487F"/>
    <w:rsid w:val="007149F3"/>
    <w:rsid w:val="0071519B"/>
    <w:rsid w:val="00715718"/>
    <w:rsid w:val="007158DB"/>
    <w:rsid w:val="00715B2D"/>
    <w:rsid w:val="00715B71"/>
    <w:rsid w:val="00715DEC"/>
    <w:rsid w:val="00715F37"/>
    <w:rsid w:val="00716152"/>
    <w:rsid w:val="0071628F"/>
    <w:rsid w:val="007162FB"/>
    <w:rsid w:val="00716461"/>
    <w:rsid w:val="00716692"/>
    <w:rsid w:val="00716757"/>
    <w:rsid w:val="00716816"/>
    <w:rsid w:val="00716BDB"/>
    <w:rsid w:val="00716CB0"/>
    <w:rsid w:val="00716E27"/>
    <w:rsid w:val="00716F5D"/>
    <w:rsid w:val="007171E0"/>
    <w:rsid w:val="00717262"/>
    <w:rsid w:val="007173E8"/>
    <w:rsid w:val="00717443"/>
    <w:rsid w:val="00717505"/>
    <w:rsid w:val="007175AF"/>
    <w:rsid w:val="0071769A"/>
    <w:rsid w:val="0071773A"/>
    <w:rsid w:val="007177B6"/>
    <w:rsid w:val="00717858"/>
    <w:rsid w:val="00717AD6"/>
    <w:rsid w:val="00717CA0"/>
    <w:rsid w:val="00717D52"/>
    <w:rsid w:val="007201B0"/>
    <w:rsid w:val="0072033E"/>
    <w:rsid w:val="007203D2"/>
    <w:rsid w:val="007204A3"/>
    <w:rsid w:val="007204C8"/>
    <w:rsid w:val="00720599"/>
    <w:rsid w:val="0072068D"/>
    <w:rsid w:val="007209D9"/>
    <w:rsid w:val="00720B73"/>
    <w:rsid w:val="00720BF7"/>
    <w:rsid w:val="00720C73"/>
    <w:rsid w:val="00720D77"/>
    <w:rsid w:val="007216A7"/>
    <w:rsid w:val="007216CE"/>
    <w:rsid w:val="00721784"/>
    <w:rsid w:val="00721823"/>
    <w:rsid w:val="0072191F"/>
    <w:rsid w:val="00721AC5"/>
    <w:rsid w:val="00721AF7"/>
    <w:rsid w:val="00721B84"/>
    <w:rsid w:val="00721BB1"/>
    <w:rsid w:val="00722047"/>
    <w:rsid w:val="0072233A"/>
    <w:rsid w:val="007223AE"/>
    <w:rsid w:val="00722502"/>
    <w:rsid w:val="0072251A"/>
    <w:rsid w:val="00722762"/>
    <w:rsid w:val="00722935"/>
    <w:rsid w:val="00722F0F"/>
    <w:rsid w:val="007233D2"/>
    <w:rsid w:val="0072354E"/>
    <w:rsid w:val="00723641"/>
    <w:rsid w:val="0072374E"/>
    <w:rsid w:val="007238D5"/>
    <w:rsid w:val="007238FE"/>
    <w:rsid w:val="00723BFF"/>
    <w:rsid w:val="00723C50"/>
    <w:rsid w:val="00723D0F"/>
    <w:rsid w:val="00723F96"/>
    <w:rsid w:val="00723FAE"/>
    <w:rsid w:val="0072426F"/>
    <w:rsid w:val="007242AB"/>
    <w:rsid w:val="007243D1"/>
    <w:rsid w:val="0072443A"/>
    <w:rsid w:val="00724501"/>
    <w:rsid w:val="007245FE"/>
    <w:rsid w:val="00724941"/>
    <w:rsid w:val="00724E74"/>
    <w:rsid w:val="00724F24"/>
    <w:rsid w:val="00725056"/>
    <w:rsid w:val="007252A6"/>
    <w:rsid w:val="0072531B"/>
    <w:rsid w:val="00725BFE"/>
    <w:rsid w:val="007265B8"/>
    <w:rsid w:val="0072661E"/>
    <w:rsid w:val="0072667C"/>
    <w:rsid w:val="0072677B"/>
    <w:rsid w:val="00726A92"/>
    <w:rsid w:val="00726C41"/>
    <w:rsid w:val="00726EED"/>
    <w:rsid w:val="00726F80"/>
    <w:rsid w:val="007272BC"/>
    <w:rsid w:val="0072731A"/>
    <w:rsid w:val="00727532"/>
    <w:rsid w:val="0072757A"/>
    <w:rsid w:val="007278C1"/>
    <w:rsid w:val="00727BD8"/>
    <w:rsid w:val="00727DB9"/>
    <w:rsid w:val="00730541"/>
    <w:rsid w:val="007308F5"/>
    <w:rsid w:val="00730A54"/>
    <w:rsid w:val="00730C84"/>
    <w:rsid w:val="0073113A"/>
    <w:rsid w:val="007313B5"/>
    <w:rsid w:val="007313F1"/>
    <w:rsid w:val="0073158E"/>
    <w:rsid w:val="00731AD1"/>
    <w:rsid w:val="007321F6"/>
    <w:rsid w:val="0073244A"/>
    <w:rsid w:val="0073282C"/>
    <w:rsid w:val="0073285C"/>
    <w:rsid w:val="0073287C"/>
    <w:rsid w:val="00732965"/>
    <w:rsid w:val="00732A2B"/>
    <w:rsid w:val="00732A75"/>
    <w:rsid w:val="00732CC5"/>
    <w:rsid w:val="00732D17"/>
    <w:rsid w:val="00732F5F"/>
    <w:rsid w:val="00733933"/>
    <w:rsid w:val="00733BB8"/>
    <w:rsid w:val="0073407F"/>
    <w:rsid w:val="00734264"/>
    <w:rsid w:val="007349FE"/>
    <w:rsid w:val="00734B5B"/>
    <w:rsid w:val="00734B5C"/>
    <w:rsid w:val="00734D09"/>
    <w:rsid w:val="00735088"/>
    <w:rsid w:val="007351DE"/>
    <w:rsid w:val="00735A6D"/>
    <w:rsid w:val="00735A7E"/>
    <w:rsid w:val="00736191"/>
    <w:rsid w:val="007361BC"/>
    <w:rsid w:val="007361CB"/>
    <w:rsid w:val="007361CE"/>
    <w:rsid w:val="00736252"/>
    <w:rsid w:val="007362FA"/>
    <w:rsid w:val="00736306"/>
    <w:rsid w:val="00736619"/>
    <w:rsid w:val="007368AD"/>
    <w:rsid w:val="00736CF9"/>
    <w:rsid w:val="0073700E"/>
    <w:rsid w:val="007371FA"/>
    <w:rsid w:val="0073778F"/>
    <w:rsid w:val="007379E0"/>
    <w:rsid w:val="007379F8"/>
    <w:rsid w:val="00737A3A"/>
    <w:rsid w:val="00737B5F"/>
    <w:rsid w:val="00737E52"/>
    <w:rsid w:val="007400FB"/>
    <w:rsid w:val="00740160"/>
    <w:rsid w:val="00740180"/>
    <w:rsid w:val="007401D5"/>
    <w:rsid w:val="007401D6"/>
    <w:rsid w:val="00740370"/>
    <w:rsid w:val="00740620"/>
    <w:rsid w:val="007406BB"/>
    <w:rsid w:val="007407E5"/>
    <w:rsid w:val="007408BA"/>
    <w:rsid w:val="00740B14"/>
    <w:rsid w:val="00740C19"/>
    <w:rsid w:val="00740CC3"/>
    <w:rsid w:val="00740F67"/>
    <w:rsid w:val="00740F82"/>
    <w:rsid w:val="0074105D"/>
    <w:rsid w:val="007413B3"/>
    <w:rsid w:val="007414AF"/>
    <w:rsid w:val="007415B3"/>
    <w:rsid w:val="00741664"/>
    <w:rsid w:val="00741745"/>
    <w:rsid w:val="00741860"/>
    <w:rsid w:val="0074187C"/>
    <w:rsid w:val="007418F2"/>
    <w:rsid w:val="00741A6B"/>
    <w:rsid w:val="00741A92"/>
    <w:rsid w:val="00741C1F"/>
    <w:rsid w:val="00741C45"/>
    <w:rsid w:val="00741DE8"/>
    <w:rsid w:val="00741E77"/>
    <w:rsid w:val="00742039"/>
    <w:rsid w:val="00742251"/>
    <w:rsid w:val="007422EF"/>
    <w:rsid w:val="0074230E"/>
    <w:rsid w:val="00742327"/>
    <w:rsid w:val="007424DC"/>
    <w:rsid w:val="00742599"/>
    <w:rsid w:val="007428A7"/>
    <w:rsid w:val="00742AB7"/>
    <w:rsid w:val="00742E5F"/>
    <w:rsid w:val="00742EF3"/>
    <w:rsid w:val="00742F81"/>
    <w:rsid w:val="00742FD8"/>
    <w:rsid w:val="00743027"/>
    <w:rsid w:val="00743196"/>
    <w:rsid w:val="007442ED"/>
    <w:rsid w:val="007446C6"/>
    <w:rsid w:val="00744768"/>
    <w:rsid w:val="0074476F"/>
    <w:rsid w:val="00745203"/>
    <w:rsid w:val="00745218"/>
    <w:rsid w:val="007452A1"/>
    <w:rsid w:val="007454E0"/>
    <w:rsid w:val="0074553A"/>
    <w:rsid w:val="00745AF9"/>
    <w:rsid w:val="00745E2A"/>
    <w:rsid w:val="00745EDF"/>
    <w:rsid w:val="00745F3C"/>
    <w:rsid w:val="007463F1"/>
    <w:rsid w:val="007464A6"/>
    <w:rsid w:val="00746912"/>
    <w:rsid w:val="00746D65"/>
    <w:rsid w:val="00747278"/>
    <w:rsid w:val="00747545"/>
    <w:rsid w:val="00747855"/>
    <w:rsid w:val="00747EDF"/>
    <w:rsid w:val="00747F09"/>
    <w:rsid w:val="007500E8"/>
    <w:rsid w:val="0075024A"/>
    <w:rsid w:val="007502BC"/>
    <w:rsid w:val="00750304"/>
    <w:rsid w:val="00750482"/>
    <w:rsid w:val="0075062F"/>
    <w:rsid w:val="00750C5D"/>
    <w:rsid w:val="007511BF"/>
    <w:rsid w:val="007511FA"/>
    <w:rsid w:val="0075150F"/>
    <w:rsid w:val="007518A5"/>
    <w:rsid w:val="007518D4"/>
    <w:rsid w:val="00751B85"/>
    <w:rsid w:val="00752317"/>
    <w:rsid w:val="007523A7"/>
    <w:rsid w:val="00752602"/>
    <w:rsid w:val="0075263F"/>
    <w:rsid w:val="00752852"/>
    <w:rsid w:val="007530B7"/>
    <w:rsid w:val="007532AB"/>
    <w:rsid w:val="007532E7"/>
    <w:rsid w:val="00753557"/>
    <w:rsid w:val="007535A3"/>
    <w:rsid w:val="00753648"/>
    <w:rsid w:val="00753B97"/>
    <w:rsid w:val="0075465B"/>
    <w:rsid w:val="007548C5"/>
    <w:rsid w:val="007548F9"/>
    <w:rsid w:val="00754941"/>
    <w:rsid w:val="00754BDC"/>
    <w:rsid w:val="007554C0"/>
    <w:rsid w:val="00755576"/>
    <w:rsid w:val="007557AB"/>
    <w:rsid w:val="00755A21"/>
    <w:rsid w:val="00755FCB"/>
    <w:rsid w:val="00755FF9"/>
    <w:rsid w:val="007560F2"/>
    <w:rsid w:val="00756632"/>
    <w:rsid w:val="0075689F"/>
    <w:rsid w:val="00757007"/>
    <w:rsid w:val="00757158"/>
    <w:rsid w:val="007573A4"/>
    <w:rsid w:val="00757625"/>
    <w:rsid w:val="007578C4"/>
    <w:rsid w:val="00757975"/>
    <w:rsid w:val="0075799D"/>
    <w:rsid w:val="00757AD8"/>
    <w:rsid w:val="00757C8E"/>
    <w:rsid w:val="00757D08"/>
    <w:rsid w:val="00757DCD"/>
    <w:rsid w:val="00757FB3"/>
    <w:rsid w:val="007601B2"/>
    <w:rsid w:val="0076050B"/>
    <w:rsid w:val="0076057B"/>
    <w:rsid w:val="007609CF"/>
    <w:rsid w:val="00760A67"/>
    <w:rsid w:val="00760B4E"/>
    <w:rsid w:val="00760C94"/>
    <w:rsid w:val="00760EA9"/>
    <w:rsid w:val="00760F0D"/>
    <w:rsid w:val="00761328"/>
    <w:rsid w:val="0076140D"/>
    <w:rsid w:val="00761652"/>
    <w:rsid w:val="007618A7"/>
    <w:rsid w:val="007619FB"/>
    <w:rsid w:val="00761E98"/>
    <w:rsid w:val="00761FDF"/>
    <w:rsid w:val="00762049"/>
    <w:rsid w:val="007624FA"/>
    <w:rsid w:val="00762615"/>
    <w:rsid w:val="00762B94"/>
    <w:rsid w:val="00762D3E"/>
    <w:rsid w:val="00762F57"/>
    <w:rsid w:val="00763758"/>
    <w:rsid w:val="007638AA"/>
    <w:rsid w:val="007638EA"/>
    <w:rsid w:val="00763AF3"/>
    <w:rsid w:val="00763B5B"/>
    <w:rsid w:val="00763BCE"/>
    <w:rsid w:val="00763C72"/>
    <w:rsid w:val="00763F72"/>
    <w:rsid w:val="0076434A"/>
    <w:rsid w:val="0076449C"/>
    <w:rsid w:val="007644FE"/>
    <w:rsid w:val="00764506"/>
    <w:rsid w:val="007647F3"/>
    <w:rsid w:val="00764812"/>
    <w:rsid w:val="00764ADD"/>
    <w:rsid w:val="00764D68"/>
    <w:rsid w:val="007650ED"/>
    <w:rsid w:val="00765132"/>
    <w:rsid w:val="00765314"/>
    <w:rsid w:val="00765483"/>
    <w:rsid w:val="00765990"/>
    <w:rsid w:val="00765AD1"/>
    <w:rsid w:val="00765DA1"/>
    <w:rsid w:val="00766386"/>
    <w:rsid w:val="007664CA"/>
    <w:rsid w:val="0076659A"/>
    <w:rsid w:val="00766957"/>
    <w:rsid w:val="007670C6"/>
    <w:rsid w:val="007670F3"/>
    <w:rsid w:val="00767321"/>
    <w:rsid w:val="00767502"/>
    <w:rsid w:val="00767694"/>
    <w:rsid w:val="007679BD"/>
    <w:rsid w:val="00767B61"/>
    <w:rsid w:val="00767BAC"/>
    <w:rsid w:val="00767E0B"/>
    <w:rsid w:val="00767F0B"/>
    <w:rsid w:val="00767FF2"/>
    <w:rsid w:val="007703A4"/>
    <w:rsid w:val="00770412"/>
    <w:rsid w:val="0077048C"/>
    <w:rsid w:val="0077051A"/>
    <w:rsid w:val="007705BA"/>
    <w:rsid w:val="0077066B"/>
    <w:rsid w:val="00770790"/>
    <w:rsid w:val="007707C9"/>
    <w:rsid w:val="00770974"/>
    <w:rsid w:val="0077143C"/>
    <w:rsid w:val="0077155F"/>
    <w:rsid w:val="007716CB"/>
    <w:rsid w:val="00771736"/>
    <w:rsid w:val="00771ADF"/>
    <w:rsid w:val="00771B50"/>
    <w:rsid w:val="00771BCE"/>
    <w:rsid w:val="00771CE3"/>
    <w:rsid w:val="00772160"/>
    <w:rsid w:val="00772194"/>
    <w:rsid w:val="007724ED"/>
    <w:rsid w:val="00772531"/>
    <w:rsid w:val="00772D1E"/>
    <w:rsid w:val="00773450"/>
    <w:rsid w:val="00773454"/>
    <w:rsid w:val="007735A9"/>
    <w:rsid w:val="007736CF"/>
    <w:rsid w:val="00773704"/>
    <w:rsid w:val="007737FA"/>
    <w:rsid w:val="00773BC6"/>
    <w:rsid w:val="00773D02"/>
    <w:rsid w:val="00773DB7"/>
    <w:rsid w:val="00773F5D"/>
    <w:rsid w:val="0077418D"/>
    <w:rsid w:val="0077432C"/>
    <w:rsid w:val="007746F8"/>
    <w:rsid w:val="007748A4"/>
    <w:rsid w:val="00774903"/>
    <w:rsid w:val="00774E8D"/>
    <w:rsid w:val="00774F4B"/>
    <w:rsid w:val="0077510D"/>
    <w:rsid w:val="00775143"/>
    <w:rsid w:val="00775195"/>
    <w:rsid w:val="0077522B"/>
    <w:rsid w:val="00775463"/>
    <w:rsid w:val="007758FB"/>
    <w:rsid w:val="007759A3"/>
    <w:rsid w:val="007759EB"/>
    <w:rsid w:val="007759F5"/>
    <w:rsid w:val="00775A7E"/>
    <w:rsid w:val="00775B83"/>
    <w:rsid w:val="00775CB9"/>
    <w:rsid w:val="00775E02"/>
    <w:rsid w:val="00776161"/>
    <w:rsid w:val="00776172"/>
    <w:rsid w:val="0077621B"/>
    <w:rsid w:val="0077628A"/>
    <w:rsid w:val="00776625"/>
    <w:rsid w:val="00776644"/>
    <w:rsid w:val="0077665B"/>
    <w:rsid w:val="007770CF"/>
    <w:rsid w:val="00777261"/>
    <w:rsid w:val="00777662"/>
    <w:rsid w:val="007776BA"/>
    <w:rsid w:val="007776C2"/>
    <w:rsid w:val="007779C8"/>
    <w:rsid w:val="00777AE0"/>
    <w:rsid w:val="00777F08"/>
    <w:rsid w:val="00777FA1"/>
    <w:rsid w:val="0078009C"/>
    <w:rsid w:val="00780450"/>
    <w:rsid w:val="00780776"/>
    <w:rsid w:val="00780826"/>
    <w:rsid w:val="007809AA"/>
    <w:rsid w:val="007809B1"/>
    <w:rsid w:val="00780AEE"/>
    <w:rsid w:val="00780C2A"/>
    <w:rsid w:val="00780F86"/>
    <w:rsid w:val="00780FDD"/>
    <w:rsid w:val="00781441"/>
    <w:rsid w:val="00781457"/>
    <w:rsid w:val="00781665"/>
    <w:rsid w:val="00781A7C"/>
    <w:rsid w:val="00781ABD"/>
    <w:rsid w:val="00781FAA"/>
    <w:rsid w:val="0078209E"/>
    <w:rsid w:val="0078217F"/>
    <w:rsid w:val="00782437"/>
    <w:rsid w:val="00782453"/>
    <w:rsid w:val="00782478"/>
    <w:rsid w:val="007826F6"/>
    <w:rsid w:val="007827D2"/>
    <w:rsid w:val="00782A3C"/>
    <w:rsid w:val="00782B90"/>
    <w:rsid w:val="00782C7B"/>
    <w:rsid w:val="00782FC3"/>
    <w:rsid w:val="0078320D"/>
    <w:rsid w:val="0078355A"/>
    <w:rsid w:val="00783651"/>
    <w:rsid w:val="0078373B"/>
    <w:rsid w:val="00783810"/>
    <w:rsid w:val="007839AE"/>
    <w:rsid w:val="00783B3C"/>
    <w:rsid w:val="00783DB6"/>
    <w:rsid w:val="00783DE8"/>
    <w:rsid w:val="00783E66"/>
    <w:rsid w:val="00783EF4"/>
    <w:rsid w:val="00784054"/>
    <w:rsid w:val="007844EC"/>
    <w:rsid w:val="0078461F"/>
    <w:rsid w:val="00784621"/>
    <w:rsid w:val="007847D5"/>
    <w:rsid w:val="00784AAE"/>
    <w:rsid w:val="00784BF5"/>
    <w:rsid w:val="00784CDA"/>
    <w:rsid w:val="00784D2C"/>
    <w:rsid w:val="00784E4C"/>
    <w:rsid w:val="00785222"/>
    <w:rsid w:val="007853F9"/>
    <w:rsid w:val="0078564C"/>
    <w:rsid w:val="007856E4"/>
    <w:rsid w:val="00785785"/>
    <w:rsid w:val="00785AF8"/>
    <w:rsid w:val="00785DF2"/>
    <w:rsid w:val="00785E9F"/>
    <w:rsid w:val="00786182"/>
    <w:rsid w:val="00786312"/>
    <w:rsid w:val="00786410"/>
    <w:rsid w:val="00786838"/>
    <w:rsid w:val="00786E29"/>
    <w:rsid w:val="00787457"/>
    <w:rsid w:val="00787463"/>
    <w:rsid w:val="00787671"/>
    <w:rsid w:val="0078771F"/>
    <w:rsid w:val="0078783A"/>
    <w:rsid w:val="007878ED"/>
    <w:rsid w:val="00787E89"/>
    <w:rsid w:val="00787EFF"/>
    <w:rsid w:val="00787F84"/>
    <w:rsid w:val="00787F9E"/>
    <w:rsid w:val="00790095"/>
    <w:rsid w:val="00790C6B"/>
    <w:rsid w:val="00790C87"/>
    <w:rsid w:val="00790DA3"/>
    <w:rsid w:val="007911F5"/>
    <w:rsid w:val="0079131B"/>
    <w:rsid w:val="00791724"/>
    <w:rsid w:val="0079191E"/>
    <w:rsid w:val="00791AA3"/>
    <w:rsid w:val="00791B09"/>
    <w:rsid w:val="00791C57"/>
    <w:rsid w:val="00791D25"/>
    <w:rsid w:val="00791EA7"/>
    <w:rsid w:val="007920AB"/>
    <w:rsid w:val="00792342"/>
    <w:rsid w:val="007925A1"/>
    <w:rsid w:val="00792657"/>
    <w:rsid w:val="00792764"/>
    <w:rsid w:val="00792783"/>
    <w:rsid w:val="0079280B"/>
    <w:rsid w:val="00792E9E"/>
    <w:rsid w:val="00792EF1"/>
    <w:rsid w:val="00792EF7"/>
    <w:rsid w:val="00792F24"/>
    <w:rsid w:val="0079312A"/>
    <w:rsid w:val="00793178"/>
    <w:rsid w:val="00793525"/>
    <w:rsid w:val="007938CB"/>
    <w:rsid w:val="00793AF5"/>
    <w:rsid w:val="00793F1A"/>
    <w:rsid w:val="00793FBF"/>
    <w:rsid w:val="007940BE"/>
    <w:rsid w:val="00794107"/>
    <w:rsid w:val="007941ED"/>
    <w:rsid w:val="007942CD"/>
    <w:rsid w:val="00794317"/>
    <w:rsid w:val="0079453C"/>
    <w:rsid w:val="00794D30"/>
    <w:rsid w:val="00794E91"/>
    <w:rsid w:val="0079524A"/>
    <w:rsid w:val="00795443"/>
    <w:rsid w:val="007955CF"/>
    <w:rsid w:val="007957F2"/>
    <w:rsid w:val="00795837"/>
    <w:rsid w:val="00795BF4"/>
    <w:rsid w:val="00795E93"/>
    <w:rsid w:val="00796061"/>
    <w:rsid w:val="00796A8B"/>
    <w:rsid w:val="00796DDB"/>
    <w:rsid w:val="0079702B"/>
    <w:rsid w:val="007970E9"/>
    <w:rsid w:val="00797413"/>
    <w:rsid w:val="00797854"/>
    <w:rsid w:val="00797AA5"/>
    <w:rsid w:val="00797D60"/>
    <w:rsid w:val="00797F7A"/>
    <w:rsid w:val="007A0223"/>
    <w:rsid w:val="007A0481"/>
    <w:rsid w:val="007A04A8"/>
    <w:rsid w:val="007A062A"/>
    <w:rsid w:val="007A06C4"/>
    <w:rsid w:val="007A079D"/>
    <w:rsid w:val="007A0A5B"/>
    <w:rsid w:val="007A0D53"/>
    <w:rsid w:val="007A0EDF"/>
    <w:rsid w:val="007A117A"/>
    <w:rsid w:val="007A1216"/>
    <w:rsid w:val="007A13E2"/>
    <w:rsid w:val="007A1512"/>
    <w:rsid w:val="007A1661"/>
    <w:rsid w:val="007A1919"/>
    <w:rsid w:val="007A1B1F"/>
    <w:rsid w:val="007A1F7F"/>
    <w:rsid w:val="007A23FE"/>
    <w:rsid w:val="007A2411"/>
    <w:rsid w:val="007A25C8"/>
    <w:rsid w:val="007A2668"/>
    <w:rsid w:val="007A2895"/>
    <w:rsid w:val="007A28A9"/>
    <w:rsid w:val="007A28D3"/>
    <w:rsid w:val="007A2A63"/>
    <w:rsid w:val="007A2B76"/>
    <w:rsid w:val="007A2B81"/>
    <w:rsid w:val="007A2D15"/>
    <w:rsid w:val="007A2D85"/>
    <w:rsid w:val="007A2DD6"/>
    <w:rsid w:val="007A2FCA"/>
    <w:rsid w:val="007A3217"/>
    <w:rsid w:val="007A3682"/>
    <w:rsid w:val="007A384C"/>
    <w:rsid w:val="007A3B1D"/>
    <w:rsid w:val="007A42D5"/>
    <w:rsid w:val="007A42E3"/>
    <w:rsid w:val="007A43EC"/>
    <w:rsid w:val="007A46CB"/>
    <w:rsid w:val="007A4745"/>
    <w:rsid w:val="007A497F"/>
    <w:rsid w:val="007A49B3"/>
    <w:rsid w:val="007A49F3"/>
    <w:rsid w:val="007A4A78"/>
    <w:rsid w:val="007A4A92"/>
    <w:rsid w:val="007A4A93"/>
    <w:rsid w:val="007A4C19"/>
    <w:rsid w:val="007A4CB8"/>
    <w:rsid w:val="007A4E77"/>
    <w:rsid w:val="007A4FB4"/>
    <w:rsid w:val="007A50D3"/>
    <w:rsid w:val="007A5279"/>
    <w:rsid w:val="007A533F"/>
    <w:rsid w:val="007A53AB"/>
    <w:rsid w:val="007A54C8"/>
    <w:rsid w:val="007A5521"/>
    <w:rsid w:val="007A560B"/>
    <w:rsid w:val="007A560E"/>
    <w:rsid w:val="007A564F"/>
    <w:rsid w:val="007A5734"/>
    <w:rsid w:val="007A5C6D"/>
    <w:rsid w:val="007A605A"/>
    <w:rsid w:val="007A64C1"/>
    <w:rsid w:val="007A655F"/>
    <w:rsid w:val="007A68E7"/>
    <w:rsid w:val="007A68F7"/>
    <w:rsid w:val="007A6979"/>
    <w:rsid w:val="007A6B59"/>
    <w:rsid w:val="007A704A"/>
    <w:rsid w:val="007A7352"/>
    <w:rsid w:val="007A7C74"/>
    <w:rsid w:val="007A7CC8"/>
    <w:rsid w:val="007A7DAC"/>
    <w:rsid w:val="007A7EB5"/>
    <w:rsid w:val="007B000C"/>
    <w:rsid w:val="007B083D"/>
    <w:rsid w:val="007B0866"/>
    <w:rsid w:val="007B08F4"/>
    <w:rsid w:val="007B0AEC"/>
    <w:rsid w:val="007B0C31"/>
    <w:rsid w:val="007B0D05"/>
    <w:rsid w:val="007B0E2F"/>
    <w:rsid w:val="007B193B"/>
    <w:rsid w:val="007B1E9E"/>
    <w:rsid w:val="007B2200"/>
    <w:rsid w:val="007B22FB"/>
    <w:rsid w:val="007B2610"/>
    <w:rsid w:val="007B2994"/>
    <w:rsid w:val="007B2B86"/>
    <w:rsid w:val="007B2CA3"/>
    <w:rsid w:val="007B30CF"/>
    <w:rsid w:val="007B3126"/>
    <w:rsid w:val="007B359E"/>
    <w:rsid w:val="007B35B9"/>
    <w:rsid w:val="007B37BE"/>
    <w:rsid w:val="007B3D95"/>
    <w:rsid w:val="007B3DB8"/>
    <w:rsid w:val="007B3EE7"/>
    <w:rsid w:val="007B3F17"/>
    <w:rsid w:val="007B3F49"/>
    <w:rsid w:val="007B4023"/>
    <w:rsid w:val="007B43F9"/>
    <w:rsid w:val="007B46D1"/>
    <w:rsid w:val="007B4869"/>
    <w:rsid w:val="007B4C4C"/>
    <w:rsid w:val="007B4F73"/>
    <w:rsid w:val="007B624D"/>
    <w:rsid w:val="007B6717"/>
    <w:rsid w:val="007B6911"/>
    <w:rsid w:val="007B69FE"/>
    <w:rsid w:val="007B6FE4"/>
    <w:rsid w:val="007B6FF5"/>
    <w:rsid w:val="007B7213"/>
    <w:rsid w:val="007B72FF"/>
    <w:rsid w:val="007B77EE"/>
    <w:rsid w:val="007B78E6"/>
    <w:rsid w:val="007B79C8"/>
    <w:rsid w:val="007B7CF4"/>
    <w:rsid w:val="007C0168"/>
    <w:rsid w:val="007C01E5"/>
    <w:rsid w:val="007C03A1"/>
    <w:rsid w:val="007C0CA0"/>
    <w:rsid w:val="007C0D67"/>
    <w:rsid w:val="007C0DA1"/>
    <w:rsid w:val="007C0E86"/>
    <w:rsid w:val="007C1019"/>
    <w:rsid w:val="007C10F9"/>
    <w:rsid w:val="007C1103"/>
    <w:rsid w:val="007C112D"/>
    <w:rsid w:val="007C1419"/>
    <w:rsid w:val="007C1529"/>
    <w:rsid w:val="007C157F"/>
    <w:rsid w:val="007C16D8"/>
    <w:rsid w:val="007C17E6"/>
    <w:rsid w:val="007C18A9"/>
    <w:rsid w:val="007C1C67"/>
    <w:rsid w:val="007C1E68"/>
    <w:rsid w:val="007C1EAE"/>
    <w:rsid w:val="007C1EC9"/>
    <w:rsid w:val="007C2153"/>
    <w:rsid w:val="007C2164"/>
    <w:rsid w:val="007C23D9"/>
    <w:rsid w:val="007C259E"/>
    <w:rsid w:val="007C2631"/>
    <w:rsid w:val="007C277F"/>
    <w:rsid w:val="007C27C8"/>
    <w:rsid w:val="007C295B"/>
    <w:rsid w:val="007C296E"/>
    <w:rsid w:val="007C298A"/>
    <w:rsid w:val="007C2F08"/>
    <w:rsid w:val="007C3341"/>
    <w:rsid w:val="007C37CE"/>
    <w:rsid w:val="007C39AB"/>
    <w:rsid w:val="007C406D"/>
    <w:rsid w:val="007C4292"/>
    <w:rsid w:val="007C489B"/>
    <w:rsid w:val="007C4C99"/>
    <w:rsid w:val="007C4D14"/>
    <w:rsid w:val="007C4D60"/>
    <w:rsid w:val="007C5040"/>
    <w:rsid w:val="007C5097"/>
    <w:rsid w:val="007C5589"/>
    <w:rsid w:val="007C55B1"/>
    <w:rsid w:val="007C5910"/>
    <w:rsid w:val="007C5A14"/>
    <w:rsid w:val="007C5B23"/>
    <w:rsid w:val="007C5E1C"/>
    <w:rsid w:val="007C5E2E"/>
    <w:rsid w:val="007C62C7"/>
    <w:rsid w:val="007C6329"/>
    <w:rsid w:val="007C64AA"/>
    <w:rsid w:val="007C6710"/>
    <w:rsid w:val="007C6CC2"/>
    <w:rsid w:val="007C70AA"/>
    <w:rsid w:val="007C7107"/>
    <w:rsid w:val="007C729F"/>
    <w:rsid w:val="007C76D3"/>
    <w:rsid w:val="007C7979"/>
    <w:rsid w:val="007C7ADE"/>
    <w:rsid w:val="007C7CEC"/>
    <w:rsid w:val="007C7D59"/>
    <w:rsid w:val="007C7E78"/>
    <w:rsid w:val="007D011F"/>
    <w:rsid w:val="007D0217"/>
    <w:rsid w:val="007D0258"/>
    <w:rsid w:val="007D0972"/>
    <w:rsid w:val="007D0A45"/>
    <w:rsid w:val="007D0BD9"/>
    <w:rsid w:val="007D0C34"/>
    <w:rsid w:val="007D0DFF"/>
    <w:rsid w:val="007D0F2E"/>
    <w:rsid w:val="007D12E0"/>
    <w:rsid w:val="007D132B"/>
    <w:rsid w:val="007D1340"/>
    <w:rsid w:val="007D14E5"/>
    <w:rsid w:val="007D182C"/>
    <w:rsid w:val="007D1AE2"/>
    <w:rsid w:val="007D1B6A"/>
    <w:rsid w:val="007D1D0B"/>
    <w:rsid w:val="007D1FA7"/>
    <w:rsid w:val="007D23D3"/>
    <w:rsid w:val="007D27E7"/>
    <w:rsid w:val="007D2BCB"/>
    <w:rsid w:val="007D2CFC"/>
    <w:rsid w:val="007D2E54"/>
    <w:rsid w:val="007D2E86"/>
    <w:rsid w:val="007D2ECB"/>
    <w:rsid w:val="007D2F0D"/>
    <w:rsid w:val="007D30D8"/>
    <w:rsid w:val="007D339C"/>
    <w:rsid w:val="007D33C0"/>
    <w:rsid w:val="007D34BC"/>
    <w:rsid w:val="007D36CD"/>
    <w:rsid w:val="007D3D94"/>
    <w:rsid w:val="007D450E"/>
    <w:rsid w:val="007D462C"/>
    <w:rsid w:val="007D478C"/>
    <w:rsid w:val="007D4A97"/>
    <w:rsid w:val="007D4C89"/>
    <w:rsid w:val="007D4CBD"/>
    <w:rsid w:val="007D4CBE"/>
    <w:rsid w:val="007D4D9C"/>
    <w:rsid w:val="007D5100"/>
    <w:rsid w:val="007D553C"/>
    <w:rsid w:val="007D5773"/>
    <w:rsid w:val="007D579A"/>
    <w:rsid w:val="007D5A7E"/>
    <w:rsid w:val="007D5A9A"/>
    <w:rsid w:val="007D5CC7"/>
    <w:rsid w:val="007D5F56"/>
    <w:rsid w:val="007D6002"/>
    <w:rsid w:val="007D63EF"/>
    <w:rsid w:val="007D6522"/>
    <w:rsid w:val="007D6C6D"/>
    <w:rsid w:val="007D70EF"/>
    <w:rsid w:val="007D7126"/>
    <w:rsid w:val="007D738F"/>
    <w:rsid w:val="007D759A"/>
    <w:rsid w:val="007D7622"/>
    <w:rsid w:val="007D7A57"/>
    <w:rsid w:val="007D7BAF"/>
    <w:rsid w:val="007D7C49"/>
    <w:rsid w:val="007D7D37"/>
    <w:rsid w:val="007E0001"/>
    <w:rsid w:val="007E02F4"/>
    <w:rsid w:val="007E08A9"/>
    <w:rsid w:val="007E0962"/>
    <w:rsid w:val="007E0B0D"/>
    <w:rsid w:val="007E0B74"/>
    <w:rsid w:val="007E0E57"/>
    <w:rsid w:val="007E0F60"/>
    <w:rsid w:val="007E1276"/>
    <w:rsid w:val="007E12FA"/>
    <w:rsid w:val="007E1312"/>
    <w:rsid w:val="007E133C"/>
    <w:rsid w:val="007E151B"/>
    <w:rsid w:val="007E1781"/>
    <w:rsid w:val="007E1895"/>
    <w:rsid w:val="007E1AE3"/>
    <w:rsid w:val="007E1C33"/>
    <w:rsid w:val="007E1E4B"/>
    <w:rsid w:val="007E2127"/>
    <w:rsid w:val="007E229F"/>
    <w:rsid w:val="007E254A"/>
    <w:rsid w:val="007E26FC"/>
    <w:rsid w:val="007E270E"/>
    <w:rsid w:val="007E28E9"/>
    <w:rsid w:val="007E2E9F"/>
    <w:rsid w:val="007E308E"/>
    <w:rsid w:val="007E359D"/>
    <w:rsid w:val="007E3726"/>
    <w:rsid w:val="007E3B40"/>
    <w:rsid w:val="007E3F6C"/>
    <w:rsid w:val="007E417B"/>
    <w:rsid w:val="007E44D3"/>
    <w:rsid w:val="007E44DC"/>
    <w:rsid w:val="007E4891"/>
    <w:rsid w:val="007E4DC3"/>
    <w:rsid w:val="007E53B1"/>
    <w:rsid w:val="007E543E"/>
    <w:rsid w:val="007E5454"/>
    <w:rsid w:val="007E5506"/>
    <w:rsid w:val="007E57D6"/>
    <w:rsid w:val="007E5853"/>
    <w:rsid w:val="007E5B6C"/>
    <w:rsid w:val="007E6001"/>
    <w:rsid w:val="007E6056"/>
    <w:rsid w:val="007E6295"/>
    <w:rsid w:val="007E65E5"/>
    <w:rsid w:val="007E6638"/>
    <w:rsid w:val="007E66CB"/>
    <w:rsid w:val="007E66ED"/>
    <w:rsid w:val="007E67DD"/>
    <w:rsid w:val="007E683F"/>
    <w:rsid w:val="007E6A31"/>
    <w:rsid w:val="007E6BD4"/>
    <w:rsid w:val="007E6C8A"/>
    <w:rsid w:val="007E6F74"/>
    <w:rsid w:val="007E6FFE"/>
    <w:rsid w:val="007E7463"/>
    <w:rsid w:val="007E74FC"/>
    <w:rsid w:val="007E7523"/>
    <w:rsid w:val="007E7D22"/>
    <w:rsid w:val="007E7F07"/>
    <w:rsid w:val="007F0250"/>
    <w:rsid w:val="007F078B"/>
    <w:rsid w:val="007F0CDC"/>
    <w:rsid w:val="007F0D22"/>
    <w:rsid w:val="007F0EBE"/>
    <w:rsid w:val="007F0ECE"/>
    <w:rsid w:val="007F0F27"/>
    <w:rsid w:val="007F10FB"/>
    <w:rsid w:val="007F13E3"/>
    <w:rsid w:val="007F14B2"/>
    <w:rsid w:val="007F1607"/>
    <w:rsid w:val="007F168A"/>
    <w:rsid w:val="007F1A84"/>
    <w:rsid w:val="007F1AB9"/>
    <w:rsid w:val="007F1AE9"/>
    <w:rsid w:val="007F24B0"/>
    <w:rsid w:val="007F26C9"/>
    <w:rsid w:val="007F29D6"/>
    <w:rsid w:val="007F2E70"/>
    <w:rsid w:val="007F2EB0"/>
    <w:rsid w:val="007F30E9"/>
    <w:rsid w:val="007F313B"/>
    <w:rsid w:val="007F34E1"/>
    <w:rsid w:val="007F3636"/>
    <w:rsid w:val="007F3684"/>
    <w:rsid w:val="007F3779"/>
    <w:rsid w:val="007F3810"/>
    <w:rsid w:val="007F3CA4"/>
    <w:rsid w:val="007F4226"/>
    <w:rsid w:val="007F422B"/>
    <w:rsid w:val="007F4380"/>
    <w:rsid w:val="007F461B"/>
    <w:rsid w:val="007F4D99"/>
    <w:rsid w:val="007F4DF9"/>
    <w:rsid w:val="007F5083"/>
    <w:rsid w:val="007F526E"/>
    <w:rsid w:val="007F536F"/>
    <w:rsid w:val="007F5379"/>
    <w:rsid w:val="007F5525"/>
    <w:rsid w:val="007F58D8"/>
    <w:rsid w:val="007F58F1"/>
    <w:rsid w:val="007F5A8E"/>
    <w:rsid w:val="007F5BD2"/>
    <w:rsid w:val="007F5E99"/>
    <w:rsid w:val="007F5FE9"/>
    <w:rsid w:val="007F63F6"/>
    <w:rsid w:val="007F658D"/>
    <w:rsid w:val="007F683E"/>
    <w:rsid w:val="007F6897"/>
    <w:rsid w:val="007F6C8F"/>
    <w:rsid w:val="007F6CA4"/>
    <w:rsid w:val="007F6EA6"/>
    <w:rsid w:val="007F70ED"/>
    <w:rsid w:val="007F727A"/>
    <w:rsid w:val="007F72EB"/>
    <w:rsid w:val="007F7500"/>
    <w:rsid w:val="007F7F1D"/>
    <w:rsid w:val="007F7FDD"/>
    <w:rsid w:val="008001E4"/>
    <w:rsid w:val="00800534"/>
    <w:rsid w:val="008005EC"/>
    <w:rsid w:val="008006C4"/>
    <w:rsid w:val="008006C5"/>
    <w:rsid w:val="0080078C"/>
    <w:rsid w:val="00800870"/>
    <w:rsid w:val="0080116A"/>
    <w:rsid w:val="008012FC"/>
    <w:rsid w:val="008014A4"/>
    <w:rsid w:val="008014E7"/>
    <w:rsid w:val="00801813"/>
    <w:rsid w:val="0080182F"/>
    <w:rsid w:val="008018E5"/>
    <w:rsid w:val="00801A5D"/>
    <w:rsid w:val="00801BE4"/>
    <w:rsid w:val="00801F22"/>
    <w:rsid w:val="008020F2"/>
    <w:rsid w:val="00802159"/>
    <w:rsid w:val="00802565"/>
    <w:rsid w:val="008028A7"/>
    <w:rsid w:val="008028B1"/>
    <w:rsid w:val="008028F4"/>
    <w:rsid w:val="00802D0E"/>
    <w:rsid w:val="00802F1A"/>
    <w:rsid w:val="0080301D"/>
    <w:rsid w:val="008034C0"/>
    <w:rsid w:val="00803B5D"/>
    <w:rsid w:val="00803C46"/>
    <w:rsid w:val="008040B3"/>
    <w:rsid w:val="008041F5"/>
    <w:rsid w:val="008044A4"/>
    <w:rsid w:val="00804803"/>
    <w:rsid w:val="00804880"/>
    <w:rsid w:val="0080493E"/>
    <w:rsid w:val="0080516B"/>
    <w:rsid w:val="0080516C"/>
    <w:rsid w:val="008051CB"/>
    <w:rsid w:val="008052EB"/>
    <w:rsid w:val="008054DA"/>
    <w:rsid w:val="00805529"/>
    <w:rsid w:val="00805804"/>
    <w:rsid w:val="00805925"/>
    <w:rsid w:val="00805C3A"/>
    <w:rsid w:val="00805C46"/>
    <w:rsid w:val="00805F67"/>
    <w:rsid w:val="00806119"/>
    <w:rsid w:val="00806255"/>
    <w:rsid w:val="0080669F"/>
    <w:rsid w:val="008066B1"/>
    <w:rsid w:val="00806835"/>
    <w:rsid w:val="00807025"/>
    <w:rsid w:val="0080781E"/>
    <w:rsid w:val="008079DF"/>
    <w:rsid w:val="00807B7F"/>
    <w:rsid w:val="00807DCE"/>
    <w:rsid w:val="00807DF8"/>
    <w:rsid w:val="00810199"/>
    <w:rsid w:val="0081041B"/>
    <w:rsid w:val="00810573"/>
    <w:rsid w:val="008105FE"/>
    <w:rsid w:val="00810900"/>
    <w:rsid w:val="0081091A"/>
    <w:rsid w:val="00810F54"/>
    <w:rsid w:val="00810FBE"/>
    <w:rsid w:val="00811260"/>
    <w:rsid w:val="0081146C"/>
    <w:rsid w:val="00811882"/>
    <w:rsid w:val="00811A2C"/>
    <w:rsid w:val="00811D3D"/>
    <w:rsid w:val="008122A1"/>
    <w:rsid w:val="008123B0"/>
    <w:rsid w:val="008126F0"/>
    <w:rsid w:val="00812793"/>
    <w:rsid w:val="00812883"/>
    <w:rsid w:val="00812958"/>
    <w:rsid w:val="00812F21"/>
    <w:rsid w:val="00812F5B"/>
    <w:rsid w:val="008130E2"/>
    <w:rsid w:val="008131EA"/>
    <w:rsid w:val="00813432"/>
    <w:rsid w:val="008134E5"/>
    <w:rsid w:val="0081370C"/>
    <w:rsid w:val="0081376E"/>
    <w:rsid w:val="00813935"/>
    <w:rsid w:val="008140F3"/>
    <w:rsid w:val="0081413C"/>
    <w:rsid w:val="00814214"/>
    <w:rsid w:val="0081451E"/>
    <w:rsid w:val="00814867"/>
    <w:rsid w:val="00814B16"/>
    <w:rsid w:val="00814C3E"/>
    <w:rsid w:val="00814DC4"/>
    <w:rsid w:val="008156F3"/>
    <w:rsid w:val="008158D8"/>
    <w:rsid w:val="00815906"/>
    <w:rsid w:val="00815BC3"/>
    <w:rsid w:val="00815CB4"/>
    <w:rsid w:val="00815E04"/>
    <w:rsid w:val="008161ED"/>
    <w:rsid w:val="0081632D"/>
    <w:rsid w:val="00816499"/>
    <w:rsid w:val="00816843"/>
    <w:rsid w:val="008169F9"/>
    <w:rsid w:val="00816A20"/>
    <w:rsid w:val="00816B15"/>
    <w:rsid w:val="00816C8D"/>
    <w:rsid w:val="00817014"/>
    <w:rsid w:val="00817308"/>
    <w:rsid w:val="0081760B"/>
    <w:rsid w:val="00817924"/>
    <w:rsid w:val="00817A13"/>
    <w:rsid w:val="00817A9B"/>
    <w:rsid w:val="00817AE2"/>
    <w:rsid w:val="00817B4D"/>
    <w:rsid w:val="00817DB4"/>
    <w:rsid w:val="00817E98"/>
    <w:rsid w:val="00817FC4"/>
    <w:rsid w:val="008200D3"/>
    <w:rsid w:val="008202F8"/>
    <w:rsid w:val="00820495"/>
    <w:rsid w:val="008204DF"/>
    <w:rsid w:val="0082069A"/>
    <w:rsid w:val="0082072A"/>
    <w:rsid w:val="00820817"/>
    <w:rsid w:val="00820949"/>
    <w:rsid w:val="00820B11"/>
    <w:rsid w:val="00820B38"/>
    <w:rsid w:val="00820BC9"/>
    <w:rsid w:val="00820C30"/>
    <w:rsid w:val="00820F0A"/>
    <w:rsid w:val="008216E2"/>
    <w:rsid w:val="00821931"/>
    <w:rsid w:val="00821E88"/>
    <w:rsid w:val="008221B2"/>
    <w:rsid w:val="00822326"/>
    <w:rsid w:val="0082281F"/>
    <w:rsid w:val="00822970"/>
    <w:rsid w:val="00822AA8"/>
    <w:rsid w:val="00822E70"/>
    <w:rsid w:val="0082324A"/>
    <w:rsid w:val="00823681"/>
    <w:rsid w:val="00823A42"/>
    <w:rsid w:val="00823ACC"/>
    <w:rsid w:val="00823F60"/>
    <w:rsid w:val="0082420B"/>
    <w:rsid w:val="00824285"/>
    <w:rsid w:val="008242A1"/>
    <w:rsid w:val="0082432A"/>
    <w:rsid w:val="00824330"/>
    <w:rsid w:val="0082435A"/>
    <w:rsid w:val="00824392"/>
    <w:rsid w:val="008245CB"/>
    <w:rsid w:val="00824842"/>
    <w:rsid w:val="00824B48"/>
    <w:rsid w:val="00824B72"/>
    <w:rsid w:val="008250B9"/>
    <w:rsid w:val="00825514"/>
    <w:rsid w:val="008255D6"/>
    <w:rsid w:val="0082594A"/>
    <w:rsid w:val="00825A06"/>
    <w:rsid w:val="00825B71"/>
    <w:rsid w:val="00825E4E"/>
    <w:rsid w:val="00826229"/>
    <w:rsid w:val="00826362"/>
    <w:rsid w:val="008264B6"/>
    <w:rsid w:val="0082679F"/>
    <w:rsid w:val="0082685E"/>
    <w:rsid w:val="00826956"/>
    <w:rsid w:val="00826A0A"/>
    <w:rsid w:val="00826AFD"/>
    <w:rsid w:val="00826B1A"/>
    <w:rsid w:val="00826B1D"/>
    <w:rsid w:val="00826CD7"/>
    <w:rsid w:val="00826D2C"/>
    <w:rsid w:val="00826D3B"/>
    <w:rsid w:val="00826D5B"/>
    <w:rsid w:val="00827107"/>
    <w:rsid w:val="00827559"/>
    <w:rsid w:val="008275DB"/>
    <w:rsid w:val="00827769"/>
    <w:rsid w:val="00827882"/>
    <w:rsid w:val="00827949"/>
    <w:rsid w:val="00827AEA"/>
    <w:rsid w:val="00827B7F"/>
    <w:rsid w:val="00827C6E"/>
    <w:rsid w:val="00827D60"/>
    <w:rsid w:val="00827E55"/>
    <w:rsid w:val="0083010D"/>
    <w:rsid w:val="0083014B"/>
    <w:rsid w:val="00830187"/>
    <w:rsid w:val="008304F3"/>
    <w:rsid w:val="008304F4"/>
    <w:rsid w:val="0083061F"/>
    <w:rsid w:val="0083063C"/>
    <w:rsid w:val="008309A0"/>
    <w:rsid w:val="00830C97"/>
    <w:rsid w:val="00830D0E"/>
    <w:rsid w:val="008315C3"/>
    <w:rsid w:val="00831604"/>
    <w:rsid w:val="00831678"/>
    <w:rsid w:val="00831C3F"/>
    <w:rsid w:val="00831F88"/>
    <w:rsid w:val="008320F6"/>
    <w:rsid w:val="00832307"/>
    <w:rsid w:val="008323F2"/>
    <w:rsid w:val="008324D5"/>
    <w:rsid w:val="008324ED"/>
    <w:rsid w:val="008326C4"/>
    <w:rsid w:val="00832B52"/>
    <w:rsid w:val="00832B7D"/>
    <w:rsid w:val="00833101"/>
    <w:rsid w:val="0083311C"/>
    <w:rsid w:val="008333CE"/>
    <w:rsid w:val="0083343A"/>
    <w:rsid w:val="00833633"/>
    <w:rsid w:val="00833636"/>
    <w:rsid w:val="00833850"/>
    <w:rsid w:val="00833ADC"/>
    <w:rsid w:val="00833C06"/>
    <w:rsid w:val="00833C51"/>
    <w:rsid w:val="00833EDB"/>
    <w:rsid w:val="00833F73"/>
    <w:rsid w:val="00833FB4"/>
    <w:rsid w:val="00833FC8"/>
    <w:rsid w:val="00834173"/>
    <w:rsid w:val="00834356"/>
    <w:rsid w:val="008343D2"/>
    <w:rsid w:val="00834417"/>
    <w:rsid w:val="00834A9D"/>
    <w:rsid w:val="00834E9D"/>
    <w:rsid w:val="008350BC"/>
    <w:rsid w:val="0083552D"/>
    <w:rsid w:val="0083556B"/>
    <w:rsid w:val="00835A1E"/>
    <w:rsid w:val="00835ADF"/>
    <w:rsid w:val="00835BE3"/>
    <w:rsid w:val="00835F00"/>
    <w:rsid w:val="00835F83"/>
    <w:rsid w:val="00836156"/>
    <w:rsid w:val="0083660A"/>
    <w:rsid w:val="008367D1"/>
    <w:rsid w:val="008368B4"/>
    <w:rsid w:val="00836C7A"/>
    <w:rsid w:val="00836F71"/>
    <w:rsid w:val="00837288"/>
    <w:rsid w:val="008374CA"/>
    <w:rsid w:val="00837605"/>
    <w:rsid w:val="00837629"/>
    <w:rsid w:val="008376B6"/>
    <w:rsid w:val="008378B7"/>
    <w:rsid w:val="00837B6A"/>
    <w:rsid w:val="00837E74"/>
    <w:rsid w:val="00840072"/>
    <w:rsid w:val="00840175"/>
    <w:rsid w:val="008403F5"/>
    <w:rsid w:val="00840441"/>
    <w:rsid w:val="00840448"/>
    <w:rsid w:val="00840A6D"/>
    <w:rsid w:val="00840AFC"/>
    <w:rsid w:val="00840B73"/>
    <w:rsid w:val="00840BCC"/>
    <w:rsid w:val="00841115"/>
    <w:rsid w:val="008413F3"/>
    <w:rsid w:val="00841671"/>
    <w:rsid w:val="0084171F"/>
    <w:rsid w:val="00841770"/>
    <w:rsid w:val="00841878"/>
    <w:rsid w:val="0084198F"/>
    <w:rsid w:val="00841AD9"/>
    <w:rsid w:val="00841E91"/>
    <w:rsid w:val="00841F84"/>
    <w:rsid w:val="0084209C"/>
    <w:rsid w:val="00842488"/>
    <w:rsid w:val="00842695"/>
    <w:rsid w:val="008429DD"/>
    <w:rsid w:val="008429F3"/>
    <w:rsid w:val="00842D6D"/>
    <w:rsid w:val="008431BA"/>
    <w:rsid w:val="0084332E"/>
    <w:rsid w:val="008433D8"/>
    <w:rsid w:val="008434C6"/>
    <w:rsid w:val="008434EF"/>
    <w:rsid w:val="0084354E"/>
    <w:rsid w:val="00843C79"/>
    <w:rsid w:val="00843CE9"/>
    <w:rsid w:val="00843FDF"/>
    <w:rsid w:val="008445C8"/>
    <w:rsid w:val="008445EB"/>
    <w:rsid w:val="00844986"/>
    <w:rsid w:val="00844BEE"/>
    <w:rsid w:val="00844C01"/>
    <w:rsid w:val="00844F50"/>
    <w:rsid w:val="00844FF5"/>
    <w:rsid w:val="00845527"/>
    <w:rsid w:val="00845797"/>
    <w:rsid w:val="00845A4B"/>
    <w:rsid w:val="00845C3F"/>
    <w:rsid w:val="00845CEC"/>
    <w:rsid w:val="0084643E"/>
    <w:rsid w:val="008464E6"/>
    <w:rsid w:val="0084681A"/>
    <w:rsid w:val="0084683C"/>
    <w:rsid w:val="00846BBA"/>
    <w:rsid w:val="00846CB7"/>
    <w:rsid w:val="00846CD6"/>
    <w:rsid w:val="00847470"/>
    <w:rsid w:val="008474AD"/>
    <w:rsid w:val="008477E8"/>
    <w:rsid w:val="00847DFB"/>
    <w:rsid w:val="00847F22"/>
    <w:rsid w:val="00847F91"/>
    <w:rsid w:val="00850765"/>
    <w:rsid w:val="008508C1"/>
    <w:rsid w:val="00850B31"/>
    <w:rsid w:val="00850BF4"/>
    <w:rsid w:val="00850C0C"/>
    <w:rsid w:val="00850C78"/>
    <w:rsid w:val="00850F64"/>
    <w:rsid w:val="00851052"/>
    <w:rsid w:val="008510B1"/>
    <w:rsid w:val="00851251"/>
    <w:rsid w:val="008512F8"/>
    <w:rsid w:val="0085147E"/>
    <w:rsid w:val="008515C1"/>
    <w:rsid w:val="00851712"/>
    <w:rsid w:val="00851980"/>
    <w:rsid w:val="00851B5F"/>
    <w:rsid w:val="00851D7A"/>
    <w:rsid w:val="00851DEC"/>
    <w:rsid w:val="00852257"/>
    <w:rsid w:val="008522D0"/>
    <w:rsid w:val="0085231E"/>
    <w:rsid w:val="008523B9"/>
    <w:rsid w:val="008523F6"/>
    <w:rsid w:val="008525BE"/>
    <w:rsid w:val="00852728"/>
    <w:rsid w:val="0085276F"/>
    <w:rsid w:val="008528B5"/>
    <w:rsid w:val="008528BE"/>
    <w:rsid w:val="00852A6A"/>
    <w:rsid w:val="00852DC8"/>
    <w:rsid w:val="00852F9E"/>
    <w:rsid w:val="00853538"/>
    <w:rsid w:val="008535B1"/>
    <w:rsid w:val="00853EC5"/>
    <w:rsid w:val="00853F0D"/>
    <w:rsid w:val="00854A2E"/>
    <w:rsid w:val="00854C50"/>
    <w:rsid w:val="00854D77"/>
    <w:rsid w:val="0085503F"/>
    <w:rsid w:val="00855459"/>
    <w:rsid w:val="008555ED"/>
    <w:rsid w:val="00855C9F"/>
    <w:rsid w:val="00855E93"/>
    <w:rsid w:val="00855F88"/>
    <w:rsid w:val="00856204"/>
    <w:rsid w:val="0085634F"/>
    <w:rsid w:val="00856357"/>
    <w:rsid w:val="008566E0"/>
    <w:rsid w:val="00856756"/>
    <w:rsid w:val="008568D4"/>
    <w:rsid w:val="00856AB1"/>
    <w:rsid w:val="00856B11"/>
    <w:rsid w:val="00856B38"/>
    <w:rsid w:val="00856D02"/>
    <w:rsid w:val="00856DC7"/>
    <w:rsid w:val="00856E3F"/>
    <w:rsid w:val="008572F5"/>
    <w:rsid w:val="00857390"/>
    <w:rsid w:val="0085792F"/>
    <w:rsid w:val="00857B6E"/>
    <w:rsid w:val="00857CB6"/>
    <w:rsid w:val="00857D25"/>
    <w:rsid w:val="0086060C"/>
    <w:rsid w:val="0086066A"/>
    <w:rsid w:val="00860977"/>
    <w:rsid w:val="00860ABF"/>
    <w:rsid w:val="00860C68"/>
    <w:rsid w:val="00860D66"/>
    <w:rsid w:val="00860D77"/>
    <w:rsid w:val="00861176"/>
    <w:rsid w:val="0086124B"/>
    <w:rsid w:val="0086154E"/>
    <w:rsid w:val="00861742"/>
    <w:rsid w:val="008618F7"/>
    <w:rsid w:val="00861935"/>
    <w:rsid w:val="00861D55"/>
    <w:rsid w:val="00861D5F"/>
    <w:rsid w:val="00862173"/>
    <w:rsid w:val="008621C7"/>
    <w:rsid w:val="008623EB"/>
    <w:rsid w:val="00862621"/>
    <w:rsid w:val="00862F0A"/>
    <w:rsid w:val="00862F8D"/>
    <w:rsid w:val="0086329B"/>
    <w:rsid w:val="008632FC"/>
    <w:rsid w:val="008635D2"/>
    <w:rsid w:val="00863801"/>
    <w:rsid w:val="00863A0F"/>
    <w:rsid w:val="00863A30"/>
    <w:rsid w:val="00863C50"/>
    <w:rsid w:val="0086458A"/>
    <w:rsid w:val="00864590"/>
    <w:rsid w:val="008646CC"/>
    <w:rsid w:val="008648B3"/>
    <w:rsid w:val="008649E2"/>
    <w:rsid w:val="00864CC0"/>
    <w:rsid w:val="00864D9E"/>
    <w:rsid w:val="008650F5"/>
    <w:rsid w:val="008652EA"/>
    <w:rsid w:val="008658E0"/>
    <w:rsid w:val="00865973"/>
    <w:rsid w:val="00865C18"/>
    <w:rsid w:val="00865F0D"/>
    <w:rsid w:val="008661A4"/>
    <w:rsid w:val="00866271"/>
    <w:rsid w:val="00866306"/>
    <w:rsid w:val="008663D3"/>
    <w:rsid w:val="008664AD"/>
    <w:rsid w:val="0086665E"/>
    <w:rsid w:val="008666CA"/>
    <w:rsid w:val="008667D8"/>
    <w:rsid w:val="008669B1"/>
    <w:rsid w:val="00866FCF"/>
    <w:rsid w:val="0086702B"/>
    <w:rsid w:val="0086702D"/>
    <w:rsid w:val="00867460"/>
    <w:rsid w:val="00867482"/>
    <w:rsid w:val="008676C5"/>
    <w:rsid w:val="00867990"/>
    <w:rsid w:val="008679C4"/>
    <w:rsid w:val="00867A6C"/>
    <w:rsid w:val="00867B68"/>
    <w:rsid w:val="00867ED5"/>
    <w:rsid w:val="00867FB6"/>
    <w:rsid w:val="00870660"/>
    <w:rsid w:val="00870AF1"/>
    <w:rsid w:val="00870C21"/>
    <w:rsid w:val="00870D68"/>
    <w:rsid w:val="00870E06"/>
    <w:rsid w:val="00870E76"/>
    <w:rsid w:val="00870F8D"/>
    <w:rsid w:val="008712FC"/>
    <w:rsid w:val="0087162D"/>
    <w:rsid w:val="00871A74"/>
    <w:rsid w:val="00871B65"/>
    <w:rsid w:val="00871B89"/>
    <w:rsid w:val="00871C67"/>
    <w:rsid w:val="00871D17"/>
    <w:rsid w:val="00871E9B"/>
    <w:rsid w:val="00872373"/>
    <w:rsid w:val="008725DF"/>
    <w:rsid w:val="00872BD3"/>
    <w:rsid w:val="00872DCB"/>
    <w:rsid w:val="0087335A"/>
    <w:rsid w:val="008737FF"/>
    <w:rsid w:val="00873D48"/>
    <w:rsid w:val="00873F4D"/>
    <w:rsid w:val="00873FDA"/>
    <w:rsid w:val="0087406E"/>
    <w:rsid w:val="00874164"/>
    <w:rsid w:val="0087448F"/>
    <w:rsid w:val="008746B6"/>
    <w:rsid w:val="00874867"/>
    <w:rsid w:val="008749D1"/>
    <w:rsid w:val="008750B1"/>
    <w:rsid w:val="008752FF"/>
    <w:rsid w:val="0087535A"/>
    <w:rsid w:val="00875407"/>
    <w:rsid w:val="0087545C"/>
    <w:rsid w:val="008754D8"/>
    <w:rsid w:val="008754E1"/>
    <w:rsid w:val="008754F6"/>
    <w:rsid w:val="00875693"/>
    <w:rsid w:val="00875749"/>
    <w:rsid w:val="00875756"/>
    <w:rsid w:val="00875953"/>
    <w:rsid w:val="00875A69"/>
    <w:rsid w:val="00875DAA"/>
    <w:rsid w:val="00876805"/>
    <w:rsid w:val="00876946"/>
    <w:rsid w:val="00876C02"/>
    <w:rsid w:val="00876F16"/>
    <w:rsid w:val="00876F89"/>
    <w:rsid w:val="0087711A"/>
    <w:rsid w:val="00877262"/>
    <w:rsid w:val="00877292"/>
    <w:rsid w:val="0087730F"/>
    <w:rsid w:val="0087738F"/>
    <w:rsid w:val="00877477"/>
    <w:rsid w:val="00877519"/>
    <w:rsid w:val="0087775A"/>
    <w:rsid w:val="008777A3"/>
    <w:rsid w:val="00877A1A"/>
    <w:rsid w:val="00877A73"/>
    <w:rsid w:val="00877BFE"/>
    <w:rsid w:val="00877F5C"/>
    <w:rsid w:val="00877FCE"/>
    <w:rsid w:val="008803FB"/>
    <w:rsid w:val="0088081D"/>
    <w:rsid w:val="00880B37"/>
    <w:rsid w:val="00880BD1"/>
    <w:rsid w:val="00880E1B"/>
    <w:rsid w:val="00880FE7"/>
    <w:rsid w:val="0088118B"/>
    <w:rsid w:val="008811B8"/>
    <w:rsid w:val="00881246"/>
    <w:rsid w:val="008813E1"/>
    <w:rsid w:val="00881484"/>
    <w:rsid w:val="008816EC"/>
    <w:rsid w:val="008817CD"/>
    <w:rsid w:val="00881910"/>
    <w:rsid w:val="00881A10"/>
    <w:rsid w:val="00881A3C"/>
    <w:rsid w:val="00881C2C"/>
    <w:rsid w:val="00881E96"/>
    <w:rsid w:val="00881F47"/>
    <w:rsid w:val="008820AD"/>
    <w:rsid w:val="00882176"/>
    <w:rsid w:val="00882183"/>
    <w:rsid w:val="008821D7"/>
    <w:rsid w:val="0088241C"/>
    <w:rsid w:val="00882847"/>
    <w:rsid w:val="00882ABA"/>
    <w:rsid w:val="00882B75"/>
    <w:rsid w:val="00883065"/>
    <w:rsid w:val="0088359E"/>
    <w:rsid w:val="008836FF"/>
    <w:rsid w:val="00883776"/>
    <w:rsid w:val="008837B0"/>
    <w:rsid w:val="00883D04"/>
    <w:rsid w:val="00883D41"/>
    <w:rsid w:val="00883DD4"/>
    <w:rsid w:val="00883E4D"/>
    <w:rsid w:val="008842B0"/>
    <w:rsid w:val="00884432"/>
    <w:rsid w:val="0088486C"/>
    <w:rsid w:val="0088499F"/>
    <w:rsid w:val="008849DF"/>
    <w:rsid w:val="00884B48"/>
    <w:rsid w:val="00884E12"/>
    <w:rsid w:val="00885105"/>
    <w:rsid w:val="008852DE"/>
    <w:rsid w:val="008852EC"/>
    <w:rsid w:val="008858C9"/>
    <w:rsid w:val="00885A01"/>
    <w:rsid w:val="00885ABF"/>
    <w:rsid w:val="00885BCB"/>
    <w:rsid w:val="00885C71"/>
    <w:rsid w:val="00885D6F"/>
    <w:rsid w:val="00885D71"/>
    <w:rsid w:val="00885E15"/>
    <w:rsid w:val="00885E78"/>
    <w:rsid w:val="008861C4"/>
    <w:rsid w:val="0088630F"/>
    <w:rsid w:val="008863B7"/>
    <w:rsid w:val="008868F0"/>
    <w:rsid w:val="00886DE7"/>
    <w:rsid w:val="00886DE8"/>
    <w:rsid w:val="00886F00"/>
    <w:rsid w:val="00887055"/>
    <w:rsid w:val="00887198"/>
    <w:rsid w:val="00887377"/>
    <w:rsid w:val="0088757D"/>
    <w:rsid w:val="00887619"/>
    <w:rsid w:val="008877B5"/>
    <w:rsid w:val="008877EA"/>
    <w:rsid w:val="00887F2A"/>
    <w:rsid w:val="00890144"/>
    <w:rsid w:val="00890287"/>
    <w:rsid w:val="0089032F"/>
    <w:rsid w:val="00890378"/>
    <w:rsid w:val="00890395"/>
    <w:rsid w:val="00890500"/>
    <w:rsid w:val="0089053A"/>
    <w:rsid w:val="00890872"/>
    <w:rsid w:val="00890B3B"/>
    <w:rsid w:val="00890CC7"/>
    <w:rsid w:val="00890FEE"/>
    <w:rsid w:val="00891094"/>
    <w:rsid w:val="00891708"/>
    <w:rsid w:val="008918EC"/>
    <w:rsid w:val="00891BD5"/>
    <w:rsid w:val="00891D90"/>
    <w:rsid w:val="00891F75"/>
    <w:rsid w:val="00892289"/>
    <w:rsid w:val="008925F1"/>
    <w:rsid w:val="0089262C"/>
    <w:rsid w:val="008926C5"/>
    <w:rsid w:val="0089297E"/>
    <w:rsid w:val="00892A17"/>
    <w:rsid w:val="00892B5A"/>
    <w:rsid w:val="00892F6A"/>
    <w:rsid w:val="008933EB"/>
    <w:rsid w:val="00893459"/>
    <w:rsid w:val="00893D1B"/>
    <w:rsid w:val="00893F40"/>
    <w:rsid w:val="008941DA"/>
    <w:rsid w:val="008946EC"/>
    <w:rsid w:val="00894774"/>
    <w:rsid w:val="008947BF"/>
    <w:rsid w:val="008948C2"/>
    <w:rsid w:val="008948DD"/>
    <w:rsid w:val="00894AC6"/>
    <w:rsid w:val="00894F4A"/>
    <w:rsid w:val="00894F81"/>
    <w:rsid w:val="00894F8C"/>
    <w:rsid w:val="00895390"/>
    <w:rsid w:val="00895429"/>
    <w:rsid w:val="00895900"/>
    <w:rsid w:val="00895AA8"/>
    <w:rsid w:val="00895ACF"/>
    <w:rsid w:val="00895D13"/>
    <w:rsid w:val="00895D50"/>
    <w:rsid w:val="00895F1A"/>
    <w:rsid w:val="0089600D"/>
    <w:rsid w:val="00896261"/>
    <w:rsid w:val="008962F6"/>
    <w:rsid w:val="008965A9"/>
    <w:rsid w:val="008965EB"/>
    <w:rsid w:val="0089696C"/>
    <w:rsid w:val="0089698D"/>
    <w:rsid w:val="00896A23"/>
    <w:rsid w:val="00896F88"/>
    <w:rsid w:val="00896FBD"/>
    <w:rsid w:val="00897108"/>
    <w:rsid w:val="00897625"/>
    <w:rsid w:val="00897B2F"/>
    <w:rsid w:val="00897B63"/>
    <w:rsid w:val="00897C36"/>
    <w:rsid w:val="00897CAC"/>
    <w:rsid w:val="008A00E8"/>
    <w:rsid w:val="008A0166"/>
    <w:rsid w:val="008A0E28"/>
    <w:rsid w:val="008A13A2"/>
    <w:rsid w:val="008A16D5"/>
    <w:rsid w:val="008A180E"/>
    <w:rsid w:val="008A1821"/>
    <w:rsid w:val="008A19DF"/>
    <w:rsid w:val="008A1A1E"/>
    <w:rsid w:val="008A20DA"/>
    <w:rsid w:val="008A20FE"/>
    <w:rsid w:val="008A249D"/>
    <w:rsid w:val="008A27C3"/>
    <w:rsid w:val="008A2941"/>
    <w:rsid w:val="008A2AFD"/>
    <w:rsid w:val="008A2B05"/>
    <w:rsid w:val="008A349E"/>
    <w:rsid w:val="008A38B7"/>
    <w:rsid w:val="008A3A7E"/>
    <w:rsid w:val="008A3C86"/>
    <w:rsid w:val="008A3DD4"/>
    <w:rsid w:val="008A4196"/>
    <w:rsid w:val="008A41BA"/>
    <w:rsid w:val="008A4478"/>
    <w:rsid w:val="008A49A6"/>
    <w:rsid w:val="008A4B19"/>
    <w:rsid w:val="008A4B8E"/>
    <w:rsid w:val="008A4BAE"/>
    <w:rsid w:val="008A4C1E"/>
    <w:rsid w:val="008A4E8E"/>
    <w:rsid w:val="008A4FD1"/>
    <w:rsid w:val="008A50BF"/>
    <w:rsid w:val="008A50CF"/>
    <w:rsid w:val="008A5521"/>
    <w:rsid w:val="008A597D"/>
    <w:rsid w:val="008A5A82"/>
    <w:rsid w:val="008A5B19"/>
    <w:rsid w:val="008A5BBC"/>
    <w:rsid w:val="008A5DBD"/>
    <w:rsid w:val="008A5F83"/>
    <w:rsid w:val="008A605D"/>
    <w:rsid w:val="008A6385"/>
    <w:rsid w:val="008A651F"/>
    <w:rsid w:val="008A69A7"/>
    <w:rsid w:val="008A6BC3"/>
    <w:rsid w:val="008A6DF1"/>
    <w:rsid w:val="008A70D5"/>
    <w:rsid w:val="008A70FB"/>
    <w:rsid w:val="008A7151"/>
    <w:rsid w:val="008A7277"/>
    <w:rsid w:val="008A7590"/>
    <w:rsid w:val="008A7627"/>
    <w:rsid w:val="008A7682"/>
    <w:rsid w:val="008A7805"/>
    <w:rsid w:val="008A79DA"/>
    <w:rsid w:val="008A7BC2"/>
    <w:rsid w:val="008A7DDA"/>
    <w:rsid w:val="008B02BD"/>
    <w:rsid w:val="008B061A"/>
    <w:rsid w:val="008B0640"/>
    <w:rsid w:val="008B06B6"/>
    <w:rsid w:val="008B0815"/>
    <w:rsid w:val="008B0979"/>
    <w:rsid w:val="008B09B4"/>
    <w:rsid w:val="008B0BCF"/>
    <w:rsid w:val="008B0D0D"/>
    <w:rsid w:val="008B11E6"/>
    <w:rsid w:val="008B1256"/>
    <w:rsid w:val="008B1404"/>
    <w:rsid w:val="008B1463"/>
    <w:rsid w:val="008B167C"/>
    <w:rsid w:val="008B16BA"/>
    <w:rsid w:val="008B181A"/>
    <w:rsid w:val="008B1827"/>
    <w:rsid w:val="008B1A30"/>
    <w:rsid w:val="008B1CFC"/>
    <w:rsid w:val="008B1D05"/>
    <w:rsid w:val="008B221A"/>
    <w:rsid w:val="008B2647"/>
    <w:rsid w:val="008B2677"/>
    <w:rsid w:val="008B27E4"/>
    <w:rsid w:val="008B292F"/>
    <w:rsid w:val="008B2F67"/>
    <w:rsid w:val="008B3018"/>
    <w:rsid w:val="008B312D"/>
    <w:rsid w:val="008B321E"/>
    <w:rsid w:val="008B35D9"/>
    <w:rsid w:val="008B3601"/>
    <w:rsid w:val="008B384F"/>
    <w:rsid w:val="008B385B"/>
    <w:rsid w:val="008B3980"/>
    <w:rsid w:val="008B3E8A"/>
    <w:rsid w:val="008B415B"/>
    <w:rsid w:val="008B41ED"/>
    <w:rsid w:val="008B4224"/>
    <w:rsid w:val="008B47BD"/>
    <w:rsid w:val="008B48CE"/>
    <w:rsid w:val="008B4EC7"/>
    <w:rsid w:val="008B514D"/>
    <w:rsid w:val="008B54AC"/>
    <w:rsid w:val="008B5688"/>
    <w:rsid w:val="008B57AF"/>
    <w:rsid w:val="008B5F17"/>
    <w:rsid w:val="008B6009"/>
    <w:rsid w:val="008B6084"/>
    <w:rsid w:val="008B62E2"/>
    <w:rsid w:val="008B63C5"/>
    <w:rsid w:val="008B67A2"/>
    <w:rsid w:val="008B67F8"/>
    <w:rsid w:val="008B6958"/>
    <w:rsid w:val="008B6C53"/>
    <w:rsid w:val="008B6C80"/>
    <w:rsid w:val="008B6C87"/>
    <w:rsid w:val="008B6CB1"/>
    <w:rsid w:val="008B70AF"/>
    <w:rsid w:val="008B758F"/>
    <w:rsid w:val="008B77D7"/>
    <w:rsid w:val="008B7961"/>
    <w:rsid w:val="008B7B18"/>
    <w:rsid w:val="008B7BD5"/>
    <w:rsid w:val="008B7D34"/>
    <w:rsid w:val="008C00AA"/>
    <w:rsid w:val="008C00EB"/>
    <w:rsid w:val="008C00FE"/>
    <w:rsid w:val="008C036A"/>
    <w:rsid w:val="008C056A"/>
    <w:rsid w:val="008C08BE"/>
    <w:rsid w:val="008C09BC"/>
    <w:rsid w:val="008C0BBE"/>
    <w:rsid w:val="008C0C91"/>
    <w:rsid w:val="008C0CFB"/>
    <w:rsid w:val="008C0D74"/>
    <w:rsid w:val="008C162A"/>
    <w:rsid w:val="008C18C3"/>
    <w:rsid w:val="008C1B59"/>
    <w:rsid w:val="008C1FE8"/>
    <w:rsid w:val="008C2421"/>
    <w:rsid w:val="008C26B5"/>
    <w:rsid w:val="008C2B44"/>
    <w:rsid w:val="008C2F6F"/>
    <w:rsid w:val="008C3043"/>
    <w:rsid w:val="008C30ED"/>
    <w:rsid w:val="008C3115"/>
    <w:rsid w:val="008C393C"/>
    <w:rsid w:val="008C3B98"/>
    <w:rsid w:val="008C3D8B"/>
    <w:rsid w:val="008C3DE0"/>
    <w:rsid w:val="008C3DE2"/>
    <w:rsid w:val="008C41BA"/>
    <w:rsid w:val="008C424B"/>
    <w:rsid w:val="008C4475"/>
    <w:rsid w:val="008C4560"/>
    <w:rsid w:val="008C47A8"/>
    <w:rsid w:val="008C4F15"/>
    <w:rsid w:val="008C4F2B"/>
    <w:rsid w:val="008C50AD"/>
    <w:rsid w:val="008C54A2"/>
    <w:rsid w:val="008C5A6B"/>
    <w:rsid w:val="008C5AD3"/>
    <w:rsid w:val="008C5E06"/>
    <w:rsid w:val="008C6116"/>
    <w:rsid w:val="008C62D0"/>
    <w:rsid w:val="008C6397"/>
    <w:rsid w:val="008C64E5"/>
    <w:rsid w:val="008C65A9"/>
    <w:rsid w:val="008C66A7"/>
    <w:rsid w:val="008C67CB"/>
    <w:rsid w:val="008C67F1"/>
    <w:rsid w:val="008C6EEF"/>
    <w:rsid w:val="008C7093"/>
    <w:rsid w:val="008C710D"/>
    <w:rsid w:val="008C7137"/>
    <w:rsid w:val="008C72B5"/>
    <w:rsid w:val="008C7373"/>
    <w:rsid w:val="008C737F"/>
    <w:rsid w:val="008C75C4"/>
    <w:rsid w:val="008C77C4"/>
    <w:rsid w:val="008C7E7C"/>
    <w:rsid w:val="008C7F1A"/>
    <w:rsid w:val="008D0192"/>
    <w:rsid w:val="008D03BC"/>
    <w:rsid w:val="008D03E4"/>
    <w:rsid w:val="008D0440"/>
    <w:rsid w:val="008D04CE"/>
    <w:rsid w:val="008D06F6"/>
    <w:rsid w:val="008D1000"/>
    <w:rsid w:val="008D153B"/>
    <w:rsid w:val="008D1887"/>
    <w:rsid w:val="008D1B95"/>
    <w:rsid w:val="008D1BCA"/>
    <w:rsid w:val="008D1CA5"/>
    <w:rsid w:val="008D1CFE"/>
    <w:rsid w:val="008D1D4B"/>
    <w:rsid w:val="008D1DDE"/>
    <w:rsid w:val="008D205F"/>
    <w:rsid w:val="008D211C"/>
    <w:rsid w:val="008D218E"/>
    <w:rsid w:val="008D225B"/>
    <w:rsid w:val="008D2299"/>
    <w:rsid w:val="008D2501"/>
    <w:rsid w:val="008D2BF7"/>
    <w:rsid w:val="008D3564"/>
    <w:rsid w:val="008D35C4"/>
    <w:rsid w:val="008D365D"/>
    <w:rsid w:val="008D3716"/>
    <w:rsid w:val="008D38C7"/>
    <w:rsid w:val="008D395E"/>
    <w:rsid w:val="008D400C"/>
    <w:rsid w:val="008D404A"/>
    <w:rsid w:val="008D41AD"/>
    <w:rsid w:val="008D4318"/>
    <w:rsid w:val="008D4A71"/>
    <w:rsid w:val="008D4C13"/>
    <w:rsid w:val="008D4FBE"/>
    <w:rsid w:val="008D5155"/>
    <w:rsid w:val="008D56AA"/>
    <w:rsid w:val="008D5D74"/>
    <w:rsid w:val="008D5F06"/>
    <w:rsid w:val="008D5FD7"/>
    <w:rsid w:val="008D67DE"/>
    <w:rsid w:val="008D695E"/>
    <w:rsid w:val="008D6E9E"/>
    <w:rsid w:val="008D6FC8"/>
    <w:rsid w:val="008D701C"/>
    <w:rsid w:val="008D7990"/>
    <w:rsid w:val="008D79DA"/>
    <w:rsid w:val="008E03E4"/>
    <w:rsid w:val="008E0438"/>
    <w:rsid w:val="008E04AF"/>
    <w:rsid w:val="008E04E2"/>
    <w:rsid w:val="008E0561"/>
    <w:rsid w:val="008E057B"/>
    <w:rsid w:val="008E07B5"/>
    <w:rsid w:val="008E0BC2"/>
    <w:rsid w:val="008E0D54"/>
    <w:rsid w:val="008E0FDF"/>
    <w:rsid w:val="008E11B9"/>
    <w:rsid w:val="008E11DF"/>
    <w:rsid w:val="008E1260"/>
    <w:rsid w:val="008E1268"/>
    <w:rsid w:val="008E150F"/>
    <w:rsid w:val="008E1809"/>
    <w:rsid w:val="008E193E"/>
    <w:rsid w:val="008E1B7E"/>
    <w:rsid w:val="008E1BD7"/>
    <w:rsid w:val="008E1E2E"/>
    <w:rsid w:val="008E22BB"/>
    <w:rsid w:val="008E2492"/>
    <w:rsid w:val="008E256B"/>
    <w:rsid w:val="008E259E"/>
    <w:rsid w:val="008E2A4F"/>
    <w:rsid w:val="008E2B32"/>
    <w:rsid w:val="008E2CC6"/>
    <w:rsid w:val="008E2D03"/>
    <w:rsid w:val="008E2D6A"/>
    <w:rsid w:val="008E2EEA"/>
    <w:rsid w:val="008E300D"/>
    <w:rsid w:val="008E30A7"/>
    <w:rsid w:val="008E335A"/>
    <w:rsid w:val="008E3570"/>
    <w:rsid w:val="008E3DF2"/>
    <w:rsid w:val="008E3E0A"/>
    <w:rsid w:val="008E3F80"/>
    <w:rsid w:val="008E4429"/>
    <w:rsid w:val="008E4577"/>
    <w:rsid w:val="008E49AB"/>
    <w:rsid w:val="008E4A05"/>
    <w:rsid w:val="008E4DAE"/>
    <w:rsid w:val="008E5065"/>
    <w:rsid w:val="008E5442"/>
    <w:rsid w:val="008E5608"/>
    <w:rsid w:val="008E5651"/>
    <w:rsid w:val="008E5843"/>
    <w:rsid w:val="008E596C"/>
    <w:rsid w:val="008E5A8B"/>
    <w:rsid w:val="008E5B23"/>
    <w:rsid w:val="008E5C5F"/>
    <w:rsid w:val="008E5D58"/>
    <w:rsid w:val="008E5D9F"/>
    <w:rsid w:val="008E5E54"/>
    <w:rsid w:val="008E5ED0"/>
    <w:rsid w:val="008E61B5"/>
    <w:rsid w:val="008E630B"/>
    <w:rsid w:val="008E649E"/>
    <w:rsid w:val="008E6997"/>
    <w:rsid w:val="008E6A04"/>
    <w:rsid w:val="008E7225"/>
    <w:rsid w:val="008E7333"/>
    <w:rsid w:val="008E739E"/>
    <w:rsid w:val="008E7665"/>
    <w:rsid w:val="008E7F91"/>
    <w:rsid w:val="008E7FDC"/>
    <w:rsid w:val="008F01A2"/>
    <w:rsid w:val="008F0413"/>
    <w:rsid w:val="008F049B"/>
    <w:rsid w:val="008F0735"/>
    <w:rsid w:val="008F08FC"/>
    <w:rsid w:val="008F093B"/>
    <w:rsid w:val="008F0C9B"/>
    <w:rsid w:val="008F0E11"/>
    <w:rsid w:val="008F0EA8"/>
    <w:rsid w:val="008F1106"/>
    <w:rsid w:val="008F12F7"/>
    <w:rsid w:val="008F137B"/>
    <w:rsid w:val="008F1691"/>
    <w:rsid w:val="008F175F"/>
    <w:rsid w:val="008F1BA2"/>
    <w:rsid w:val="008F1F43"/>
    <w:rsid w:val="008F1F63"/>
    <w:rsid w:val="008F2134"/>
    <w:rsid w:val="008F2334"/>
    <w:rsid w:val="008F2387"/>
    <w:rsid w:val="008F23DC"/>
    <w:rsid w:val="008F2723"/>
    <w:rsid w:val="008F2B1B"/>
    <w:rsid w:val="008F3049"/>
    <w:rsid w:val="008F33AE"/>
    <w:rsid w:val="008F345B"/>
    <w:rsid w:val="008F37FC"/>
    <w:rsid w:val="008F3942"/>
    <w:rsid w:val="008F3B7D"/>
    <w:rsid w:val="008F3CC2"/>
    <w:rsid w:val="008F3EA7"/>
    <w:rsid w:val="008F40D7"/>
    <w:rsid w:val="008F4428"/>
    <w:rsid w:val="008F47D5"/>
    <w:rsid w:val="008F4819"/>
    <w:rsid w:val="008F4A63"/>
    <w:rsid w:val="008F4D25"/>
    <w:rsid w:val="008F5272"/>
    <w:rsid w:val="008F531F"/>
    <w:rsid w:val="008F57C6"/>
    <w:rsid w:val="008F5874"/>
    <w:rsid w:val="008F599B"/>
    <w:rsid w:val="008F5E80"/>
    <w:rsid w:val="008F60F4"/>
    <w:rsid w:val="008F6228"/>
    <w:rsid w:val="008F6316"/>
    <w:rsid w:val="008F6594"/>
    <w:rsid w:val="008F6966"/>
    <w:rsid w:val="008F6A34"/>
    <w:rsid w:val="008F6ADD"/>
    <w:rsid w:val="008F6DB1"/>
    <w:rsid w:val="008F6F67"/>
    <w:rsid w:val="008F74A9"/>
    <w:rsid w:val="008F74B4"/>
    <w:rsid w:val="008F765F"/>
    <w:rsid w:val="008F776A"/>
    <w:rsid w:val="008F7826"/>
    <w:rsid w:val="008F79B2"/>
    <w:rsid w:val="008F7ABF"/>
    <w:rsid w:val="008F7B6C"/>
    <w:rsid w:val="008F7C21"/>
    <w:rsid w:val="008F7CFA"/>
    <w:rsid w:val="0090026C"/>
    <w:rsid w:val="00900478"/>
    <w:rsid w:val="009004E7"/>
    <w:rsid w:val="0090081B"/>
    <w:rsid w:val="009008B0"/>
    <w:rsid w:val="00900B3D"/>
    <w:rsid w:val="00900C6A"/>
    <w:rsid w:val="00900D2C"/>
    <w:rsid w:val="00901579"/>
    <w:rsid w:val="009016E6"/>
    <w:rsid w:val="00901837"/>
    <w:rsid w:val="00901840"/>
    <w:rsid w:val="00901A84"/>
    <w:rsid w:val="00901B03"/>
    <w:rsid w:val="00901B4C"/>
    <w:rsid w:val="00901E4B"/>
    <w:rsid w:val="00902337"/>
    <w:rsid w:val="0090253F"/>
    <w:rsid w:val="009026EE"/>
    <w:rsid w:val="00902727"/>
    <w:rsid w:val="009027FF"/>
    <w:rsid w:val="00902812"/>
    <w:rsid w:val="0090294C"/>
    <w:rsid w:val="009029B2"/>
    <w:rsid w:val="00902B05"/>
    <w:rsid w:val="00902B9B"/>
    <w:rsid w:val="0090315E"/>
    <w:rsid w:val="009038F7"/>
    <w:rsid w:val="00903A10"/>
    <w:rsid w:val="00903AC5"/>
    <w:rsid w:val="00903C68"/>
    <w:rsid w:val="00903E93"/>
    <w:rsid w:val="009040B1"/>
    <w:rsid w:val="0090415A"/>
    <w:rsid w:val="00904188"/>
    <w:rsid w:val="009042B6"/>
    <w:rsid w:val="009046B6"/>
    <w:rsid w:val="00904740"/>
    <w:rsid w:val="00904850"/>
    <w:rsid w:val="009048AA"/>
    <w:rsid w:val="00904BE0"/>
    <w:rsid w:val="00904C9C"/>
    <w:rsid w:val="00904DE7"/>
    <w:rsid w:val="00904FD4"/>
    <w:rsid w:val="00905064"/>
    <w:rsid w:val="00905161"/>
    <w:rsid w:val="009055C1"/>
    <w:rsid w:val="0090590C"/>
    <w:rsid w:val="0090594A"/>
    <w:rsid w:val="00905B52"/>
    <w:rsid w:val="00905C9E"/>
    <w:rsid w:val="00905D65"/>
    <w:rsid w:val="00906107"/>
    <w:rsid w:val="0090688A"/>
    <w:rsid w:val="00906BAC"/>
    <w:rsid w:val="00906F3F"/>
    <w:rsid w:val="00907133"/>
    <w:rsid w:val="00907625"/>
    <w:rsid w:val="00907E52"/>
    <w:rsid w:val="00907E84"/>
    <w:rsid w:val="0091004B"/>
    <w:rsid w:val="00910315"/>
    <w:rsid w:val="0091055E"/>
    <w:rsid w:val="009109DD"/>
    <w:rsid w:val="00910A32"/>
    <w:rsid w:val="00910B4A"/>
    <w:rsid w:val="00910B94"/>
    <w:rsid w:val="00910DDA"/>
    <w:rsid w:val="00911383"/>
    <w:rsid w:val="0091149D"/>
    <w:rsid w:val="009117A6"/>
    <w:rsid w:val="009117CB"/>
    <w:rsid w:val="00911AE0"/>
    <w:rsid w:val="00911F4B"/>
    <w:rsid w:val="00911F88"/>
    <w:rsid w:val="0091215B"/>
    <w:rsid w:val="009123F9"/>
    <w:rsid w:val="009129DB"/>
    <w:rsid w:val="00912B78"/>
    <w:rsid w:val="00912E14"/>
    <w:rsid w:val="00913790"/>
    <w:rsid w:val="009138DC"/>
    <w:rsid w:val="00913AAD"/>
    <w:rsid w:val="00914395"/>
    <w:rsid w:val="009143D6"/>
    <w:rsid w:val="00914764"/>
    <w:rsid w:val="00914918"/>
    <w:rsid w:val="00914956"/>
    <w:rsid w:val="00914AB3"/>
    <w:rsid w:val="00914ADC"/>
    <w:rsid w:val="00914B45"/>
    <w:rsid w:val="00914C25"/>
    <w:rsid w:val="00914DC0"/>
    <w:rsid w:val="009150B8"/>
    <w:rsid w:val="00915187"/>
    <w:rsid w:val="00915413"/>
    <w:rsid w:val="00915569"/>
    <w:rsid w:val="0091572F"/>
    <w:rsid w:val="00915912"/>
    <w:rsid w:val="00915949"/>
    <w:rsid w:val="00915990"/>
    <w:rsid w:val="00915BAC"/>
    <w:rsid w:val="00915F2A"/>
    <w:rsid w:val="0091604C"/>
    <w:rsid w:val="009162F5"/>
    <w:rsid w:val="009169C7"/>
    <w:rsid w:val="00916BFD"/>
    <w:rsid w:val="00916EB8"/>
    <w:rsid w:val="0091716A"/>
    <w:rsid w:val="00917533"/>
    <w:rsid w:val="00917A31"/>
    <w:rsid w:val="00917B9D"/>
    <w:rsid w:val="00917C04"/>
    <w:rsid w:val="00917C75"/>
    <w:rsid w:val="00920476"/>
    <w:rsid w:val="00920541"/>
    <w:rsid w:val="00920672"/>
    <w:rsid w:val="009206EC"/>
    <w:rsid w:val="00920B16"/>
    <w:rsid w:val="00920BAE"/>
    <w:rsid w:val="0092124E"/>
    <w:rsid w:val="00921615"/>
    <w:rsid w:val="009217CA"/>
    <w:rsid w:val="00921882"/>
    <w:rsid w:val="009218C1"/>
    <w:rsid w:val="009218CF"/>
    <w:rsid w:val="00921C8A"/>
    <w:rsid w:val="009221E1"/>
    <w:rsid w:val="009222A8"/>
    <w:rsid w:val="00922559"/>
    <w:rsid w:val="00922564"/>
    <w:rsid w:val="009225BE"/>
    <w:rsid w:val="00922602"/>
    <w:rsid w:val="0092277E"/>
    <w:rsid w:val="00922B5A"/>
    <w:rsid w:val="00922E80"/>
    <w:rsid w:val="00922FB8"/>
    <w:rsid w:val="00923274"/>
    <w:rsid w:val="009234F6"/>
    <w:rsid w:val="009236AA"/>
    <w:rsid w:val="00923D4A"/>
    <w:rsid w:val="00923FCE"/>
    <w:rsid w:val="009241AB"/>
    <w:rsid w:val="0092443D"/>
    <w:rsid w:val="00924568"/>
    <w:rsid w:val="009248B3"/>
    <w:rsid w:val="0092493B"/>
    <w:rsid w:val="00924A63"/>
    <w:rsid w:val="00924BC9"/>
    <w:rsid w:val="00924C06"/>
    <w:rsid w:val="00924C4B"/>
    <w:rsid w:val="00924F67"/>
    <w:rsid w:val="00924FC7"/>
    <w:rsid w:val="00924FF6"/>
    <w:rsid w:val="0092521F"/>
    <w:rsid w:val="00925390"/>
    <w:rsid w:val="009255B2"/>
    <w:rsid w:val="009256D4"/>
    <w:rsid w:val="009257CB"/>
    <w:rsid w:val="009258E9"/>
    <w:rsid w:val="00925A15"/>
    <w:rsid w:val="00925D8D"/>
    <w:rsid w:val="00925F05"/>
    <w:rsid w:val="00925FB7"/>
    <w:rsid w:val="009260B3"/>
    <w:rsid w:val="009260C5"/>
    <w:rsid w:val="00926182"/>
    <w:rsid w:val="00926673"/>
    <w:rsid w:val="00926691"/>
    <w:rsid w:val="00926F56"/>
    <w:rsid w:val="009271D7"/>
    <w:rsid w:val="009272D7"/>
    <w:rsid w:val="00927346"/>
    <w:rsid w:val="00927470"/>
    <w:rsid w:val="009279C2"/>
    <w:rsid w:val="009279E8"/>
    <w:rsid w:val="00927C2B"/>
    <w:rsid w:val="00927CD5"/>
    <w:rsid w:val="00927D80"/>
    <w:rsid w:val="00927F3F"/>
    <w:rsid w:val="0093035F"/>
    <w:rsid w:val="0093065F"/>
    <w:rsid w:val="0093077B"/>
    <w:rsid w:val="009308B5"/>
    <w:rsid w:val="00930A16"/>
    <w:rsid w:val="00930B1C"/>
    <w:rsid w:val="00930B1E"/>
    <w:rsid w:val="00930B4F"/>
    <w:rsid w:val="00930D63"/>
    <w:rsid w:val="00930EF8"/>
    <w:rsid w:val="00931060"/>
    <w:rsid w:val="009310DF"/>
    <w:rsid w:val="009319B8"/>
    <w:rsid w:val="00931C30"/>
    <w:rsid w:val="00931D57"/>
    <w:rsid w:val="00932088"/>
    <w:rsid w:val="009320AD"/>
    <w:rsid w:val="00932569"/>
    <w:rsid w:val="009325EB"/>
    <w:rsid w:val="00932776"/>
    <w:rsid w:val="00932829"/>
    <w:rsid w:val="00932952"/>
    <w:rsid w:val="00932953"/>
    <w:rsid w:val="009329FC"/>
    <w:rsid w:val="00932AC1"/>
    <w:rsid w:val="00932D98"/>
    <w:rsid w:val="00932E79"/>
    <w:rsid w:val="00932F3B"/>
    <w:rsid w:val="00932F82"/>
    <w:rsid w:val="009330D2"/>
    <w:rsid w:val="0093331B"/>
    <w:rsid w:val="00933392"/>
    <w:rsid w:val="00933830"/>
    <w:rsid w:val="00933970"/>
    <w:rsid w:val="00933B02"/>
    <w:rsid w:val="00933B91"/>
    <w:rsid w:val="00933B97"/>
    <w:rsid w:val="00933FE3"/>
    <w:rsid w:val="00933FED"/>
    <w:rsid w:val="0093416F"/>
    <w:rsid w:val="0093424D"/>
    <w:rsid w:val="0093449D"/>
    <w:rsid w:val="0093459E"/>
    <w:rsid w:val="0093468E"/>
    <w:rsid w:val="00934ACD"/>
    <w:rsid w:val="00934DED"/>
    <w:rsid w:val="00935167"/>
    <w:rsid w:val="00935175"/>
    <w:rsid w:val="009352B4"/>
    <w:rsid w:val="0093540D"/>
    <w:rsid w:val="0093554F"/>
    <w:rsid w:val="0093564A"/>
    <w:rsid w:val="0093594A"/>
    <w:rsid w:val="00935CC3"/>
    <w:rsid w:val="00935CF5"/>
    <w:rsid w:val="00935DF8"/>
    <w:rsid w:val="00936159"/>
    <w:rsid w:val="0093653A"/>
    <w:rsid w:val="00936541"/>
    <w:rsid w:val="009365F1"/>
    <w:rsid w:val="009369B4"/>
    <w:rsid w:val="00936B3E"/>
    <w:rsid w:val="00937365"/>
    <w:rsid w:val="00937668"/>
    <w:rsid w:val="00937769"/>
    <w:rsid w:val="00937813"/>
    <w:rsid w:val="00937C0A"/>
    <w:rsid w:val="00937D79"/>
    <w:rsid w:val="009404C8"/>
    <w:rsid w:val="0094050C"/>
    <w:rsid w:val="00940557"/>
    <w:rsid w:val="00940B8B"/>
    <w:rsid w:val="00940E8C"/>
    <w:rsid w:val="00941154"/>
    <w:rsid w:val="00941501"/>
    <w:rsid w:val="009418A2"/>
    <w:rsid w:val="0094195B"/>
    <w:rsid w:val="00941AED"/>
    <w:rsid w:val="00941B7F"/>
    <w:rsid w:val="00941C87"/>
    <w:rsid w:val="00941FE4"/>
    <w:rsid w:val="00941FF8"/>
    <w:rsid w:val="009420C1"/>
    <w:rsid w:val="009424E3"/>
    <w:rsid w:val="0094252D"/>
    <w:rsid w:val="009425A1"/>
    <w:rsid w:val="0094275D"/>
    <w:rsid w:val="00942AF8"/>
    <w:rsid w:val="00942BAA"/>
    <w:rsid w:val="00942CC9"/>
    <w:rsid w:val="00942F14"/>
    <w:rsid w:val="00943204"/>
    <w:rsid w:val="00943310"/>
    <w:rsid w:val="0094339B"/>
    <w:rsid w:val="00943600"/>
    <w:rsid w:val="00943665"/>
    <w:rsid w:val="0094393F"/>
    <w:rsid w:val="00943991"/>
    <w:rsid w:val="00943DD4"/>
    <w:rsid w:val="00943FFB"/>
    <w:rsid w:val="009442D4"/>
    <w:rsid w:val="00944799"/>
    <w:rsid w:val="009449CA"/>
    <w:rsid w:val="00944B32"/>
    <w:rsid w:val="00944B9E"/>
    <w:rsid w:val="00944DC1"/>
    <w:rsid w:val="00944F7B"/>
    <w:rsid w:val="00944FEE"/>
    <w:rsid w:val="0094519F"/>
    <w:rsid w:val="0094561D"/>
    <w:rsid w:val="0094577B"/>
    <w:rsid w:val="00945782"/>
    <w:rsid w:val="009457A1"/>
    <w:rsid w:val="009457BD"/>
    <w:rsid w:val="00945BB4"/>
    <w:rsid w:val="00945F07"/>
    <w:rsid w:val="00945F87"/>
    <w:rsid w:val="00946117"/>
    <w:rsid w:val="0094621C"/>
    <w:rsid w:val="00946593"/>
    <w:rsid w:val="0094660C"/>
    <w:rsid w:val="009467A4"/>
    <w:rsid w:val="00946B96"/>
    <w:rsid w:val="00946CBB"/>
    <w:rsid w:val="00946DA4"/>
    <w:rsid w:val="00947142"/>
    <w:rsid w:val="00947272"/>
    <w:rsid w:val="009474AC"/>
    <w:rsid w:val="009477FB"/>
    <w:rsid w:val="009479FB"/>
    <w:rsid w:val="00947A53"/>
    <w:rsid w:val="00947C3B"/>
    <w:rsid w:val="00947E8A"/>
    <w:rsid w:val="00947F92"/>
    <w:rsid w:val="00947F98"/>
    <w:rsid w:val="009500F3"/>
    <w:rsid w:val="00950102"/>
    <w:rsid w:val="0095020B"/>
    <w:rsid w:val="00950A79"/>
    <w:rsid w:val="00950C11"/>
    <w:rsid w:val="00950E39"/>
    <w:rsid w:val="00950FF6"/>
    <w:rsid w:val="009511E3"/>
    <w:rsid w:val="00951357"/>
    <w:rsid w:val="0095135C"/>
    <w:rsid w:val="009517AB"/>
    <w:rsid w:val="00951811"/>
    <w:rsid w:val="009518B5"/>
    <w:rsid w:val="00951F3B"/>
    <w:rsid w:val="00951FC5"/>
    <w:rsid w:val="009521AC"/>
    <w:rsid w:val="0095231C"/>
    <w:rsid w:val="0095238C"/>
    <w:rsid w:val="009524BC"/>
    <w:rsid w:val="00952716"/>
    <w:rsid w:val="0095302D"/>
    <w:rsid w:val="009532FC"/>
    <w:rsid w:val="00953455"/>
    <w:rsid w:val="0095354C"/>
    <w:rsid w:val="0095365D"/>
    <w:rsid w:val="00953759"/>
    <w:rsid w:val="00953851"/>
    <w:rsid w:val="00953906"/>
    <w:rsid w:val="00953CCE"/>
    <w:rsid w:val="00953E68"/>
    <w:rsid w:val="00953F67"/>
    <w:rsid w:val="00954187"/>
    <w:rsid w:val="00954332"/>
    <w:rsid w:val="009543DB"/>
    <w:rsid w:val="009543F1"/>
    <w:rsid w:val="0095441C"/>
    <w:rsid w:val="0095443A"/>
    <w:rsid w:val="00954575"/>
    <w:rsid w:val="009545B5"/>
    <w:rsid w:val="009545C0"/>
    <w:rsid w:val="00954742"/>
    <w:rsid w:val="00954B06"/>
    <w:rsid w:val="00954CCC"/>
    <w:rsid w:val="009550D8"/>
    <w:rsid w:val="00955901"/>
    <w:rsid w:val="0095594D"/>
    <w:rsid w:val="00955A40"/>
    <w:rsid w:val="00955A42"/>
    <w:rsid w:val="00955D1A"/>
    <w:rsid w:val="00955F3D"/>
    <w:rsid w:val="00956097"/>
    <w:rsid w:val="00956211"/>
    <w:rsid w:val="009563A6"/>
    <w:rsid w:val="00956577"/>
    <w:rsid w:val="00956BA3"/>
    <w:rsid w:val="00956C38"/>
    <w:rsid w:val="00956D2F"/>
    <w:rsid w:val="00956E02"/>
    <w:rsid w:val="00956E22"/>
    <w:rsid w:val="009572A9"/>
    <w:rsid w:val="0095730C"/>
    <w:rsid w:val="00957319"/>
    <w:rsid w:val="00957322"/>
    <w:rsid w:val="0095735F"/>
    <w:rsid w:val="00957604"/>
    <w:rsid w:val="009577C0"/>
    <w:rsid w:val="00957849"/>
    <w:rsid w:val="00957B6E"/>
    <w:rsid w:val="00957C85"/>
    <w:rsid w:val="00957EF7"/>
    <w:rsid w:val="0096005A"/>
    <w:rsid w:val="00960743"/>
    <w:rsid w:val="009608B1"/>
    <w:rsid w:val="00960C28"/>
    <w:rsid w:val="00961056"/>
    <w:rsid w:val="009612F1"/>
    <w:rsid w:val="009614E5"/>
    <w:rsid w:val="00961A09"/>
    <w:rsid w:val="00961A85"/>
    <w:rsid w:val="00961BC5"/>
    <w:rsid w:val="00961C13"/>
    <w:rsid w:val="00961E97"/>
    <w:rsid w:val="00961EFD"/>
    <w:rsid w:val="00962014"/>
    <w:rsid w:val="0096219C"/>
    <w:rsid w:val="00962399"/>
    <w:rsid w:val="009628AE"/>
    <w:rsid w:val="00962925"/>
    <w:rsid w:val="00962AE9"/>
    <w:rsid w:val="00962B57"/>
    <w:rsid w:val="00962BF1"/>
    <w:rsid w:val="00962C13"/>
    <w:rsid w:val="00962CD8"/>
    <w:rsid w:val="00962EF2"/>
    <w:rsid w:val="00963022"/>
    <w:rsid w:val="0096332F"/>
    <w:rsid w:val="00963450"/>
    <w:rsid w:val="0096349F"/>
    <w:rsid w:val="0096353C"/>
    <w:rsid w:val="0096382A"/>
    <w:rsid w:val="0096398F"/>
    <w:rsid w:val="00963AFE"/>
    <w:rsid w:val="00963FF7"/>
    <w:rsid w:val="0096402E"/>
    <w:rsid w:val="009640D0"/>
    <w:rsid w:val="009641E8"/>
    <w:rsid w:val="009648EF"/>
    <w:rsid w:val="00964F1F"/>
    <w:rsid w:val="00965031"/>
    <w:rsid w:val="009654E3"/>
    <w:rsid w:val="00965525"/>
    <w:rsid w:val="009655BA"/>
    <w:rsid w:val="009659A2"/>
    <w:rsid w:val="00965C84"/>
    <w:rsid w:val="00965DDE"/>
    <w:rsid w:val="00966040"/>
    <w:rsid w:val="0096662E"/>
    <w:rsid w:val="009667F5"/>
    <w:rsid w:val="009670DB"/>
    <w:rsid w:val="0096727B"/>
    <w:rsid w:val="009676D1"/>
    <w:rsid w:val="00967708"/>
    <w:rsid w:val="009677F1"/>
    <w:rsid w:val="00967963"/>
    <w:rsid w:val="00967991"/>
    <w:rsid w:val="009679B7"/>
    <w:rsid w:val="00967CD0"/>
    <w:rsid w:val="00967E68"/>
    <w:rsid w:val="00967E70"/>
    <w:rsid w:val="00967EF9"/>
    <w:rsid w:val="0097016D"/>
    <w:rsid w:val="0097049A"/>
    <w:rsid w:val="0097057D"/>
    <w:rsid w:val="009707C2"/>
    <w:rsid w:val="00970842"/>
    <w:rsid w:val="009708DF"/>
    <w:rsid w:val="009708F4"/>
    <w:rsid w:val="00970A4E"/>
    <w:rsid w:val="00970BD9"/>
    <w:rsid w:val="00970CA8"/>
    <w:rsid w:val="00970CF8"/>
    <w:rsid w:val="00970E40"/>
    <w:rsid w:val="00971CD9"/>
    <w:rsid w:val="00971D1E"/>
    <w:rsid w:val="00971D30"/>
    <w:rsid w:val="0097214D"/>
    <w:rsid w:val="009727B9"/>
    <w:rsid w:val="00972A68"/>
    <w:rsid w:val="00972BE8"/>
    <w:rsid w:val="00972CF7"/>
    <w:rsid w:val="00972DF4"/>
    <w:rsid w:val="00972F29"/>
    <w:rsid w:val="00973483"/>
    <w:rsid w:val="009735AD"/>
    <w:rsid w:val="00973667"/>
    <w:rsid w:val="00973AB0"/>
    <w:rsid w:val="00973C83"/>
    <w:rsid w:val="00973E86"/>
    <w:rsid w:val="009744E7"/>
    <w:rsid w:val="009745AE"/>
    <w:rsid w:val="009746E4"/>
    <w:rsid w:val="00974774"/>
    <w:rsid w:val="009747EC"/>
    <w:rsid w:val="00974D7C"/>
    <w:rsid w:val="00974DBE"/>
    <w:rsid w:val="00974DEB"/>
    <w:rsid w:val="00974E86"/>
    <w:rsid w:val="009752CA"/>
    <w:rsid w:val="00975355"/>
    <w:rsid w:val="0097536D"/>
    <w:rsid w:val="00975417"/>
    <w:rsid w:val="009756E0"/>
    <w:rsid w:val="00975B41"/>
    <w:rsid w:val="00975E56"/>
    <w:rsid w:val="00975FB7"/>
    <w:rsid w:val="0097610D"/>
    <w:rsid w:val="00976124"/>
    <w:rsid w:val="0097626A"/>
    <w:rsid w:val="0097635E"/>
    <w:rsid w:val="00976575"/>
    <w:rsid w:val="00976741"/>
    <w:rsid w:val="00976B90"/>
    <w:rsid w:val="00976EA9"/>
    <w:rsid w:val="00976EB6"/>
    <w:rsid w:val="00977349"/>
    <w:rsid w:val="00977553"/>
    <w:rsid w:val="0097759A"/>
    <w:rsid w:val="00977771"/>
    <w:rsid w:val="00977AC1"/>
    <w:rsid w:val="00977C51"/>
    <w:rsid w:val="00977D8A"/>
    <w:rsid w:val="00977E41"/>
    <w:rsid w:val="00977FEA"/>
    <w:rsid w:val="009802DD"/>
    <w:rsid w:val="00980B7E"/>
    <w:rsid w:val="00980DA3"/>
    <w:rsid w:val="00980F59"/>
    <w:rsid w:val="00980FA6"/>
    <w:rsid w:val="00981059"/>
    <w:rsid w:val="00981575"/>
    <w:rsid w:val="009815DB"/>
    <w:rsid w:val="0098170C"/>
    <w:rsid w:val="00981DE6"/>
    <w:rsid w:val="00981F8C"/>
    <w:rsid w:val="0098206E"/>
    <w:rsid w:val="00982084"/>
    <w:rsid w:val="00982CA7"/>
    <w:rsid w:val="00982D56"/>
    <w:rsid w:val="00982EB4"/>
    <w:rsid w:val="00983098"/>
    <w:rsid w:val="00983106"/>
    <w:rsid w:val="00983174"/>
    <w:rsid w:val="0098336B"/>
    <w:rsid w:val="009834A9"/>
    <w:rsid w:val="009838F3"/>
    <w:rsid w:val="00983E4D"/>
    <w:rsid w:val="00984248"/>
    <w:rsid w:val="00984376"/>
    <w:rsid w:val="009848D9"/>
    <w:rsid w:val="00984C56"/>
    <w:rsid w:val="00984D96"/>
    <w:rsid w:val="00984DA1"/>
    <w:rsid w:val="00985566"/>
    <w:rsid w:val="0098592B"/>
    <w:rsid w:val="00985EF2"/>
    <w:rsid w:val="00986341"/>
    <w:rsid w:val="0098648D"/>
    <w:rsid w:val="009867C1"/>
    <w:rsid w:val="00986974"/>
    <w:rsid w:val="00986AEC"/>
    <w:rsid w:val="00986F5C"/>
    <w:rsid w:val="00986F66"/>
    <w:rsid w:val="0098735D"/>
    <w:rsid w:val="0098778F"/>
    <w:rsid w:val="0098793A"/>
    <w:rsid w:val="00987952"/>
    <w:rsid w:val="00987C43"/>
    <w:rsid w:val="00987D52"/>
    <w:rsid w:val="00987D5A"/>
    <w:rsid w:val="0099019A"/>
    <w:rsid w:val="009901D4"/>
    <w:rsid w:val="00990627"/>
    <w:rsid w:val="00990D65"/>
    <w:rsid w:val="00990E18"/>
    <w:rsid w:val="00990FBB"/>
    <w:rsid w:val="0099179B"/>
    <w:rsid w:val="00991A8C"/>
    <w:rsid w:val="00991D9E"/>
    <w:rsid w:val="00991F7C"/>
    <w:rsid w:val="009920B9"/>
    <w:rsid w:val="009923EA"/>
    <w:rsid w:val="0099254D"/>
    <w:rsid w:val="0099255A"/>
    <w:rsid w:val="00992641"/>
    <w:rsid w:val="009926E7"/>
    <w:rsid w:val="00992AA0"/>
    <w:rsid w:val="00992C4C"/>
    <w:rsid w:val="00992D65"/>
    <w:rsid w:val="009930A6"/>
    <w:rsid w:val="00993446"/>
    <w:rsid w:val="00993A60"/>
    <w:rsid w:val="00993C02"/>
    <w:rsid w:val="00993C1C"/>
    <w:rsid w:val="00993C46"/>
    <w:rsid w:val="00993D4E"/>
    <w:rsid w:val="00993DA0"/>
    <w:rsid w:val="009940DE"/>
    <w:rsid w:val="009946D4"/>
    <w:rsid w:val="00994C55"/>
    <w:rsid w:val="0099564E"/>
    <w:rsid w:val="0099589F"/>
    <w:rsid w:val="0099599E"/>
    <w:rsid w:val="00995C2A"/>
    <w:rsid w:val="009960D1"/>
    <w:rsid w:val="00996214"/>
    <w:rsid w:val="009965D3"/>
    <w:rsid w:val="009965F7"/>
    <w:rsid w:val="009966B0"/>
    <w:rsid w:val="00996757"/>
    <w:rsid w:val="00996856"/>
    <w:rsid w:val="009968F1"/>
    <w:rsid w:val="00996987"/>
    <w:rsid w:val="00997379"/>
    <w:rsid w:val="00997546"/>
    <w:rsid w:val="009975A4"/>
    <w:rsid w:val="00997622"/>
    <w:rsid w:val="009978A2"/>
    <w:rsid w:val="009978D3"/>
    <w:rsid w:val="00997AC5"/>
    <w:rsid w:val="009A00CD"/>
    <w:rsid w:val="009A0186"/>
    <w:rsid w:val="009A0330"/>
    <w:rsid w:val="009A033B"/>
    <w:rsid w:val="009A0381"/>
    <w:rsid w:val="009A039B"/>
    <w:rsid w:val="009A043E"/>
    <w:rsid w:val="009A0492"/>
    <w:rsid w:val="009A05D7"/>
    <w:rsid w:val="009A07B8"/>
    <w:rsid w:val="009A095B"/>
    <w:rsid w:val="009A0A6D"/>
    <w:rsid w:val="009A0A79"/>
    <w:rsid w:val="009A136D"/>
    <w:rsid w:val="009A1650"/>
    <w:rsid w:val="009A1D12"/>
    <w:rsid w:val="009A20F1"/>
    <w:rsid w:val="009A248B"/>
    <w:rsid w:val="009A24B3"/>
    <w:rsid w:val="009A2667"/>
    <w:rsid w:val="009A2751"/>
    <w:rsid w:val="009A2799"/>
    <w:rsid w:val="009A2CF1"/>
    <w:rsid w:val="009A2E3F"/>
    <w:rsid w:val="009A34A6"/>
    <w:rsid w:val="009A3CC9"/>
    <w:rsid w:val="009A3D8C"/>
    <w:rsid w:val="009A3DBF"/>
    <w:rsid w:val="009A3DD7"/>
    <w:rsid w:val="009A42BF"/>
    <w:rsid w:val="009A4657"/>
    <w:rsid w:val="009A4BAD"/>
    <w:rsid w:val="009A4FCC"/>
    <w:rsid w:val="009A5187"/>
    <w:rsid w:val="009A542F"/>
    <w:rsid w:val="009A58DD"/>
    <w:rsid w:val="009A5F0B"/>
    <w:rsid w:val="009A6150"/>
    <w:rsid w:val="009A6434"/>
    <w:rsid w:val="009A6627"/>
    <w:rsid w:val="009A66BF"/>
    <w:rsid w:val="009A69EE"/>
    <w:rsid w:val="009A6B77"/>
    <w:rsid w:val="009A6CF3"/>
    <w:rsid w:val="009A71FE"/>
    <w:rsid w:val="009A73EE"/>
    <w:rsid w:val="009A75C4"/>
    <w:rsid w:val="009A76C3"/>
    <w:rsid w:val="009A77DC"/>
    <w:rsid w:val="009A77DE"/>
    <w:rsid w:val="009A7893"/>
    <w:rsid w:val="009A78A2"/>
    <w:rsid w:val="009A7980"/>
    <w:rsid w:val="009A7E5D"/>
    <w:rsid w:val="009B044F"/>
    <w:rsid w:val="009B0664"/>
    <w:rsid w:val="009B0802"/>
    <w:rsid w:val="009B08DF"/>
    <w:rsid w:val="009B08E0"/>
    <w:rsid w:val="009B0AB1"/>
    <w:rsid w:val="009B0C7B"/>
    <w:rsid w:val="009B0E57"/>
    <w:rsid w:val="009B0E98"/>
    <w:rsid w:val="009B16FF"/>
    <w:rsid w:val="009B1DD8"/>
    <w:rsid w:val="009B1F6B"/>
    <w:rsid w:val="009B20C0"/>
    <w:rsid w:val="009B2696"/>
    <w:rsid w:val="009B2BA9"/>
    <w:rsid w:val="009B2D43"/>
    <w:rsid w:val="009B2E86"/>
    <w:rsid w:val="009B2EE5"/>
    <w:rsid w:val="009B33A5"/>
    <w:rsid w:val="009B3480"/>
    <w:rsid w:val="009B3519"/>
    <w:rsid w:val="009B39EB"/>
    <w:rsid w:val="009B3A32"/>
    <w:rsid w:val="009B3B9A"/>
    <w:rsid w:val="009B3D32"/>
    <w:rsid w:val="009B3F50"/>
    <w:rsid w:val="009B422B"/>
    <w:rsid w:val="009B4400"/>
    <w:rsid w:val="009B48D0"/>
    <w:rsid w:val="009B4962"/>
    <w:rsid w:val="009B4BEE"/>
    <w:rsid w:val="009B4C41"/>
    <w:rsid w:val="009B4D3B"/>
    <w:rsid w:val="009B4F0E"/>
    <w:rsid w:val="009B4FD6"/>
    <w:rsid w:val="009B5198"/>
    <w:rsid w:val="009B5249"/>
    <w:rsid w:val="009B54F6"/>
    <w:rsid w:val="009B594C"/>
    <w:rsid w:val="009B5AA7"/>
    <w:rsid w:val="009B5ADC"/>
    <w:rsid w:val="009B5C63"/>
    <w:rsid w:val="009B5C85"/>
    <w:rsid w:val="009B5EA7"/>
    <w:rsid w:val="009B60CD"/>
    <w:rsid w:val="009B642B"/>
    <w:rsid w:val="009B64B5"/>
    <w:rsid w:val="009B6789"/>
    <w:rsid w:val="009B68D5"/>
    <w:rsid w:val="009B6BA3"/>
    <w:rsid w:val="009B6FCA"/>
    <w:rsid w:val="009B7061"/>
    <w:rsid w:val="009B70D4"/>
    <w:rsid w:val="009B7249"/>
    <w:rsid w:val="009B7295"/>
    <w:rsid w:val="009B73CD"/>
    <w:rsid w:val="009B7C14"/>
    <w:rsid w:val="009B7F3F"/>
    <w:rsid w:val="009B7FAC"/>
    <w:rsid w:val="009C0102"/>
    <w:rsid w:val="009C01DF"/>
    <w:rsid w:val="009C0335"/>
    <w:rsid w:val="009C057F"/>
    <w:rsid w:val="009C05FD"/>
    <w:rsid w:val="009C0690"/>
    <w:rsid w:val="009C09F1"/>
    <w:rsid w:val="009C0A56"/>
    <w:rsid w:val="009C0C29"/>
    <w:rsid w:val="009C0CA0"/>
    <w:rsid w:val="009C0D85"/>
    <w:rsid w:val="009C10B3"/>
    <w:rsid w:val="009C1364"/>
    <w:rsid w:val="009C19E1"/>
    <w:rsid w:val="009C19EB"/>
    <w:rsid w:val="009C1C07"/>
    <w:rsid w:val="009C1C8A"/>
    <w:rsid w:val="009C2180"/>
    <w:rsid w:val="009C2189"/>
    <w:rsid w:val="009C22AD"/>
    <w:rsid w:val="009C2365"/>
    <w:rsid w:val="009C2A49"/>
    <w:rsid w:val="009C2C5D"/>
    <w:rsid w:val="009C2CD8"/>
    <w:rsid w:val="009C2E5B"/>
    <w:rsid w:val="009C2F36"/>
    <w:rsid w:val="009C2F4B"/>
    <w:rsid w:val="009C30D8"/>
    <w:rsid w:val="009C312A"/>
    <w:rsid w:val="009C31C1"/>
    <w:rsid w:val="009C345E"/>
    <w:rsid w:val="009C3561"/>
    <w:rsid w:val="009C3B0D"/>
    <w:rsid w:val="009C3CA8"/>
    <w:rsid w:val="009C4077"/>
    <w:rsid w:val="009C41C3"/>
    <w:rsid w:val="009C4312"/>
    <w:rsid w:val="009C431D"/>
    <w:rsid w:val="009C43FB"/>
    <w:rsid w:val="009C4410"/>
    <w:rsid w:val="009C4681"/>
    <w:rsid w:val="009C474D"/>
    <w:rsid w:val="009C4ADC"/>
    <w:rsid w:val="009C4B6F"/>
    <w:rsid w:val="009C4F20"/>
    <w:rsid w:val="009C504D"/>
    <w:rsid w:val="009C5138"/>
    <w:rsid w:val="009C51C5"/>
    <w:rsid w:val="009C51D5"/>
    <w:rsid w:val="009C52EA"/>
    <w:rsid w:val="009C52F3"/>
    <w:rsid w:val="009C54BD"/>
    <w:rsid w:val="009C566C"/>
    <w:rsid w:val="009C5D4A"/>
    <w:rsid w:val="009C5F80"/>
    <w:rsid w:val="009C60EA"/>
    <w:rsid w:val="009C60ED"/>
    <w:rsid w:val="009C68F1"/>
    <w:rsid w:val="009C6A98"/>
    <w:rsid w:val="009C6C15"/>
    <w:rsid w:val="009C6F9A"/>
    <w:rsid w:val="009C7281"/>
    <w:rsid w:val="009C76F4"/>
    <w:rsid w:val="009C7A7C"/>
    <w:rsid w:val="009C7ABB"/>
    <w:rsid w:val="009C7CE3"/>
    <w:rsid w:val="009C7F56"/>
    <w:rsid w:val="009D006F"/>
    <w:rsid w:val="009D06F5"/>
    <w:rsid w:val="009D08D8"/>
    <w:rsid w:val="009D08F7"/>
    <w:rsid w:val="009D0959"/>
    <w:rsid w:val="009D0C3E"/>
    <w:rsid w:val="009D173D"/>
    <w:rsid w:val="009D1AB9"/>
    <w:rsid w:val="009D1AF0"/>
    <w:rsid w:val="009D2397"/>
    <w:rsid w:val="009D2929"/>
    <w:rsid w:val="009D2A7A"/>
    <w:rsid w:val="009D2A90"/>
    <w:rsid w:val="009D2C28"/>
    <w:rsid w:val="009D2DCF"/>
    <w:rsid w:val="009D2F3A"/>
    <w:rsid w:val="009D3109"/>
    <w:rsid w:val="009D3119"/>
    <w:rsid w:val="009D31A8"/>
    <w:rsid w:val="009D31CC"/>
    <w:rsid w:val="009D34A7"/>
    <w:rsid w:val="009D366D"/>
    <w:rsid w:val="009D36F8"/>
    <w:rsid w:val="009D3871"/>
    <w:rsid w:val="009D3AE3"/>
    <w:rsid w:val="009D3D3A"/>
    <w:rsid w:val="009D412B"/>
    <w:rsid w:val="009D42DA"/>
    <w:rsid w:val="009D4670"/>
    <w:rsid w:val="009D4A3E"/>
    <w:rsid w:val="009D4D93"/>
    <w:rsid w:val="009D5105"/>
    <w:rsid w:val="009D5249"/>
    <w:rsid w:val="009D54F7"/>
    <w:rsid w:val="009D55EF"/>
    <w:rsid w:val="009D565C"/>
    <w:rsid w:val="009D56B9"/>
    <w:rsid w:val="009D5D96"/>
    <w:rsid w:val="009D6198"/>
    <w:rsid w:val="009D64FD"/>
    <w:rsid w:val="009D6665"/>
    <w:rsid w:val="009D6742"/>
    <w:rsid w:val="009D690C"/>
    <w:rsid w:val="009D6AB5"/>
    <w:rsid w:val="009D6B19"/>
    <w:rsid w:val="009D6D90"/>
    <w:rsid w:val="009D6DF5"/>
    <w:rsid w:val="009D7081"/>
    <w:rsid w:val="009D7305"/>
    <w:rsid w:val="009D7527"/>
    <w:rsid w:val="009D76B9"/>
    <w:rsid w:val="009D77CC"/>
    <w:rsid w:val="009D780C"/>
    <w:rsid w:val="009D783C"/>
    <w:rsid w:val="009D7C1A"/>
    <w:rsid w:val="009D7C82"/>
    <w:rsid w:val="009D7F71"/>
    <w:rsid w:val="009E03BC"/>
    <w:rsid w:val="009E063F"/>
    <w:rsid w:val="009E0653"/>
    <w:rsid w:val="009E069A"/>
    <w:rsid w:val="009E0BE5"/>
    <w:rsid w:val="009E0D4E"/>
    <w:rsid w:val="009E0E4B"/>
    <w:rsid w:val="009E0EFD"/>
    <w:rsid w:val="009E1116"/>
    <w:rsid w:val="009E11EB"/>
    <w:rsid w:val="009E1310"/>
    <w:rsid w:val="009E1330"/>
    <w:rsid w:val="009E13EE"/>
    <w:rsid w:val="009E1480"/>
    <w:rsid w:val="009E1A19"/>
    <w:rsid w:val="009E1A90"/>
    <w:rsid w:val="009E1BB7"/>
    <w:rsid w:val="009E1C98"/>
    <w:rsid w:val="009E1EE8"/>
    <w:rsid w:val="009E1F02"/>
    <w:rsid w:val="009E20D9"/>
    <w:rsid w:val="009E2369"/>
    <w:rsid w:val="009E2591"/>
    <w:rsid w:val="009E2644"/>
    <w:rsid w:val="009E2924"/>
    <w:rsid w:val="009E2BA6"/>
    <w:rsid w:val="009E2BAB"/>
    <w:rsid w:val="009E2EA6"/>
    <w:rsid w:val="009E305A"/>
    <w:rsid w:val="009E32E9"/>
    <w:rsid w:val="009E337E"/>
    <w:rsid w:val="009E341C"/>
    <w:rsid w:val="009E368D"/>
    <w:rsid w:val="009E36CC"/>
    <w:rsid w:val="009E3782"/>
    <w:rsid w:val="009E3803"/>
    <w:rsid w:val="009E381C"/>
    <w:rsid w:val="009E3A59"/>
    <w:rsid w:val="009E3AE1"/>
    <w:rsid w:val="009E3B52"/>
    <w:rsid w:val="009E3B90"/>
    <w:rsid w:val="009E3CCC"/>
    <w:rsid w:val="009E40FF"/>
    <w:rsid w:val="009E4427"/>
    <w:rsid w:val="009E48E0"/>
    <w:rsid w:val="009E4CFD"/>
    <w:rsid w:val="009E4FA9"/>
    <w:rsid w:val="009E5066"/>
    <w:rsid w:val="009E51BE"/>
    <w:rsid w:val="009E549D"/>
    <w:rsid w:val="009E551C"/>
    <w:rsid w:val="009E5608"/>
    <w:rsid w:val="009E5611"/>
    <w:rsid w:val="009E5C52"/>
    <w:rsid w:val="009E613B"/>
    <w:rsid w:val="009E646C"/>
    <w:rsid w:val="009E6D3F"/>
    <w:rsid w:val="009E6E56"/>
    <w:rsid w:val="009E6E6B"/>
    <w:rsid w:val="009E7471"/>
    <w:rsid w:val="009E76EB"/>
    <w:rsid w:val="009E772B"/>
    <w:rsid w:val="009E7906"/>
    <w:rsid w:val="009E790C"/>
    <w:rsid w:val="009E7988"/>
    <w:rsid w:val="009E7A64"/>
    <w:rsid w:val="009E7B20"/>
    <w:rsid w:val="009E7C01"/>
    <w:rsid w:val="009E7C8A"/>
    <w:rsid w:val="009E7DBC"/>
    <w:rsid w:val="009F0311"/>
    <w:rsid w:val="009F0578"/>
    <w:rsid w:val="009F0588"/>
    <w:rsid w:val="009F0878"/>
    <w:rsid w:val="009F08F5"/>
    <w:rsid w:val="009F095A"/>
    <w:rsid w:val="009F0C22"/>
    <w:rsid w:val="009F0F01"/>
    <w:rsid w:val="009F124B"/>
    <w:rsid w:val="009F12E6"/>
    <w:rsid w:val="009F15F2"/>
    <w:rsid w:val="009F18C8"/>
    <w:rsid w:val="009F1BB2"/>
    <w:rsid w:val="009F1C4C"/>
    <w:rsid w:val="009F1DA9"/>
    <w:rsid w:val="009F1E84"/>
    <w:rsid w:val="009F2095"/>
    <w:rsid w:val="009F2399"/>
    <w:rsid w:val="009F272C"/>
    <w:rsid w:val="009F2993"/>
    <w:rsid w:val="009F2CBE"/>
    <w:rsid w:val="009F323E"/>
    <w:rsid w:val="009F33B5"/>
    <w:rsid w:val="009F352F"/>
    <w:rsid w:val="009F36A2"/>
    <w:rsid w:val="009F388E"/>
    <w:rsid w:val="009F3C83"/>
    <w:rsid w:val="009F3D72"/>
    <w:rsid w:val="009F3D9C"/>
    <w:rsid w:val="009F3F98"/>
    <w:rsid w:val="009F444E"/>
    <w:rsid w:val="009F468C"/>
    <w:rsid w:val="009F4788"/>
    <w:rsid w:val="009F4BA3"/>
    <w:rsid w:val="009F5065"/>
    <w:rsid w:val="009F515B"/>
    <w:rsid w:val="009F51DF"/>
    <w:rsid w:val="009F5794"/>
    <w:rsid w:val="009F5A23"/>
    <w:rsid w:val="009F5D22"/>
    <w:rsid w:val="009F5E55"/>
    <w:rsid w:val="009F60A7"/>
    <w:rsid w:val="009F66E0"/>
    <w:rsid w:val="009F6DC2"/>
    <w:rsid w:val="009F6E46"/>
    <w:rsid w:val="009F6E73"/>
    <w:rsid w:val="009F70DB"/>
    <w:rsid w:val="009F7182"/>
    <w:rsid w:val="009F7278"/>
    <w:rsid w:val="009F7318"/>
    <w:rsid w:val="009F7450"/>
    <w:rsid w:val="009F74A1"/>
    <w:rsid w:val="009F74A3"/>
    <w:rsid w:val="009F74FB"/>
    <w:rsid w:val="009F7804"/>
    <w:rsid w:val="009F7A31"/>
    <w:rsid w:val="009F7D8A"/>
    <w:rsid w:val="009F7E31"/>
    <w:rsid w:val="00A001D4"/>
    <w:rsid w:val="00A003AD"/>
    <w:rsid w:val="00A004C0"/>
    <w:rsid w:val="00A00801"/>
    <w:rsid w:val="00A0085E"/>
    <w:rsid w:val="00A008DC"/>
    <w:rsid w:val="00A00C64"/>
    <w:rsid w:val="00A00F98"/>
    <w:rsid w:val="00A012C5"/>
    <w:rsid w:val="00A01316"/>
    <w:rsid w:val="00A01660"/>
    <w:rsid w:val="00A016BB"/>
    <w:rsid w:val="00A01816"/>
    <w:rsid w:val="00A0198E"/>
    <w:rsid w:val="00A02108"/>
    <w:rsid w:val="00A02453"/>
    <w:rsid w:val="00A02678"/>
    <w:rsid w:val="00A026F8"/>
    <w:rsid w:val="00A02BB6"/>
    <w:rsid w:val="00A02EAD"/>
    <w:rsid w:val="00A02FF2"/>
    <w:rsid w:val="00A03850"/>
    <w:rsid w:val="00A03B94"/>
    <w:rsid w:val="00A03DE4"/>
    <w:rsid w:val="00A03E63"/>
    <w:rsid w:val="00A04745"/>
    <w:rsid w:val="00A04A66"/>
    <w:rsid w:val="00A04BF0"/>
    <w:rsid w:val="00A04D0A"/>
    <w:rsid w:val="00A05163"/>
    <w:rsid w:val="00A0517F"/>
    <w:rsid w:val="00A052D0"/>
    <w:rsid w:val="00A0558A"/>
    <w:rsid w:val="00A056C8"/>
    <w:rsid w:val="00A058E2"/>
    <w:rsid w:val="00A05A68"/>
    <w:rsid w:val="00A05A6F"/>
    <w:rsid w:val="00A05B7C"/>
    <w:rsid w:val="00A05BF6"/>
    <w:rsid w:val="00A05D07"/>
    <w:rsid w:val="00A060B4"/>
    <w:rsid w:val="00A0630D"/>
    <w:rsid w:val="00A0672E"/>
    <w:rsid w:val="00A06AD4"/>
    <w:rsid w:val="00A06B51"/>
    <w:rsid w:val="00A06E77"/>
    <w:rsid w:val="00A070F7"/>
    <w:rsid w:val="00A07316"/>
    <w:rsid w:val="00A07333"/>
    <w:rsid w:val="00A07338"/>
    <w:rsid w:val="00A0742A"/>
    <w:rsid w:val="00A07766"/>
    <w:rsid w:val="00A07880"/>
    <w:rsid w:val="00A0796A"/>
    <w:rsid w:val="00A07A50"/>
    <w:rsid w:val="00A07B17"/>
    <w:rsid w:val="00A10218"/>
    <w:rsid w:val="00A105FC"/>
    <w:rsid w:val="00A1060C"/>
    <w:rsid w:val="00A10999"/>
    <w:rsid w:val="00A10FC5"/>
    <w:rsid w:val="00A11248"/>
    <w:rsid w:val="00A11323"/>
    <w:rsid w:val="00A1133E"/>
    <w:rsid w:val="00A1150F"/>
    <w:rsid w:val="00A116B4"/>
    <w:rsid w:val="00A11733"/>
    <w:rsid w:val="00A11CEF"/>
    <w:rsid w:val="00A11D5E"/>
    <w:rsid w:val="00A11F53"/>
    <w:rsid w:val="00A124A8"/>
    <w:rsid w:val="00A1275F"/>
    <w:rsid w:val="00A128A1"/>
    <w:rsid w:val="00A12D67"/>
    <w:rsid w:val="00A1339A"/>
    <w:rsid w:val="00A133E4"/>
    <w:rsid w:val="00A1344D"/>
    <w:rsid w:val="00A13517"/>
    <w:rsid w:val="00A1371B"/>
    <w:rsid w:val="00A139C1"/>
    <w:rsid w:val="00A139D5"/>
    <w:rsid w:val="00A13C60"/>
    <w:rsid w:val="00A13DE2"/>
    <w:rsid w:val="00A145C8"/>
    <w:rsid w:val="00A147AD"/>
    <w:rsid w:val="00A149CF"/>
    <w:rsid w:val="00A14B91"/>
    <w:rsid w:val="00A14FB9"/>
    <w:rsid w:val="00A1504D"/>
    <w:rsid w:val="00A150F3"/>
    <w:rsid w:val="00A157F1"/>
    <w:rsid w:val="00A15872"/>
    <w:rsid w:val="00A15B7F"/>
    <w:rsid w:val="00A1603D"/>
    <w:rsid w:val="00A16080"/>
    <w:rsid w:val="00A160A6"/>
    <w:rsid w:val="00A162CA"/>
    <w:rsid w:val="00A16346"/>
    <w:rsid w:val="00A16EF9"/>
    <w:rsid w:val="00A170CF"/>
    <w:rsid w:val="00A17192"/>
    <w:rsid w:val="00A1795D"/>
    <w:rsid w:val="00A17A10"/>
    <w:rsid w:val="00A17B4E"/>
    <w:rsid w:val="00A2005C"/>
    <w:rsid w:val="00A202B5"/>
    <w:rsid w:val="00A202C6"/>
    <w:rsid w:val="00A205BC"/>
    <w:rsid w:val="00A205E7"/>
    <w:rsid w:val="00A21040"/>
    <w:rsid w:val="00A211A5"/>
    <w:rsid w:val="00A211E6"/>
    <w:rsid w:val="00A21598"/>
    <w:rsid w:val="00A217AB"/>
    <w:rsid w:val="00A21B30"/>
    <w:rsid w:val="00A21E96"/>
    <w:rsid w:val="00A21FFA"/>
    <w:rsid w:val="00A22013"/>
    <w:rsid w:val="00A2210E"/>
    <w:rsid w:val="00A2229A"/>
    <w:rsid w:val="00A222C1"/>
    <w:rsid w:val="00A22595"/>
    <w:rsid w:val="00A225E4"/>
    <w:rsid w:val="00A228BE"/>
    <w:rsid w:val="00A2291F"/>
    <w:rsid w:val="00A22B37"/>
    <w:rsid w:val="00A22BAB"/>
    <w:rsid w:val="00A2307B"/>
    <w:rsid w:val="00A230D1"/>
    <w:rsid w:val="00A230EF"/>
    <w:rsid w:val="00A23178"/>
    <w:rsid w:val="00A235E9"/>
    <w:rsid w:val="00A23642"/>
    <w:rsid w:val="00A2365E"/>
    <w:rsid w:val="00A23A34"/>
    <w:rsid w:val="00A23B40"/>
    <w:rsid w:val="00A23DE0"/>
    <w:rsid w:val="00A23E98"/>
    <w:rsid w:val="00A23ED9"/>
    <w:rsid w:val="00A23F7A"/>
    <w:rsid w:val="00A240C5"/>
    <w:rsid w:val="00A24122"/>
    <w:rsid w:val="00A243C5"/>
    <w:rsid w:val="00A24563"/>
    <w:rsid w:val="00A24B17"/>
    <w:rsid w:val="00A24B67"/>
    <w:rsid w:val="00A25573"/>
    <w:rsid w:val="00A258AD"/>
    <w:rsid w:val="00A25D0B"/>
    <w:rsid w:val="00A25E87"/>
    <w:rsid w:val="00A25F1B"/>
    <w:rsid w:val="00A26003"/>
    <w:rsid w:val="00A2612F"/>
    <w:rsid w:val="00A26489"/>
    <w:rsid w:val="00A26EEE"/>
    <w:rsid w:val="00A27048"/>
    <w:rsid w:val="00A2711A"/>
    <w:rsid w:val="00A273BC"/>
    <w:rsid w:val="00A27554"/>
    <w:rsid w:val="00A27656"/>
    <w:rsid w:val="00A27CAF"/>
    <w:rsid w:val="00A27EB5"/>
    <w:rsid w:val="00A27F71"/>
    <w:rsid w:val="00A30467"/>
    <w:rsid w:val="00A3048E"/>
    <w:rsid w:val="00A3059B"/>
    <w:rsid w:val="00A30896"/>
    <w:rsid w:val="00A30C94"/>
    <w:rsid w:val="00A30CFE"/>
    <w:rsid w:val="00A30DEC"/>
    <w:rsid w:val="00A30DF4"/>
    <w:rsid w:val="00A30E86"/>
    <w:rsid w:val="00A31534"/>
    <w:rsid w:val="00A3157E"/>
    <w:rsid w:val="00A31653"/>
    <w:rsid w:val="00A318F8"/>
    <w:rsid w:val="00A31A50"/>
    <w:rsid w:val="00A31B7C"/>
    <w:rsid w:val="00A31DEE"/>
    <w:rsid w:val="00A31F6F"/>
    <w:rsid w:val="00A31FEB"/>
    <w:rsid w:val="00A32108"/>
    <w:rsid w:val="00A32251"/>
    <w:rsid w:val="00A32271"/>
    <w:rsid w:val="00A3229D"/>
    <w:rsid w:val="00A326B0"/>
    <w:rsid w:val="00A3281B"/>
    <w:rsid w:val="00A32967"/>
    <w:rsid w:val="00A329C2"/>
    <w:rsid w:val="00A32B47"/>
    <w:rsid w:val="00A32E36"/>
    <w:rsid w:val="00A32ED6"/>
    <w:rsid w:val="00A32FB6"/>
    <w:rsid w:val="00A33316"/>
    <w:rsid w:val="00A333EA"/>
    <w:rsid w:val="00A335C0"/>
    <w:rsid w:val="00A33E89"/>
    <w:rsid w:val="00A34007"/>
    <w:rsid w:val="00A34173"/>
    <w:rsid w:val="00A3444C"/>
    <w:rsid w:val="00A346EF"/>
    <w:rsid w:val="00A347AB"/>
    <w:rsid w:val="00A34B78"/>
    <w:rsid w:val="00A34B9F"/>
    <w:rsid w:val="00A34DC4"/>
    <w:rsid w:val="00A34DCB"/>
    <w:rsid w:val="00A34FFF"/>
    <w:rsid w:val="00A35344"/>
    <w:rsid w:val="00A35445"/>
    <w:rsid w:val="00A356FD"/>
    <w:rsid w:val="00A357B0"/>
    <w:rsid w:val="00A359F8"/>
    <w:rsid w:val="00A35B0F"/>
    <w:rsid w:val="00A35B85"/>
    <w:rsid w:val="00A35F5B"/>
    <w:rsid w:val="00A36271"/>
    <w:rsid w:val="00A3640D"/>
    <w:rsid w:val="00A365CA"/>
    <w:rsid w:val="00A36721"/>
    <w:rsid w:val="00A367FB"/>
    <w:rsid w:val="00A36A48"/>
    <w:rsid w:val="00A36FB3"/>
    <w:rsid w:val="00A36FC2"/>
    <w:rsid w:val="00A3717C"/>
    <w:rsid w:val="00A37428"/>
    <w:rsid w:val="00A3754D"/>
    <w:rsid w:val="00A37607"/>
    <w:rsid w:val="00A3766E"/>
    <w:rsid w:val="00A40096"/>
    <w:rsid w:val="00A4019C"/>
    <w:rsid w:val="00A402E4"/>
    <w:rsid w:val="00A406E1"/>
    <w:rsid w:val="00A4079E"/>
    <w:rsid w:val="00A40B82"/>
    <w:rsid w:val="00A4112B"/>
    <w:rsid w:val="00A412FA"/>
    <w:rsid w:val="00A41321"/>
    <w:rsid w:val="00A41794"/>
    <w:rsid w:val="00A418BF"/>
    <w:rsid w:val="00A41AAD"/>
    <w:rsid w:val="00A41E25"/>
    <w:rsid w:val="00A41F74"/>
    <w:rsid w:val="00A41FD4"/>
    <w:rsid w:val="00A42110"/>
    <w:rsid w:val="00A421B3"/>
    <w:rsid w:val="00A42298"/>
    <w:rsid w:val="00A42408"/>
    <w:rsid w:val="00A424F0"/>
    <w:rsid w:val="00A4265C"/>
    <w:rsid w:val="00A4268D"/>
    <w:rsid w:val="00A42725"/>
    <w:rsid w:val="00A42A1F"/>
    <w:rsid w:val="00A42C6B"/>
    <w:rsid w:val="00A42EE4"/>
    <w:rsid w:val="00A43081"/>
    <w:rsid w:val="00A430F9"/>
    <w:rsid w:val="00A430FB"/>
    <w:rsid w:val="00A435C4"/>
    <w:rsid w:val="00A437BB"/>
    <w:rsid w:val="00A4384C"/>
    <w:rsid w:val="00A43CE2"/>
    <w:rsid w:val="00A43D66"/>
    <w:rsid w:val="00A43E94"/>
    <w:rsid w:val="00A4402D"/>
    <w:rsid w:val="00A44318"/>
    <w:rsid w:val="00A44340"/>
    <w:rsid w:val="00A446E1"/>
    <w:rsid w:val="00A44D6E"/>
    <w:rsid w:val="00A44DAC"/>
    <w:rsid w:val="00A44E3C"/>
    <w:rsid w:val="00A45326"/>
    <w:rsid w:val="00A458C3"/>
    <w:rsid w:val="00A45A2D"/>
    <w:rsid w:val="00A45ADB"/>
    <w:rsid w:val="00A45B81"/>
    <w:rsid w:val="00A45CC5"/>
    <w:rsid w:val="00A45E8E"/>
    <w:rsid w:val="00A46572"/>
    <w:rsid w:val="00A46990"/>
    <w:rsid w:val="00A46F5D"/>
    <w:rsid w:val="00A47570"/>
    <w:rsid w:val="00A475A5"/>
    <w:rsid w:val="00A47820"/>
    <w:rsid w:val="00A478E3"/>
    <w:rsid w:val="00A47926"/>
    <w:rsid w:val="00A47B5C"/>
    <w:rsid w:val="00A47C6B"/>
    <w:rsid w:val="00A47F7D"/>
    <w:rsid w:val="00A47FCD"/>
    <w:rsid w:val="00A50255"/>
    <w:rsid w:val="00A50549"/>
    <w:rsid w:val="00A50AD4"/>
    <w:rsid w:val="00A50AE8"/>
    <w:rsid w:val="00A50B04"/>
    <w:rsid w:val="00A50B30"/>
    <w:rsid w:val="00A50C12"/>
    <w:rsid w:val="00A50FEF"/>
    <w:rsid w:val="00A510B6"/>
    <w:rsid w:val="00A51218"/>
    <w:rsid w:val="00A515F4"/>
    <w:rsid w:val="00A517C0"/>
    <w:rsid w:val="00A51C03"/>
    <w:rsid w:val="00A51D74"/>
    <w:rsid w:val="00A51D92"/>
    <w:rsid w:val="00A51F49"/>
    <w:rsid w:val="00A520B8"/>
    <w:rsid w:val="00A5250D"/>
    <w:rsid w:val="00A526CA"/>
    <w:rsid w:val="00A52762"/>
    <w:rsid w:val="00A5288F"/>
    <w:rsid w:val="00A5298F"/>
    <w:rsid w:val="00A52B39"/>
    <w:rsid w:val="00A531ED"/>
    <w:rsid w:val="00A532E3"/>
    <w:rsid w:val="00A5352F"/>
    <w:rsid w:val="00A5392C"/>
    <w:rsid w:val="00A53D60"/>
    <w:rsid w:val="00A54034"/>
    <w:rsid w:val="00A5421F"/>
    <w:rsid w:val="00A542D1"/>
    <w:rsid w:val="00A54633"/>
    <w:rsid w:val="00A5463E"/>
    <w:rsid w:val="00A5464D"/>
    <w:rsid w:val="00A546A7"/>
    <w:rsid w:val="00A5474C"/>
    <w:rsid w:val="00A54893"/>
    <w:rsid w:val="00A54ACD"/>
    <w:rsid w:val="00A54CA7"/>
    <w:rsid w:val="00A54D31"/>
    <w:rsid w:val="00A54E10"/>
    <w:rsid w:val="00A54F4E"/>
    <w:rsid w:val="00A5509A"/>
    <w:rsid w:val="00A553D5"/>
    <w:rsid w:val="00A553ED"/>
    <w:rsid w:val="00A55441"/>
    <w:rsid w:val="00A5554A"/>
    <w:rsid w:val="00A555D7"/>
    <w:rsid w:val="00A55738"/>
    <w:rsid w:val="00A55751"/>
    <w:rsid w:val="00A557A8"/>
    <w:rsid w:val="00A55959"/>
    <w:rsid w:val="00A55C5E"/>
    <w:rsid w:val="00A56313"/>
    <w:rsid w:val="00A56666"/>
    <w:rsid w:val="00A568FF"/>
    <w:rsid w:val="00A56D51"/>
    <w:rsid w:val="00A57037"/>
    <w:rsid w:val="00A57096"/>
    <w:rsid w:val="00A57105"/>
    <w:rsid w:val="00A5739D"/>
    <w:rsid w:val="00A57AAF"/>
    <w:rsid w:val="00A57CDB"/>
    <w:rsid w:val="00A603B7"/>
    <w:rsid w:val="00A61146"/>
    <w:rsid w:val="00A6119B"/>
    <w:rsid w:val="00A61F82"/>
    <w:rsid w:val="00A623AC"/>
    <w:rsid w:val="00A623BE"/>
    <w:rsid w:val="00A624EB"/>
    <w:rsid w:val="00A624EC"/>
    <w:rsid w:val="00A6296D"/>
    <w:rsid w:val="00A62FA4"/>
    <w:rsid w:val="00A634AA"/>
    <w:rsid w:val="00A6353C"/>
    <w:rsid w:val="00A63629"/>
    <w:rsid w:val="00A6369E"/>
    <w:rsid w:val="00A6379E"/>
    <w:rsid w:val="00A638F4"/>
    <w:rsid w:val="00A63A71"/>
    <w:rsid w:val="00A63C13"/>
    <w:rsid w:val="00A6436C"/>
    <w:rsid w:val="00A64734"/>
    <w:rsid w:val="00A64763"/>
    <w:rsid w:val="00A64769"/>
    <w:rsid w:val="00A64799"/>
    <w:rsid w:val="00A648A4"/>
    <w:rsid w:val="00A65669"/>
    <w:rsid w:val="00A65D7C"/>
    <w:rsid w:val="00A661E8"/>
    <w:rsid w:val="00A66218"/>
    <w:rsid w:val="00A66765"/>
    <w:rsid w:val="00A6679A"/>
    <w:rsid w:val="00A6681F"/>
    <w:rsid w:val="00A66841"/>
    <w:rsid w:val="00A668D0"/>
    <w:rsid w:val="00A66DD6"/>
    <w:rsid w:val="00A67045"/>
    <w:rsid w:val="00A67234"/>
    <w:rsid w:val="00A6732F"/>
    <w:rsid w:val="00A6758E"/>
    <w:rsid w:val="00A67A72"/>
    <w:rsid w:val="00A67B4B"/>
    <w:rsid w:val="00A67ED2"/>
    <w:rsid w:val="00A7007F"/>
    <w:rsid w:val="00A70A63"/>
    <w:rsid w:val="00A713D7"/>
    <w:rsid w:val="00A713F1"/>
    <w:rsid w:val="00A71554"/>
    <w:rsid w:val="00A71C08"/>
    <w:rsid w:val="00A71DE8"/>
    <w:rsid w:val="00A720FB"/>
    <w:rsid w:val="00A7258E"/>
    <w:rsid w:val="00A726A5"/>
    <w:rsid w:val="00A72C04"/>
    <w:rsid w:val="00A7302F"/>
    <w:rsid w:val="00A7321A"/>
    <w:rsid w:val="00A732A3"/>
    <w:rsid w:val="00A7333D"/>
    <w:rsid w:val="00A7334E"/>
    <w:rsid w:val="00A736DE"/>
    <w:rsid w:val="00A737E3"/>
    <w:rsid w:val="00A73BEA"/>
    <w:rsid w:val="00A73C84"/>
    <w:rsid w:val="00A740A7"/>
    <w:rsid w:val="00A740C7"/>
    <w:rsid w:val="00A742D3"/>
    <w:rsid w:val="00A74444"/>
    <w:rsid w:val="00A7444C"/>
    <w:rsid w:val="00A7446A"/>
    <w:rsid w:val="00A74636"/>
    <w:rsid w:val="00A74BEE"/>
    <w:rsid w:val="00A7509B"/>
    <w:rsid w:val="00A7534D"/>
    <w:rsid w:val="00A757A7"/>
    <w:rsid w:val="00A75E2A"/>
    <w:rsid w:val="00A76207"/>
    <w:rsid w:val="00A76735"/>
    <w:rsid w:val="00A767A7"/>
    <w:rsid w:val="00A7681B"/>
    <w:rsid w:val="00A76B80"/>
    <w:rsid w:val="00A76C06"/>
    <w:rsid w:val="00A770FE"/>
    <w:rsid w:val="00A77442"/>
    <w:rsid w:val="00A77575"/>
    <w:rsid w:val="00A7762E"/>
    <w:rsid w:val="00A77682"/>
    <w:rsid w:val="00A776B5"/>
    <w:rsid w:val="00A777A9"/>
    <w:rsid w:val="00A77C62"/>
    <w:rsid w:val="00A77CAA"/>
    <w:rsid w:val="00A77CBD"/>
    <w:rsid w:val="00A77E65"/>
    <w:rsid w:val="00A77F9B"/>
    <w:rsid w:val="00A801A3"/>
    <w:rsid w:val="00A80460"/>
    <w:rsid w:val="00A80521"/>
    <w:rsid w:val="00A808AE"/>
    <w:rsid w:val="00A8092A"/>
    <w:rsid w:val="00A80C52"/>
    <w:rsid w:val="00A80E2B"/>
    <w:rsid w:val="00A80ECC"/>
    <w:rsid w:val="00A81101"/>
    <w:rsid w:val="00A81186"/>
    <w:rsid w:val="00A811BE"/>
    <w:rsid w:val="00A81773"/>
    <w:rsid w:val="00A818BE"/>
    <w:rsid w:val="00A81AD0"/>
    <w:rsid w:val="00A81CD7"/>
    <w:rsid w:val="00A81F95"/>
    <w:rsid w:val="00A82074"/>
    <w:rsid w:val="00A82400"/>
    <w:rsid w:val="00A8265D"/>
    <w:rsid w:val="00A82674"/>
    <w:rsid w:val="00A826DC"/>
    <w:rsid w:val="00A82731"/>
    <w:rsid w:val="00A827C8"/>
    <w:rsid w:val="00A82918"/>
    <w:rsid w:val="00A82C3C"/>
    <w:rsid w:val="00A82D5B"/>
    <w:rsid w:val="00A8305E"/>
    <w:rsid w:val="00A832A1"/>
    <w:rsid w:val="00A8366A"/>
    <w:rsid w:val="00A83835"/>
    <w:rsid w:val="00A838E8"/>
    <w:rsid w:val="00A839BD"/>
    <w:rsid w:val="00A83DFF"/>
    <w:rsid w:val="00A83E52"/>
    <w:rsid w:val="00A84412"/>
    <w:rsid w:val="00A845D4"/>
    <w:rsid w:val="00A8473A"/>
    <w:rsid w:val="00A8490F"/>
    <w:rsid w:val="00A8496A"/>
    <w:rsid w:val="00A8515A"/>
    <w:rsid w:val="00A85271"/>
    <w:rsid w:val="00A85318"/>
    <w:rsid w:val="00A853B0"/>
    <w:rsid w:val="00A85947"/>
    <w:rsid w:val="00A859D5"/>
    <w:rsid w:val="00A85A71"/>
    <w:rsid w:val="00A85C86"/>
    <w:rsid w:val="00A85CD0"/>
    <w:rsid w:val="00A85D0F"/>
    <w:rsid w:val="00A862A1"/>
    <w:rsid w:val="00A862C2"/>
    <w:rsid w:val="00A864CB"/>
    <w:rsid w:val="00A866A7"/>
    <w:rsid w:val="00A86E64"/>
    <w:rsid w:val="00A86E7F"/>
    <w:rsid w:val="00A87050"/>
    <w:rsid w:val="00A870FA"/>
    <w:rsid w:val="00A874F4"/>
    <w:rsid w:val="00A87502"/>
    <w:rsid w:val="00A876E0"/>
    <w:rsid w:val="00A87C31"/>
    <w:rsid w:val="00A87D36"/>
    <w:rsid w:val="00A90274"/>
    <w:rsid w:val="00A90338"/>
    <w:rsid w:val="00A90B20"/>
    <w:rsid w:val="00A90CB2"/>
    <w:rsid w:val="00A90CDF"/>
    <w:rsid w:val="00A90DA3"/>
    <w:rsid w:val="00A90FA4"/>
    <w:rsid w:val="00A9143D"/>
    <w:rsid w:val="00A91585"/>
    <w:rsid w:val="00A91632"/>
    <w:rsid w:val="00A91E18"/>
    <w:rsid w:val="00A91EED"/>
    <w:rsid w:val="00A92237"/>
    <w:rsid w:val="00A9248D"/>
    <w:rsid w:val="00A927EA"/>
    <w:rsid w:val="00A92C27"/>
    <w:rsid w:val="00A92F27"/>
    <w:rsid w:val="00A931C6"/>
    <w:rsid w:val="00A93874"/>
    <w:rsid w:val="00A938FA"/>
    <w:rsid w:val="00A93BAB"/>
    <w:rsid w:val="00A93E86"/>
    <w:rsid w:val="00A93F15"/>
    <w:rsid w:val="00A93FC3"/>
    <w:rsid w:val="00A94594"/>
    <w:rsid w:val="00A947BE"/>
    <w:rsid w:val="00A9480D"/>
    <w:rsid w:val="00A94A21"/>
    <w:rsid w:val="00A95283"/>
    <w:rsid w:val="00A95491"/>
    <w:rsid w:val="00A95504"/>
    <w:rsid w:val="00A9565D"/>
    <w:rsid w:val="00A958A8"/>
    <w:rsid w:val="00A95AE8"/>
    <w:rsid w:val="00A95B6C"/>
    <w:rsid w:val="00A9621E"/>
    <w:rsid w:val="00A963F0"/>
    <w:rsid w:val="00A96ADE"/>
    <w:rsid w:val="00A96E08"/>
    <w:rsid w:val="00A96F0D"/>
    <w:rsid w:val="00A971AE"/>
    <w:rsid w:val="00A97292"/>
    <w:rsid w:val="00A97410"/>
    <w:rsid w:val="00A9795F"/>
    <w:rsid w:val="00A97968"/>
    <w:rsid w:val="00A97A70"/>
    <w:rsid w:val="00AA008B"/>
    <w:rsid w:val="00AA042F"/>
    <w:rsid w:val="00AA056E"/>
    <w:rsid w:val="00AA0581"/>
    <w:rsid w:val="00AA0630"/>
    <w:rsid w:val="00AA0768"/>
    <w:rsid w:val="00AA0B2B"/>
    <w:rsid w:val="00AA1195"/>
    <w:rsid w:val="00AA161F"/>
    <w:rsid w:val="00AA17EF"/>
    <w:rsid w:val="00AA18C5"/>
    <w:rsid w:val="00AA1BB6"/>
    <w:rsid w:val="00AA1D32"/>
    <w:rsid w:val="00AA20D7"/>
    <w:rsid w:val="00AA2152"/>
    <w:rsid w:val="00AA237D"/>
    <w:rsid w:val="00AA2BD6"/>
    <w:rsid w:val="00AA2D27"/>
    <w:rsid w:val="00AA2D68"/>
    <w:rsid w:val="00AA2E87"/>
    <w:rsid w:val="00AA31E8"/>
    <w:rsid w:val="00AA3281"/>
    <w:rsid w:val="00AA346D"/>
    <w:rsid w:val="00AA34B5"/>
    <w:rsid w:val="00AA38CA"/>
    <w:rsid w:val="00AA38D4"/>
    <w:rsid w:val="00AA3BD9"/>
    <w:rsid w:val="00AA4302"/>
    <w:rsid w:val="00AA4314"/>
    <w:rsid w:val="00AA43D0"/>
    <w:rsid w:val="00AA44A0"/>
    <w:rsid w:val="00AA44DC"/>
    <w:rsid w:val="00AA45D3"/>
    <w:rsid w:val="00AA45EE"/>
    <w:rsid w:val="00AA4870"/>
    <w:rsid w:val="00AA4AD6"/>
    <w:rsid w:val="00AA4DBC"/>
    <w:rsid w:val="00AA4E1E"/>
    <w:rsid w:val="00AA4F97"/>
    <w:rsid w:val="00AA5142"/>
    <w:rsid w:val="00AA51FB"/>
    <w:rsid w:val="00AA543B"/>
    <w:rsid w:val="00AA559E"/>
    <w:rsid w:val="00AA5794"/>
    <w:rsid w:val="00AA6030"/>
    <w:rsid w:val="00AA6170"/>
    <w:rsid w:val="00AA6444"/>
    <w:rsid w:val="00AA6453"/>
    <w:rsid w:val="00AA655F"/>
    <w:rsid w:val="00AA6902"/>
    <w:rsid w:val="00AA692E"/>
    <w:rsid w:val="00AA6E86"/>
    <w:rsid w:val="00AA6F2D"/>
    <w:rsid w:val="00AA7337"/>
    <w:rsid w:val="00AA7552"/>
    <w:rsid w:val="00AA7598"/>
    <w:rsid w:val="00AA75DE"/>
    <w:rsid w:val="00AA75F8"/>
    <w:rsid w:val="00AA7ABE"/>
    <w:rsid w:val="00AA7AE0"/>
    <w:rsid w:val="00AA7D9F"/>
    <w:rsid w:val="00AA7DAC"/>
    <w:rsid w:val="00AA7E4D"/>
    <w:rsid w:val="00AA7F22"/>
    <w:rsid w:val="00AB002C"/>
    <w:rsid w:val="00AB037F"/>
    <w:rsid w:val="00AB0392"/>
    <w:rsid w:val="00AB03EB"/>
    <w:rsid w:val="00AB05A4"/>
    <w:rsid w:val="00AB075F"/>
    <w:rsid w:val="00AB07A6"/>
    <w:rsid w:val="00AB0865"/>
    <w:rsid w:val="00AB0A91"/>
    <w:rsid w:val="00AB0D2D"/>
    <w:rsid w:val="00AB1100"/>
    <w:rsid w:val="00AB113D"/>
    <w:rsid w:val="00AB11A3"/>
    <w:rsid w:val="00AB1248"/>
    <w:rsid w:val="00AB1503"/>
    <w:rsid w:val="00AB15F2"/>
    <w:rsid w:val="00AB1915"/>
    <w:rsid w:val="00AB1C16"/>
    <w:rsid w:val="00AB1E31"/>
    <w:rsid w:val="00AB202A"/>
    <w:rsid w:val="00AB2179"/>
    <w:rsid w:val="00AB2265"/>
    <w:rsid w:val="00AB2730"/>
    <w:rsid w:val="00AB27DC"/>
    <w:rsid w:val="00AB2BC8"/>
    <w:rsid w:val="00AB2C2E"/>
    <w:rsid w:val="00AB2E06"/>
    <w:rsid w:val="00AB2F1D"/>
    <w:rsid w:val="00AB3354"/>
    <w:rsid w:val="00AB3423"/>
    <w:rsid w:val="00AB34F1"/>
    <w:rsid w:val="00AB38BE"/>
    <w:rsid w:val="00AB3A3C"/>
    <w:rsid w:val="00AB3D25"/>
    <w:rsid w:val="00AB3DF3"/>
    <w:rsid w:val="00AB4291"/>
    <w:rsid w:val="00AB44AA"/>
    <w:rsid w:val="00AB452C"/>
    <w:rsid w:val="00AB4785"/>
    <w:rsid w:val="00AB48AB"/>
    <w:rsid w:val="00AB4D4E"/>
    <w:rsid w:val="00AB5171"/>
    <w:rsid w:val="00AB54B1"/>
    <w:rsid w:val="00AB5545"/>
    <w:rsid w:val="00AB584C"/>
    <w:rsid w:val="00AB5E8D"/>
    <w:rsid w:val="00AB639B"/>
    <w:rsid w:val="00AB648F"/>
    <w:rsid w:val="00AB6540"/>
    <w:rsid w:val="00AB6751"/>
    <w:rsid w:val="00AB692C"/>
    <w:rsid w:val="00AB694C"/>
    <w:rsid w:val="00AB6A47"/>
    <w:rsid w:val="00AB6CD9"/>
    <w:rsid w:val="00AB6CE8"/>
    <w:rsid w:val="00AB73B4"/>
    <w:rsid w:val="00AB774E"/>
    <w:rsid w:val="00AB78FE"/>
    <w:rsid w:val="00AB7C92"/>
    <w:rsid w:val="00AB7D2D"/>
    <w:rsid w:val="00AB7FAE"/>
    <w:rsid w:val="00AC0094"/>
    <w:rsid w:val="00AC0099"/>
    <w:rsid w:val="00AC010F"/>
    <w:rsid w:val="00AC03D3"/>
    <w:rsid w:val="00AC04B7"/>
    <w:rsid w:val="00AC0545"/>
    <w:rsid w:val="00AC054B"/>
    <w:rsid w:val="00AC07F0"/>
    <w:rsid w:val="00AC0A17"/>
    <w:rsid w:val="00AC1183"/>
    <w:rsid w:val="00AC1309"/>
    <w:rsid w:val="00AC1787"/>
    <w:rsid w:val="00AC17E5"/>
    <w:rsid w:val="00AC18F6"/>
    <w:rsid w:val="00AC1D44"/>
    <w:rsid w:val="00AC2165"/>
    <w:rsid w:val="00AC21C2"/>
    <w:rsid w:val="00AC22B8"/>
    <w:rsid w:val="00AC24D6"/>
    <w:rsid w:val="00AC2614"/>
    <w:rsid w:val="00AC263E"/>
    <w:rsid w:val="00AC27C8"/>
    <w:rsid w:val="00AC2BC6"/>
    <w:rsid w:val="00AC2C1B"/>
    <w:rsid w:val="00AC2D85"/>
    <w:rsid w:val="00AC2F88"/>
    <w:rsid w:val="00AC2FAA"/>
    <w:rsid w:val="00AC2FFC"/>
    <w:rsid w:val="00AC348F"/>
    <w:rsid w:val="00AC353B"/>
    <w:rsid w:val="00AC3ACC"/>
    <w:rsid w:val="00AC3B19"/>
    <w:rsid w:val="00AC3BD5"/>
    <w:rsid w:val="00AC42A3"/>
    <w:rsid w:val="00AC4507"/>
    <w:rsid w:val="00AC4627"/>
    <w:rsid w:val="00AC462C"/>
    <w:rsid w:val="00AC47F3"/>
    <w:rsid w:val="00AC48E9"/>
    <w:rsid w:val="00AC4972"/>
    <w:rsid w:val="00AC5204"/>
    <w:rsid w:val="00AC52B1"/>
    <w:rsid w:val="00AC53A6"/>
    <w:rsid w:val="00AC54DF"/>
    <w:rsid w:val="00AC59FC"/>
    <w:rsid w:val="00AC5AE0"/>
    <w:rsid w:val="00AC5BA3"/>
    <w:rsid w:val="00AC5C48"/>
    <w:rsid w:val="00AC5CFD"/>
    <w:rsid w:val="00AC5D70"/>
    <w:rsid w:val="00AC609F"/>
    <w:rsid w:val="00AC655C"/>
    <w:rsid w:val="00AC6745"/>
    <w:rsid w:val="00AC680A"/>
    <w:rsid w:val="00AC6C19"/>
    <w:rsid w:val="00AC6E3D"/>
    <w:rsid w:val="00AC6F93"/>
    <w:rsid w:val="00AC76FD"/>
    <w:rsid w:val="00AC76FF"/>
    <w:rsid w:val="00AC7753"/>
    <w:rsid w:val="00AC7773"/>
    <w:rsid w:val="00AC7814"/>
    <w:rsid w:val="00AC7836"/>
    <w:rsid w:val="00AC7C0B"/>
    <w:rsid w:val="00AC7E58"/>
    <w:rsid w:val="00AC7EA2"/>
    <w:rsid w:val="00AD0080"/>
    <w:rsid w:val="00AD030A"/>
    <w:rsid w:val="00AD0419"/>
    <w:rsid w:val="00AD0420"/>
    <w:rsid w:val="00AD04F5"/>
    <w:rsid w:val="00AD07B5"/>
    <w:rsid w:val="00AD0E8A"/>
    <w:rsid w:val="00AD0FF0"/>
    <w:rsid w:val="00AD12B6"/>
    <w:rsid w:val="00AD1A66"/>
    <w:rsid w:val="00AD20CC"/>
    <w:rsid w:val="00AD28CC"/>
    <w:rsid w:val="00AD294D"/>
    <w:rsid w:val="00AD2BAE"/>
    <w:rsid w:val="00AD2C68"/>
    <w:rsid w:val="00AD2DA6"/>
    <w:rsid w:val="00AD2ECE"/>
    <w:rsid w:val="00AD33C4"/>
    <w:rsid w:val="00AD346B"/>
    <w:rsid w:val="00AD37A6"/>
    <w:rsid w:val="00AD38CA"/>
    <w:rsid w:val="00AD3D46"/>
    <w:rsid w:val="00AD3E9D"/>
    <w:rsid w:val="00AD4025"/>
    <w:rsid w:val="00AD40D7"/>
    <w:rsid w:val="00AD41B7"/>
    <w:rsid w:val="00AD4230"/>
    <w:rsid w:val="00AD466D"/>
    <w:rsid w:val="00AD49DF"/>
    <w:rsid w:val="00AD4BCF"/>
    <w:rsid w:val="00AD53E0"/>
    <w:rsid w:val="00AD54FB"/>
    <w:rsid w:val="00AD5690"/>
    <w:rsid w:val="00AD5A26"/>
    <w:rsid w:val="00AD5BFE"/>
    <w:rsid w:val="00AD5E46"/>
    <w:rsid w:val="00AD6505"/>
    <w:rsid w:val="00AD6B28"/>
    <w:rsid w:val="00AD6D41"/>
    <w:rsid w:val="00AD6F9B"/>
    <w:rsid w:val="00AD6FB1"/>
    <w:rsid w:val="00AD6FE9"/>
    <w:rsid w:val="00AD729A"/>
    <w:rsid w:val="00AD72DA"/>
    <w:rsid w:val="00AD77E3"/>
    <w:rsid w:val="00AD78ED"/>
    <w:rsid w:val="00AD7D19"/>
    <w:rsid w:val="00AD7D5F"/>
    <w:rsid w:val="00AD7F56"/>
    <w:rsid w:val="00AE015A"/>
    <w:rsid w:val="00AE03C3"/>
    <w:rsid w:val="00AE04FD"/>
    <w:rsid w:val="00AE0571"/>
    <w:rsid w:val="00AE0589"/>
    <w:rsid w:val="00AE05B2"/>
    <w:rsid w:val="00AE0A91"/>
    <w:rsid w:val="00AE1034"/>
    <w:rsid w:val="00AE1168"/>
    <w:rsid w:val="00AE13A5"/>
    <w:rsid w:val="00AE185D"/>
    <w:rsid w:val="00AE1876"/>
    <w:rsid w:val="00AE18FC"/>
    <w:rsid w:val="00AE1E4F"/>
    <w:rsid w:val="00AE221A"/>
    <w:rsid w:val="00AE22D2"/>
    <w:rsid w:val="00AE234F"/>
    <w:rsid w:val="00AE25C3"/>
    <w:rsid w:val="00AE27E6"/>
    <w:rsid w:val="00AE288A"/>
    <w:rsid w:val="00AE2A78"/>
    <w:rsid w:val="00AE2BB2"/>
    <w:rsid w:val="00AE2C36"/>
    <w:rsid w:val="00AE2D03"/>
    <w:rsid w:val="00AE2DF9"/>
    <w:rsid w:val="00AE2E70"/>
    <w:rsid w:val="00AE2FA8"/>
    <w:rsid w:val="00AE30BD"/>
    <w:rsid w:val="00AE322A"/>
    <w:rsid w:val="00AE371D"/>
    <w:rsid w:val="00AE38DB"/>
    <w:rsid w:val="00AE3FF2"/>
    <w:rsid w:val="00AE4310"/>
    <w:rsid w:val="00AE449D"/>
    <w:rsid w:val="00AE44CC"/>
    <w:rsid w:val="00AE45BE"/>
    <w:rsid w:val="00AE48E1"/>
    <w:rsid w:val="00AE4B9C"/>
    <w:rsid w:val="00AE4C3D"/>
    <w:rsid w:val="00AE4C7B"/>
    <w:rsid w:val="00AE4CFC"/>
    <w:rsid w:val="00AE4EC0"/>
    <w:rsid w:val="00AE5313"/>
    <w:rsid w:val="00AE56FD"/>
    <w:rsid w:val="00AE58CE"/>
    <w:rsid w:val="00AE5BE6"/>
    <w:rsid w:val="00AE5CB3"/>
    <w:rsid w:val="00AE6102"/>
    <w:rsid w:val="00AE64B1"/>
    <w:rsid w:val="00AE657B"/>
    <w:rsid w:val="00AE66FC"/>
    <w:rsid w:val="00AE69E1"/>
    <w:rsid w:val="00AE6CFD"/>
    <w:rsid w:val="00AE6F3F"/>
    <w:rsid w:val="00AE7816"/>
    <w:rsid w:val="00AE7B02"/>
    <w:rsid w:val="00AE7C13"/>
    <w:rsid w:val="00AE7F36"/>
    <w:rsid w:val="00AF0337"/>
    <w:rsid w:val="00AF047A"/>
    <w:rsid w:val="00AF0651"/>
    <w:rsid w:val="00AF0761"/>
    <w:rsid w:val="00AF0788"/>
    <w:rsid w:val="00AF08B6"/>
    <w:rsid w:val="00AF0903"/>
    <w:rsid w:val="00AF0E62"/>
    <w:rsid w:val="00AF106C"/>
    <w:rsid w:val="00AF12F8"/>
    <w:rsid w:val="00AF16EB"/>
    <w:rsid w:val="00AF18DF"/>
    <w:rsid w:val="00AF1D65"/>
    <w:rsid w:val="00AF1F82"/>
    <w:rsid w:val="00AF271E"/>
    <w:rsid w:val="00AF27D9"/>
    <w:rsid w:val="00AF29AE"/>
    <w:rsid w:val="00AF2B1F"/>
    <w:rsid w:val="00AF3187"/>
    <w:rsid w:val="00AF3208"/>
    <w:rsid w:val="00AF32CC"/>
    <w:rsid w:val="00AF3555"/>
    <w:rsid w:val="00AF3624"/>
    <w:rsid w:val="00AF3C04"/>
    <w:rsid w:val="00AF4362"/>
    <w:rsid w:val="00AF44B4"/>
    <w:rsid w:val="00AF46A5"/>
    <w:rsid w:val="00AF46CF"/>
    <w:rsid w:val="00AF4706"/>
    <w:rsid w:val="00AF480C"/>
    <w:rsid w:val="00AF491E"/>
    <w:rsid w:val="00AF492A"/>
    <w:rsid w:val="00AF4AC0"/>
    <w:rsid w:val="00AF4C25"/>
    <w:rsid w:val="00AF4D85"/>
    <w:rsid w:val="00AF4EAC"/>
    <w:rsid w:val="00AF4FC0"/>
    <w:rsid w:val="00AF53BE"/>
    <w:rsid w:val="00AF5401"/>
    <w:rsid w:val="00AF5937"/>
    <w:rsid w:val="00AF5C4C"/>
    <w:rsid w:val="00AF5C6B"/>
    <w:rsid w:val="00AF6147"/>
    <w:rsid w:val="00AF6184"/>
    <w:rsid w:val="00AF634B"/>
    <w:rsid w:val="00AF6350"/>
    <w:rsid w:val="00AF6600"/>
    <w:rsid w:val="00AF665F"/>
    <w:rsid w:val="00AF674E"/>
    <w:rsid w:val="00AF6885"/>
    <w:rsid w:val="00AF6E14"/>
    <w:rsid w:val="00AF6E56"/>
    <w:rsid w:val="00AF70DD"/>
    <w:rsid w:val="00AF71ED"/>
    <w:rsid w:val="00AF75DE"/>
    <w:rsid w:val="00AF7B0A"/>
    <w:rsid w:val="00AF7B60"/>
    <w:rsid w:val="00AF7C39"/>
    <w:rsid w:val="00AF7EE2"/>
    <w:rsid w:val="00B00309"/>
    <w:rsid w:val="00B006DB"/>
    <w:rsid w:val="00B00AFA"/>
    <w:rsid w:val="00B00CAF"/>
    <w:rsid w:val="00B00DC0"/>
    <w:rsid w:val="00B0106B"/>
    <w:rsid w:val="00B0107E"/>
    <w:rsid w:val="00B010BE"/>
    <w:rsid w:val="00B0132F"/>
    <w:rsid w:val="00B01344"/>
    <w:rsid w:val="00B01411"/>
    <w:rsid w:val="00B01590"/>
    <w:rsid w:val="00B016B3"/>
    <w:rsid w:val="00B01E57"/>
    <w:rsid w:val="00B01EEA"/>
    <w:rsid w:val="00B024C2"/>
    <w:rsid w:val="00B02976"/>
    <w:rsid w:val="00B029BC"/>
    <w:rsid w:val="00B02BDB"/>
    <w:rsid w:val="00B02D63"/>
    <w:rsid w:val="00B037B6"/>
    <w:rsid w:val="00B0384B"/>
    <w:rsid w:val="00B03932"/>
    <w:rsid w:val="00B03B6B"/>
    <w:rsid w:val="00B03C5B"/>
    <w:rsid w:val="00B03D44"/>
    <w:rsid w:val="00B03E23"/>
    <w:rsid w:val="00B03EB2"/>
    <w:rsid w:val="00B04131"/>
    <w:rsid w:val="00B04250"/>
    <w:rsid w:val="00B04266"/>
    <w:rsid w:val="00B043B0"/>
    <w:rsid w:val="00B0441E"/>
    <w:rsid w:val="00B04538"/>
    <w:rsid w:val="00B045FB"/>
    <w:rsid w:val="00B04739"/>
    <w:rsid w:val="00B04AD6"/>
    <w:rsid w:val="00B04C42"/>
    <w:rsid w:val="00B04C72"/>
    <w:rsid w:val="00B050AF"/>
    <w:rsid w:val="00B0513F"/>
    <w:rsid w:val="00B053F1"/>
    <w:rsid w:val="00B0542F"/>
    <w:rsid w:val="00B0559D"/>
    <w:rsid w:val="00B0583F"/>
    <w:rsid w:val="00B05ADE"/>
    <w:rsid w:val="00B05B7B"/>
    <w:rsid w:val="00B05ED6"/>
    <w:rsid w:val="00B06140"/>
    <w:rsid w:val="00B06304"/>
    <w:rsid w:val="00B0637E"/>
    <w:rsid w:val="00B06555"/>
    <w:rsid w:val="00B06774"/>
    <w:rsid w:val="00B06A1E"/>
    <w:rsid w:val="00B06C8E"/>
    <w:rsid w:val="00B06D5C"/>
    <w:rsid w:val="00B075C6"/>
    <w:rsid w:val="00B0760B"/>
    <w:rsid w:val="00B076FB"/>
    <w:rsid w:val="00B07880"/>
    <w:rsid w:val="00B07984"/>
    <w:rsid w:val="00B07C2B"/>
    <w:rsid w:val="00B10548"/>
    <w:rsid w:val="00B10936"/>
    <w:rsid w:val="00B109EA"/>
    <w:rsid w:val="00B10A34"/>
    <w:rsid w:val="00B10D3F"/>
    <w:rsid w:val="00B1106C"/>
    <w:rsid w:val="00B1107F"/>
    <w:rsid w:val="00B1111E"/>
    <w:rsid w:val="00B1163B"/>
    <w:rsid w:val="00B116BE"/>
    <w:rsid w:val="00B11732"/>
    <w:rsid w:val="00B11B59"/>
    <w:rsid w:val="00B11BBD"/>
    <w:rsid w:val="00B11EDC"/>
    <w:rsid w:val="00B120A8"/>
    <w:rsid w:val="00B120BD"/>
    <w:rsid w:val="00B1215C"/>
    <w:rsid w:val="00B124A3"/>
    <w:rsid w:val="00B126CC"/>
    <w:rsid w:val="00B12744"/>
    <w:rsid w:val="00B127FA"/>
    <w:rsid w:val="00B12DBF"/>
    <w:rsid w:val="00B12EB2"/>
    <w:rsid w:val="00B133B1"/>
    <w:rsid w:val="00B134EF"/>
    <w:rsid w:val="00B136F1"/>
    <w:rsid w:val="00B13718"/>
    <w:rsid w:val="00B138A9"/>
    <w:rsid w:val="00B13B9E"/>
    <w:rsid w:val="00B13C0B"/>
    <w:rsid w:val="00B14279"/>
    <w:rsid w:val="00B1428D"/>
    <w:rsid w:val="00B14367"/>
    <w:rsid w:val="00B14873"/>
    <w:rsid w:val="00B14897"/>
    <w:rsid w:val="00B148EC"/>
    <w:rsid w:val="00B14970"/>
    <w:rsid w:val="00B14DA6"/>
    <w:rsid w:val="00B14DD7"/>
    <w:rsid w:val="00B14E8E"/>
    <w:rsid w:val="00B14EB8"/>
    <w:rsid w:val="00B14EF8"/>
    <w:rsid w:val="00B15106"/>
    <w:rsid w:val="00B15399"/>
    <w:rsid w:val="00B153A2"/>
    <w:rsid w:val="00B153E3"/>
    <w:rsid w:val="00B1542B"/>
    <w:rsid w:val="00B1553B"/>
    <w:rsid w:val="00B15544"/>
    <w:rsid w:val="00B155AF"/>
    <w:rsid w:val="00B158A8"/>
    <w:rsid w:val="00B1591D"/>
    <w:rsid w:val="00B15ED0"/>
    <w:rsid w:val="00B15F36"/>
    <w:rsid w:val="00B15FD0"/>
    <w:rsid w:val="00B16054"/>
    <w:rsid w:val="00B16055"/>
    <w:rsid w:val="00B160E4"/>
    <w:rsid w:val="00B164CC"/>
    <w:rsid w:val="00B165AE"/>
    <w:rsid w:val="00B16875"/>
    <w:rsid w:val="00B1688F"/>
    <w:rsid w:val="00B169AC"/>
    <w:rsid w:val="00B16A91"/>
    <w:rsid w:val="00B16B12"/>
    <w:rsid w:val="00B16DAA"/>
    <w:rsid w:val="00B170A7"/>
    <w:rsid w:val="00B1777F"/>
    <w:rsid w:val="00B1789C"/>
    <w:rsid w:val="00B17BD7"/>
    <w:rsid w:val="00B203B6"/>
    <w:rsid w:val="00B2073E"/>
    <w:rsid w:val="00B20747"/>
    <w:rsid w:val="00B2087D"/>
    <w:rsid w:val="00B20C65"/>
    <w:rsid w:val="00B213FE"/>
    <w:rsid w:val="00B21706"/>
    <w:rsid w:val="00B219F8"/>
    <w:rsid w:val="00B21D2E"/>
    <w:rsid w:val="00B21DBC"/>
    <w:rsid w:val="00B21EFA"/>
    <w:rsid w:val="00B225C1"/>
    <w:rsid w:val="00B22D1C"/>
    <w:rsid w:val="00B22E02"/>
    <w:rsid w:val="00B23022"/>
    <w:rsid w:val="00B2310F"/>
    <w:rsid w:val="00B23134"/>
    <w:rsid w:val="00B23329"/>
    <w:rsid w:val="00B23504"/>
    <w:rsid w:val="00B2351C"/>
    <w:rsid w:val="00B236CD"/>
    <w:rsid w:val="00B23849"/>
    <w:rsid w:val="00B23854"/>
    <w:rsid w:val="00B2391A"/>
    <w:rsid w:val="00B23A67"/>
    <w:rsid w:val="00B241A2"/>
    <w:rsid w:val="00B24219"/>
    <w:rsid w:val="00B2442F"/>
    <w:rsid w:val="00B2464E"/>
    <w:rsid w:val="00B247F3"/>
    <w:rsid w:val="00B24918"/>
    <w:rsid w:val="00B24AAF"/>
    <w:rsid w:val="00B24E30"/>
    <w:rsid w:val="00B24F5A"/>
    <w:rsid w:val="00B254F8"/>
    <w:rsid w:val="00B25853"/>
    <w:rsid w:val="00B25B15"/>
    <w:rsid w:val="00B25C2C"/>
    <w:rsid w:val="00B25EA0"/>
    <w:rsid w:val="00B26214"/>
    <w:rsid w:val="00B262B8"/>
    <w:rsid w:val="00B26378"/>
    <w:rsid w:val="00B26E5D"/>
    <w:rsid w:val="00B27127"/>
    <w:rsid w:val="00B275E5"/>
    <w:rsid w:val="00B2760C"/>
    <w:rsid w:val="00B27669"/>
    <w:rsid w:val="00B277F6"/>
    <w:rsid w:val="00B27A46"/>
    <w:rsid w:val="00B27A63"/>
    <w:rsid w:val="00B27AFD"/>
    <w:rsid w:val="00B27B9B"/>
    <w:rsid w:val="00B27CCA"/>
    <w:rsid w:val="00B27DF3"/>
    <w:rsid w:val="00B30048"/>
    <w:rsid w:val="00B302BA"/>
    <w:rsid w:val="00B3065F"/>
    <w:rsid w:val="00B30AD0"/>
    <w:rsid w:val="00B30B65"/>
    <w:rsid w:val="00B30D30"/>
    <w:rsid w:val="00B30E1E"/>
    <w:rsid w:val="00B30F20"/>
    <w:rsid w:val="00B3143D"/>
    <w:rsid w:val="00B3158B"/>
    <w:rsid w:val="00B315B0"/>
    <w:rsid w:val="00B317FA"/>
    <w:rsid w:val="00B31B1C"/>
    <w:rsid w:val="00B31B90"/>
    <w:rsid w:val="00B31D8A"/>
    <w:rsid w:val="00B31E5B"/>
    <w:rsid w:val="00B31E6D"/>
    <w:rsid w:val="00B32238"/>
    <w:rsid w:val="00B3226B"/>
    <w:rsid w:val="00B32433"/>
    <w:rsid w:val="00B3248B"/>
    <w:rsid w:val="00B326B0"/>
    <w:rsid w:val="00B32956"/>
    <w:rsid w:val="00B329C7"/>
    <w:rsid w:val="00B32A4E"/>
    <w:rsid w:val="00B32ABE"/>
    <w:rsid w:val="00B32C4B"/>
    <w:rsid w:val="00B32CB9"/>
    <w:rsid w:val="00B32D01"/>
    <w:rsid w:val="00B3325C"/>
    <w:rsid w:val="00B33A46"/>
    <w:rsid w:val="00B33BFA"/>
    <w:rsid w:val="00B33C2C"/>
    <w:rsid w:val="00B33CC3"/>
    <w:rsid w:val="00B33D07"/>
    <w:rsid w:val="00B33EB0"/>
    <w:rsid w:val="00B340EA"/>
    <w:rsid w:val="00B3412C"/>
    <w:rsid w:val="00B343C0"/>
    <w:rsid w:val="00B344ED"/>
    <w:rsid w:val="00B34854"/>
    <w:rsid w:val="00B353D8"/>
    <w:rsid w:val="00B3546B"/>
    <w:rsid w:val="00B35501"/>
    <w:rsid w:val="00B356FD"/>
    <w:rsid w:val="00B35C28"/>
    <w:rsid w:val="00B35C53"/>
    <w:rsid w:val="00B36292"/>
    <w:rsid w:val="00B3637A"/>
    <w:rsid w:val="00B3657B"/>
    <w:rsid w:val="00B3693C"/>
    <w:rsid w:val="00B36A0B"/>
    <w:rsid w:val="00B36BFB"/>
    <w:rsid w:val="00B37040"/>
    <w:rsid w:val="00B370DF"/>
    <w:rsid w:val="00B3717A"/>
    <w:rsid w:val="00B372E8"/>
    <w:rsid w:val="00B3738E"/>
    <w:rsid w:val="00B3742E"/>
    <w:rsid w:val="00B37529"/>
    <w:rsid w:val="00B3760E"/>
    <w:rsid w:val="00B3767E"/>
    <w:rsid w:val="00B378B4"/>
    <w:rsid w:val="00B37ADB"/>
    <w:rsid w:val="00B37E3E"/>
    <w:rsid w:val="00B37E61"/>
    <w:rsid w:val="00B40093"/>
    <w:rsid w:val="00B400DF"/>
    <w:rsid w:val="00B4037C"/>
    <w:rsid w:val="00B406DF"/>
    <w:rsid w:val="00B40730"/>
    <w:rsid w:val="00B40811"/>
    <w:rsid w:val="00B408BA"/>
    <w:rsid w:val="00B408CA"/>
    <w:rsid w:val="00B41280"/>
    <w:rsid w:val="00B41686"/>
    <w:rsid w:val="00B417B6"/>
    <w:rsid w:val="00B4197E"/>
    <w:rsid w:val="00B42014"/>
    <w:rsid w:val="00B42406"/>
    <w:rsid w:val="00B42536"/>
    <w:rsid w:val="00B42C0A"/>
    <w:rsid w:val="00B42C47"/>
    <w:rsid w:val="00B42E4D"/>
    <w:rsid w:val="00B43210"/>
    <w:rsid w:val="00B435EB"/>
    <w:rsid w:val="00B43737"/>
    <w:rsid w:val="00B437E1"/>
    <w:rsid w:val="00B43D7B"/>
    <w:rsid w:val="00B43DBA"/>
    <w:rsid w:val="00B442D9"/>
    <w:rsid w:val="00B44410"/>
    <w:rsid w:val="00B44558"/>
    <w:rsid w:val="00B44803"/>
    <w:rsid w:val="00B44ACB"/>
    <w:rsid w:val="00B44AFC"/>
    <w:rsid w:val="00B44B81"/>
    <w:rsid w:val="00B450FD"/>
    <w:rsid w:val="00B4549B"/>
    <w:rsid w:val="00B454D1"/>
    <w:rsid w:val="00B45646"/>
    <w:rsid w:val="00B45812"/>
    <w:rsid w:val="00B45DA3"/>
    <w:rsid w:val="00B45F8F"/>
    <w:rsid w:val="00B45FFE"/>
    <w:rsid w:val="00B4614B"/>
    <w:rsid w:val="00B46345"/>
    <w:rsid w:val="00B4634C"/>
    <w:rsid w:val="00B4656C"/>
    <w:rsid w:val="00B46646"/>
    <w:rsid w:val="00B46657"/>
    <w:rsid w:val="00B4692B"/>
    <w:rsid w:val="00B469E9"/>
    <w:rsid w:val="00B46A8D"/>
    <w:rsid w:val="00B46C4C"/>
    <w:rsid w:val="00B47161"/>
    <w:rsid w:val="00B476D2"/>
    <w:rsid w:val="00B47BD9"/>
    <w:rsid w:val="00B50A45"/>
    <w:rsid w:val="00B50AA6"/>
    <w:rsid w:val="00B50C1E"/>
    <w:rsid w:val="00B50C47"/>
    <w:rsid w:val="00B50CD5"/>
    <w:rsid w:val="00B50F38"/>
    <w:rsid w:val="00B5115B"/>
    <w:rsid w:val="00B51376"/>
    <w:rsid w:val="00B51781"/>
    <w:rsid w:val="00B5186C"/>
    <w:rsid w:val="00B51C08"/>
    <w:rsid w:val="00B51D76"/>
    <w:rsid w:val="00B51D8C"/>
    <w:rsid w:val="00B524C2"/>
    <w:rsid w:val="00B525FD"/>
    <w:rsid w:val="00B52830"/>
    <w:rsid w:val="00B52969"/>
    <w:rsid w:val="00B530B7"/>
    <w:rsid w:val="00B533AB"/>
    <w:rsid w:val="00B53518"/>
    <w:rsid w:val="00B538A6"/>
    <w:rsid w:val="00B539DE"/>
    <w:rsid w:val="00B53CC3"/>
    <w:rsid w:val="00B53EC0"/>
    <w:rsid w:val="00B53FCE"/>
    <w:rsid w:val="00B54122"/>
    <w:rsid w:val="00B5412E"/>
    <w:rsid w:val="00B54309"/>
    <w:rsid w:val="00B54539"/>
    <w:rsid w:val="00B548B6"/>
    <w:rsid w:val="00B54CFE"/>
    <w:rsid w:val="00B54FBD"/>
    <w:rsid w:val="00B550DA"/>
    <w:rsid w:val="00B55275"/>
    <w:rsid w:val="00B553FB"/>
    <w:rsid w:val="00B55583"/>
    <w:rsid w:val="00B5569F"/>
    <w:rsid w:val="00B55A46"/>
    <w:rsid w:val="00B55AC8"/>
    <w:rsid w:val="00B55B86"/>
    <w:rsid w:val="00B55DD0"/>
    <w:rsid w:val="00B55FB6"/>
    <w:rsid w:val="00B5645B"/>
    <w:rsid w:val="00B56DC4"/>
    <w:rsid w:val="00B570BC"/>
    <w:rsid w:val="00B571AA"/>
    <w:rsid w:val="00B571BA"/>
    <w:rsid w:val="00B57438"/>
    <w:rsid w:val="00B57580"/>
    <w:rsid w:val="00B578D9"/>
    <w:rsid w:val="00B57F63"/>
    <w:rsid w:val="00B6024F"/>
    <w:rsid w:val="00B604B8"/>
    <w:rsid w:val="00B60608"/>
    <w:rsid w:val="00B6092D"/>
    <w:rsid w:val="00B60D74"/>
    <w:rsid w:val="00B61476"/>
    <w:rsid w:val="00B61558"/>
    <w:rsid w:val="00B616A5"/>
    <w:rsid w:val="00B61BA9"/>
    <w:rsid w:val="00B61D13"/>
    <w:rsid w:val="00B61E57"/>
    <w:rsid w:val="00B61F50"/>
    <w:rsid w:val="00B62272"/>
    <w:rsid w:val="00B6231A"/>
    <w:rsid w:val="00B6259C"/>
    <w:rsid w:val="00B6261E"/>
    <w:rsid w:val="00B62630"/>
    <w:rsid w:val="00B629D2"/>
    <w:rsid w:val="00B62AA4"/>
    <w:rsid w:val="00B62C56"/>
    <w:rsid w:val="00B63476"/>
    <w:rsid w:val="00B635AB"/>
    <w:rsid w:val="00B637D0"/>
    <w:rsid w:val="00B639DE"/>
    <w:rsid w:val="00B63BE6"/>
    <w:rsid w:val="00B63F7C"/>
    <w:rsid w:val="00B644E0"/>
    <w:rsid w:val="00B6472A"/>
    <w:rsid w:val="00B64743"/>
    <w:rsid w:val="00B64775"/>
    <w:rsid w:val="00B6496A"/>
    <w:rsid w:val="00B64A83"/>
    <w:rsid w:val="00B64A8E"/>
    <w:rsid w:val="00B64B5C"/>
    <w:rsid w:val="00B64E89"/>
    <w:rsid w:val="00B64E8A"/>
    <w:rsid w:val="00B6525F"/>
    <w:rsid w:val="00B6557B"/>
    <w:rsid w:val="00B655B7"/>
    <w:rsid w:val="00B655C1"/>
    <w:rsid w:val="00B659DF"/>
    <w:rsid w:val="00B65C59"/>
    <w:rsid w:val="00B65C5F"/>
    <w:rsid w:val="00B65D6D"/>
    <w:rsid w:val="00B65EBA"/>
    <w:rsid w:val="00B660AF"/>
    <w:rsid w:val="00B66326"/>
    <w:rsid w:val="00B66513"/>
    <w:rsid w:val="00B6670E"/>
    <w:rsid w:val="00B66953"/>
    <w:rsid w:val="00B66D1C"/>
    <w:rsid w:val="00B66E80"/>
    <w:rsid w:val="00B6715B"/>
    <w:rsid w:val="00B67227"/>
    <w:rsid w:val="00B67366"/>
    <w:rsid w:val="00B67411"/>
    <w:rsid w:val="00B6779E"/>
    <w:rsid w:val="00B678E7"/>
    <w:rsid w:val="00B67A12"/>
    <w:rsid w:val="00B67A20"/>
    <w:rsid w:val="00B67D88"/>
    <w:rsid w:val="00B67DEB"/>
    <w:rsid w:val="00B70013"/>
    <w:rsid w:val="00B700E3"/>
    <w:rsid w:val="00B70667"/>
    <w:rsid w:val="00B70963"/>
    <w:rsid w:val="00B70E6A"/>
    <w:rsid w:val="00B7100B"/>
    <w:rsid w:val="00B71063"/>
    <w:rsid w:val="00B7154B"/>
    <w:rsid w:val="00B7161C"/>
    <w:rsid w:val="00B717C7"/>
    <w:rsid w:val="00B71AC5"/>
    <w:rsid w:val="00B71BC6"/>
    <w:rsid w:val="00B71D1B"/>
    <w:rsid w:val="00B71D7F"/>
    <w:rsid w:val="00B71E6F"/>
    <w:rsid w:val="00B72311"/>
    <w:rsid w:val="00B7248B"/>
    <w:rsid w:val="00B724DB"/>
    <w:rsid w:val="00B724E9"/>
    <w:rsid w:val="00B725D5"/>
    <w:rsid w:val="00B726BE"/>
    <w:rsid w:val="00B728C8"/>
    <w:rsid w:val="00B72F04"/>
    <w:rsid w:val="00B72F72"/>
    <w:rsid w:val="00B733BF"/>
    <w:rsid w:val="00B739EA"/>
    <w:rsid w:val="00B73BD1"/>
    <w:rsid w:val="00B73C33"/>
    <w:rsid w:val="00B73FCA"/>
    <w:rsid w:val="00B740C1"/>
    <w:rsid w:val="00B74186"/>
    <w:rsid w:val="00B742B2"/>
    <w:rsid w:val="00B746C5"/>
    <w:rsid w:val="00B747DB"/>
    <w:rsid w:val="00B7487B"/>
    <w:rsid w:val="00B74AC5"/>
    <w:rsid w:val="00B74BCC"/>
    <w:rsid w:val="00B74F16"/>
    <w:rsid w:val="00B75177"/>
    <w:rsid w:val="00B751FF"/>
    <w:rsid w:val="00B752B9"/>
    <w:rsid w:val="00B753C2"/>
    <w:rsid w:val="00B75470"/>
    <w:rsid w:val="00B75936"/>
    <w:rsid w:val="00B75F51"/>
    <w:rsid w:val="00B763B0"/>
    <w:rsid w:val="00B7658C"/>
    <w:rsid w:val="00B7674F"/>
    <w:rsid w:val="00B76A09"/>
    <w:rsid w:val="00B76C31"/>
    <w:rsid w:val="00B76E0C"/>
    <w:rsid w:val="00B76E84"/>
    <w:rsid w:val="00B76FEB"/>
    <w:rsid w:val="00B770AE"/>
    <w:rsid w:val="00B7718C"/>
    <w:rsid w:val="00B77290"/>
    <w:rsid w:val="00B773EE"/>
    <w:rsid w:val="00B77689"/>
    <w:rsid w:val="00B777A2"/>
    <w:rsid w:val="00B777B5"/>
    <w:rsid w:val="00B779F7"/>
    <w:rsid w:val="00B77A40"/>
    <w:rsid w:val="00B801E0"/>
    <w:rsid w:val="00B805A1"/>
    <w:rsid w:val="00B8066E"/>
    <w:rsid w:val="00B80672"/>
    <w:rsid w:val="00B80716"/>
    <w:rsid w:val="00B807B2"/>
    <w:rsid w:val="00B808BD"/>
    <w:rsid w:val="00B80CD1"/>
    <w:rsid w:val="00B810A1"/>
    <w:rsid w:val="00B81434"/>
    <w:rsid w:val="00B814DA"/>
    <w:rsid w:val="00B81670"/>
    <w:rsid w:val="00B81AA6"/>
    <w:rsid w:val="00B81FAB"/>
    <w:rsid w:val="00B823D0"/>
    <w:rsid w:val="00B826EE"/>
    <w:rsid w:val="00B82756"/>
    <w:rsid w:val="00B82970"/>
    <w:rsid w:val="00B829EC"/>
    <w:rsid w:val="00B82AC3"/>
    <w:rsid w:val="00B82C56"/>
    <w:rsid w:val="00B83174"/>
    <w:rsid w:val="00B831D0"/>
    <w:rsid w:val="00B831EE"/>
    <w:rsid w:val="00B832A1"/>
    <w:rsid w:val="00B83765"/>
    <w:rsid w:val="00B838F5"/>
    <w:rsid w:val="00B838FD"/>
    <w:rsid w:val="00B83BA4"/>
    <w:rsid w:val="00B83CC4"/>
    <w:rsid w:val="00B83D8D"/>
    <w:rsid w:val="00B843E9"/>
    <w:rsid w:val="00B8456E"/>
    <w:rsid w:val="00B84657"/>
    <w:rsid w:val="00B84746"/>
    <w:rsid w:val="00B84765"/>
    <w:rsid w:val="00B84839"/>
    <w:rsid w:val="00B84CCD"/>
    <w:rsid w:val="00B84FBB"/>
    <w:rsid w:val="00B85057"/>
    <w:rsid w:val="00B85290"/>
    <w:rsid w:val="00B85371"/>
    <w:rsid w:val="00B853F9"/>
    <w:rsid w:val="00B86586"/>
    <w:rsid w:val="00B8658E"/>
    <w:rsid w:val="00B865ED"/>
    <w:rsid w:val="00B86633"/>
    <w:rsid w:val="00B86A94"/>
    <w:rsid w:val="00B86B27"/>
    <w:rsid w:val="00B86BCD"/>
    <w:rsid w:val="00B8724D"/>
    <w:rsid w:val="00B872E2"/>
    <w:rsid w:val="00B8748C"/>
    <w:rsid w:val="00B8762C"/>
    <w:rsid w:val="00B87691"/>
    <w:rsid w:val="00B87713"/>
    <w:rsid w:val="00B877D4"/>
    <w:rsid w:val="00B879CE"/>
    <w:rsid w:val="00B87BB0"/>
    <w:rsid w:val="00B87C02"/>
    <w:rsid w:val="00B87C76"/>
    <w:rsid w:val="00B87DAA"/>
    <w:rsid w:val="00B87F82"/>
    <w:rsid w:val="00B87FF2"/>
    <w:rsid w:val="00B90458"/>
    <w:rsid w:val="00B908C8"/>
    <w:rsid w:val="00B90EFF"/>
    <w:rsid w:val="00B912D1"/>
    <w:rsid w:val="00B9130A"/>
    <w:rsid w:val="00B91464"/>
    <w:rsid w:val="00B91622"/>
    <w:rsid w:val="00B9194A"/>
    <w:rsid w:val="00B91A7D"/>
    <w:rsid w:val="00B91AED"/>
    <w:rsid w:val="00B91BAB"/>
    <w:rsid w:val="00B91CB1"/>
    <w:rsid w:val="00B92093"/>
    <w:rsid w:val="00B922E8"/>
    <w:rsid w:val="00B923BA"/>
    <w:rsid w:val="00B92437"/>
    <w:rsid w:val="00B92713"/>
    <w:rsid w:val="00B92968"/>
    <w:rsid w:val="00B9297B"/>
    <w:rsid w:val="00B92D05"/>
    <w:rsid w:val="00B92E44"/>
    <w:rsid w:val="00B92EEF"/>
    <w:rsid w:val="00B92FF6"/>
    <w:rsid w:val="00B932A2"/>
    <w:rsid w:val="00B93321"/>
    <w:rsid w:val="00B93684"/>
    <w:rsid w:val="00B93696"/>
    <w:rsid w:val="00B9378C"/>
    <w:rsid w:val="00B93800"/>
    <w:rsid w:val="00B93B47"/>
    <w:rsid w:val="00B93D9C"/>
    <w:rsid w:val="00B93EEC"/>
    <w:rsid w:val="00B9408A"/>
    <w:rsid w:val="00B941E2"/>
    <w:rsid w:val="00B94365"/>
    <w:rsid w:val="00B944E6"/>
    <w:rsid w:val="00B94735"/>
    <w:rsid w:val="00B947B9"/>
    <w:rsid w:val="00B949CC"/>
    <w:rsid w:val="00B94A26"/>
    <w:rsid w:val="00B94B4C"/>
    <w:rsid w:val="00B94FD8"/>
    <w:rsid w:val="00B954FA"/>
    <w:rsid w:val="00B955CB"/>
    <w:rsid w:val="00B95737"/>
    <w:rsid w:val="00B95804"/>
    <w:rsid w:val="00B95A62"/>
    <w:rsid w:val="00B95AC5"/>
    <w:rsid w:val="00B95D14"/>
    <w:rsid w:val="00B95D49"/>
    <w:rsid w:val="00B95EA0"/>
    <w:rsid w:val="00B9621E"/>
    <w:rsid w:val="00B965E9"/>
    <w:rsid w:val="00B968A9"/>
    <w:rsid w:val="00B96922"/>
    <w:rsid w:val="00B96BEE"/>
    <w:rsid w:val="00B96C7A"/>
    <w:rsid w:val="00B96E3B"/>
    <w:rsid w:val="00B96E63"/>
    <w:rsid w:val="00B96F40"/>
    <w:rsid w:val="00B9756E"/>
    <w:rsid w:val="00B976AF"/>
    <w:rsid w:val="00B976FF"/>
    <w:rsid w:val="00B97715"/>
    <w:rsid w:val="00B97AF0"/>
    <w:rsid w:val="00B97AFC"/>
    <w:rsid w:val="00B97B75"/>
    <w:rsid w:val="00BA0144"/>
    <w:rsid w:val="00BA0375"/>
    <w:rsid w:val="00BA0472"/>
    <w:rsid w:val="00BA06B4"/>
    <w:rsid w:val="00BA07C1"/>
    <w:rsid w:val="00BA099A"/>
    <w:rsid w:val="00BA0B33"/>
    <w:rsid w:val="00BA0B8E"/>
    <w:rsid w:val="00BA0ED4"/>
    <w:rsid w:val="00BA11C2"/>
    <w:rsid w:val="00BA15B3"/>
    <w:rsid w:val="00BA166B"/>
    <w:rsid w:val="00BA16A8"/>
    <w:rsid w:val="00BA1A4B"/>
    <w:rsid w:val="00BA21B9"/>
    <w:rsid w:val="00BA27D3"/>
    <w:rsid w:val="00BA28B0"/>
    <w:rsid w:val="00BA2E0B"/>
    <w:rsid w:val="00BA2F69"/>
    <w:rsid w:val="00BA31E5"/>
    <w:rsid w:val="00BA337D"/>
    <w:rsid w:val="00BA3473"/>
    <w:rsid w:val="00BA3526"/>
    <w:rsid w:val="00BA3662"/>
    <w:rsid w:val="00BA3769"/>
    <w:rsid w:val="00BA3AB4"/>
    <w:rsid w:val="00BA3D38"/>
    <w:rsid w:val="00BA3D51"/>
    <w:rsid w:val="00BA3E6B"/>
    <w:rsid w:val="00BA4036"/>
    <w:rsid w:val="00BA41A7"/>
    <w:rsid w:val="00BA41E6"/>
    <w:rsid w:val="00BA46C3"/>
    <w:rsid w:val="00BA4752"/>
    <w:rsid w:val="00BA4776"/>
    <w:rsid w:val="00BA4990"/>
    <w:rsid w:val="00BA4D02"/>
    <w:rsid w:val="00BA50F1"/>
    <w:rsid w:val="00BA51E0"/>
    <w:rsid w:val="00BA5669"/>
    <w:rsid w:val="00BA56F6"/>
    <w:rsid w:val="00BA5DFD"/>
    <w:rsid w:val="00BA5E83"/>
    <w:rsid w:val="00BA603F"/>
    <w:rsid w:val="00BA6347"/>
    <w:rsid w:val="00BA6B51"/>
    <w:rsid w:val="00BA6C4E"/>
    <w:rsid w:val="00BA6EB7"/>
    <w:rsid w:val="00BA70B2"/>
    <w:rsid w:val="00BA70BF"/>
    <w:rsid w:val="00BA7327"/>
    <w:rsid w:val="00BA7761"/>
    <w:rsid w:val="00BA7770"/>
    <w:rsid w:val="00BA7AA2"/>
    <w:rsid w:val="00BA7B31"/>
    <w:rsid w:val="00BA7BAE"/>
    <w:rsid w:val="00BA7FC0"/>
    <w:rsid w:val="00BB022B"/>
    <w:rsid w:val="00BB02E7"/>
    <w:rsid w:val="00BB078A"/>
    <w:rsid w:val="00BB0A1C"/>
    <w:rsid w:val="00BB0D06"/>
    <w:rsid w:val="00BB0E09"/>
    <w:rsid w:val="00BB0E39"/>
    <w:rsid w:val="00BB108F"/>
    <w:rsid w:val="00BB1542"/>
    <w:rsid w:val="00BB15DB"/>
    <w:rsid w:val="00BB163E"/>
    <w:rsid w:val="00BB1657"/>
    <w:rsid w:val="00BB1BB0"/>
    <w:rsid w:val="00BB1C49"/>
    <w:rsid w:val="00BB1F4C"/>
    <w:rsid w:val="00BB1F8C"/>
    <w:rsid w:val="00BB3577"/>
    <w:rsid w:val="00BB35A6"/>
    <w:rsid w:val="00BB39CC"/>
    <w:rsid w:val="00BB3A11"/>
    <w:rsid w:val="00BB3A98"/>
    <w:rsid w:val="00BB3C18"/>
    <w:rsid w:val="00BB3C62"/>
    <w:rsid w:val="00BB3EA3"/>
    <w:rsid w:val="00BB45BF"/>
    <w:rsid w:val="00BB46BA"/>
    <w:rsid w:val="00BB4A72"/>
    <w:rsid w:val="00BB4E18"/>
    <w:rsid w:val="00BB54F4"/>
    <w:rsid w:val="00BB55E4"/>
    <w:rsid w:val="00BB56F8"/>
    <w:rsid w:val="00BB57E7"/>
    <w:rsid w:val="00BB59AC"/>
    <w:rsid w:val="00BB59BD"/>
    <w:rsid w:val="00BB5B11"/>
    <w:rsid w:val="00BB5BE5"/>
    <w:rsid w:val="00BB5C3E"/>
    <w:rsid w:val="00BB6672"/>
    <w:rsid w:val="00BB679D"/>
    <w:rsid w:val="00BB67AB"/>
    <w:rsid w:val="00BB688F"/>
    <w:rsid w:val="00BB68AE"/>
    <w:rsid w:val="00BB6BF0"/>
    <w:rsid w:val="00BB6EBA"/>
    <w:rsid w:val="00BB71DB"/>
    <w:rsid w:val="00BB7380"/>
    <w:rsid w:val="00BB7459"/>
    <w:rsid w:val="00BB755B"/>
    <w:rsid w:val="00BB7694"/>
    <w:rsid w:val="00BB7A7F"/>
    <w:rsid w:val="00BB7B37"/>
    <w:rsid w:val="00BB7B79"/>
    <w:rsid w:val="00BB7BC5"/>
    <w:rsid w:val="00BC001B"/>
    <w:rsid w:val="00BC003F"/>
    <w:rsid w:val="00BC00B3"/>
    <w:rsid w:val="00BC01EC"/>
    <w:rsid w:val="00BC0217"/>
    <w:rsid w:val="00BC046A"/>
    <w:rsid w:val="00BC06DA"/>
    <w:rsid w:val="00BC089D"/>
    <w:rsid w:val="00BC09AA"/>
    <w:rsid w:val="00BC0C04"/>
    <w:rsid w:val="00BC0D73"/>
    <w:rsid w:val="00BC1798"/>
    <w:rsid w:val="00BC18DF"/>
    <w:rsid w:val="00BC1A10"/>
    <w:rsid w:val="00BC23BF"/>
    <w:rsid w:val="00BC2414"/>
    <w:rsid w:val="00BC241F"/>
    <w:rsid w:val="00BC2802"/>
    <w:rsid w:val="00BC28CA"/>
    <w:rsid w:val="00BC2958"/>
    <w:rsid w:val="00BC2B68"/>
    <w:rsid w:val="00BC2F36"/>
    <w:rsid w:val="00BC2FAE"/>
    <w:rsid w:val="00BC3071"/>
    <w:rsid w:val="00BC3246"/>
    <w:rsid w:val="00BC33B1"/>
    <w:rsid w:val="00BC33F6"/>
    <w:rsid w:val="00BC38E2"/>
    <w:rsid w:val="00BC4A99"/>
    <w:rsid w:val="00BC5557"/>
    <w:rsid w:val="00BC567A"/>
    <w:rsid w:val="00BC5895"/>
    <w:rsid w:val="00BC58FA"/>
    <w:rsid w:val="00BC5905"/>
    <w:rsid w:val="00BC59E0"/>
    <w:rsid w:val="00BC59E2"/>
    <w:rsid w:val="00BC5D27"/>
    <w:rsid w:val="00BC5F04"/>
    <w:rsid w:val="00BC5FC8"/>
    <w:rsid w:val="00BC6407"/>
    <w:rsid w:val="00BC6522"/>
    <w:rsid w:val="00BC6806"/>
    <w:rsid w:val="00BC6AE3"/>
    <w:rsid w:val="00BC6FBD"/>
    <w:rsid w:val="00BC7193"/>
    <w:rsid w:val="00BC748D"/>
    <w:rsid w:val="00BC75DB"/>
    <w:rsid w:val="00BC78A6"/>
    <w:rsid w:val="00BC793B"/>
    <w:rsid w:val="00BC7B26"/>
    <w:rsid w:val="00BC7BB8"/>
    <w:rsid w:val="00BC7DFD"/>
    <w:rsid w:val="00BC7EDC"/>
    <w:rsid w:val="00BD001E"/>
    <w:rsid w:val="00BD0899"/>
    <w:rsid w:val="00BD0A4B"/>
    <w:rsid w:val="00BD0A73"/>
    <w:rsid w:val="00BD0D97"/>
    <w:rsid w:val="00BD0F02"/>
    <w:rsid w:val="00BD1198"/>
    <w:rsid w:val="00BD11BE"/>
    <w:rsid w:val="00BD12C1"/>
    <w:rsid w:val="00BD15FB"/>
    <w:rsid w:val="00BD18EA"/>
    <w:rsid w:val="00BD19EA"/>
    <w:rsid w:val="00BD1AB3"/>
    <w:rsid w:val="00BD214C"/>
    <w:rsid w:val="00BD2390"/>
    <w:rsid w:val="00BD260C"/>
    <w:rsid w:val="00BD26CC"/>
    <w:rsid w:val="00BD280B"/>
    <w:rsid w:val="00BD2B9A"/>
    <w:rsid w:val="00BD2F76"/>
    <w:rsid w:val="00BD3305"/>
    <w:rsid w:val="00BD3444"/>
    <w:rsid w:val="00BD3719"/>
    <w:rsid w:val="00BD3BFB"/>
    <w:rsid w:val="00BD3D94"/>
    <w:rsid w:val="00BD3ECE"/>
    <w:rsid w:val="00BD3F3B"/>
    <w:rsid w:val="00BD3FEE"/>
    <w:rsid w:val="00BD42DA"/>
    <w:rsid w:val="00BD4668"/>
    <w:rsid w:val="00BD4744"/>
    <w:rsid w:val="00BD4C5E"/>
    <w:rsid w:val="00BD4E2E"/>
    <w:rsid w:val="00BD4E2F"/>
    <w:rsid w:val="00BD4FCA"/>
    <w:rsid w:val="00BD501F"/>
    <w:rsid w:val="00BD53ED"/>
    <w:rsid w:val="00BD584F"/>
    <w:rsid w:val="00BD58CE"/>
    <w:rsid w:val="00BD5A5E"/>
    <w:rsid w:val="00BD5A8E"/>
    <w:rsid w:val="00BD5B5C"/>
    <w:rsid w:val="00BD5BA4"/>
    <w:rsid w:val="00BD5E12"/>
    <w:rsid w:val="00BD5EE9"/>
    <w:rsid w:val="00BD6108"/>
    <w:rsid w:val="00BD6179"/>
    <w:rsid w:val="00BD623C"/>
    <w:rsid w:val="00BD629D"/>
    <w:rsid w:val="00BD65E7"/>
    <w:rsid w:val="00BD6893"/>
    <w:rsid w:val="00BD69E1"/>
    <w:rsid w:val="00BD6A99"/>
    <w:rsid w:val="00BD6F5F"/>
    <w:rsid w:val="00BD7424"/>
    <w:rsid w:val="00BD74E2"/>
    <w:rsid w:val="00BD7505"/>
    <w:rsid w:val="00BD7948"/>
    <w:rsid w:val="00BD7967"/>
    <w:rsid w:val="00BD79BB"/>
    <w:rsid w:val="00BD7B8A"/>
    <w:rsid w:val="00BD7CE5"/>
    <w:rsid w:val="00BE042C"/>
    <w:rsid w:val="00BE0523"/>
    <w:rsid w:val="00BE065B"/>
    <w:rsid w:val="00BE067E"/>
    <w:rsid w:val="00BE0A63"/>
    <w:rsid w:val="00BE0F07"/>
    <w:rsid w:val="00BE1056"/>
    <w:rsid w:val="00BE13EE"/>
    <w:rsid w:val="00BE18C1"/>
    <w:rsid w:val="00BE19A4"/>
    <w:rsid w:val="00BE1D79"/>
    <w:rsid w:val="00BE1E27"/>
    <w:rsid w:val="00BE1F80"/>
    <w:rsid w:val="00BE2000"/>
    <w:rsid w:val="00BE288E"/>
    <w:rsid w:val="00BE2DF4"/>
    <w:rsid w:val="00BE2F19"/>
    <w:rsid w:val="00BE3016"/>
    <w:rsid w:val="00BE3032"/>
    <w:rsid w:val="00BE3166"/>
    <w:rsid w:val="00BE3576"/>
    <w:rsid w:val="00BE35DB"/>
    <w:rsid w:val="00BE3807"/>
    <w:rsid w:val="00BE3979"/>
    <w:rsid w:val="00BE3DF7"/>
    <w:rsid w:val="00BE3EDC"/>
    <w:rsid w:val="00BE3F6E"/>
    <w:rsid w:val="00BE3FBE"/>
    <w:rsid w:val="00BE401E"/>
    <w:rsid w:val="00BE46C4"/>
    <w:rsid w:val="00BE47EC"/>
    <w:rsid w:val="00BE4838"/>
    <w:rsid w:val="00BE485A"/>
    <w:rsid w:val="00BE48FD"/>
    <w:rsid w:val="00BE4A3F"/>
    <w:rsid w:val="00BE4E0D"/>
    <w:rsid w:val="00BE4FAD"/>
    <w:rsid w:val="00BE515A"/>
    <w:rsid w:val="00BE5220"/>
    <w:rsid w:val="00BE5748"/>
    <w:rsid w:val="00BE5A4E"/>
    <w:rsid w:val="00BE5B72"/>
    <w:rsid w:val="00BE5BA0"/>
    <w:rsid w:val="00BE5CAE"/>
    <w:rsid w:val="00BE5CEF"/>
    <w:rsid w:val="00BE5D78"/>
    <w:rsid w:val="00BE5DB4"/>
    <w:rsid w:val="00BE5F8E"/>
    <w:rsid w:val="00BE61A2"/>
    <w:rsid w:val="00BE63F5"/>
    <w:rsid w:val="00BE68F3"/>
    <w:rsid w:val="00BE6927"/>
    <w:rsid w:val="00BE6C1A"/>
    <w:rsid w:val="00BE6C65"/>
    <w:rsid w:val="00BE7327"/>
    <w:rsid w:val="00BE744B"/>
    <w:rsid w:val="00BE7575"/>
    <w:rsid w:val="00BE76DA"/>
    <w:rsid w:val="00BE7805"/>
    <w:rsid w:val="00BE793E"/>
    <w:rsid w:val="00BE79D3"/>
    <w:rsid w:val="00BF068E"/>
    <w:rsid w:val="00BF06E0"/>
    <w:rsid w:val="00BF0B86"/>
    <w:rsid w:val="00BF0BC0"/>
    <w:rsid w:val="00BF0BCA"/>
    <w:rsid w:val="00BF1070"/>
    <w:rsid w:val="00BF119A"/>
    <w:rsid w:val="00BF1276"/>
    <w:rsid w:val="00BF157F"/>
    <w:rsid w:val="00BF1625"/>
    <w:rsid w:val="00BF178D"/>
    <w:rsid w:val="00BF17D6"/>
    <w:rsid w:val="00BF184A"/>
    <w:rsid w:val="00BF18AB"/>
    <w:rsid w:val="00BF18FB"/>
    <w:rsid w:val="00BF1984"/>
    <w:rsid w:val="00BF21B1"/>
    <w:rsid w:val="00BF2463"/>
    <w:rsid w:val="00BF24C8"/>
    <w:rsid w:val="00BF26C5"/>
    <w:rsid w:val="00BF273D"/>
    <w:rsid w:val="00BF275C"/>
    <w:rsid w:val="00BF275E"/>
    <w:rsid w:val="00BF29D9"/>
    <w:rsid w:val="00BF2C57"/>
    <w:rsid w:val="00BF2DFF"/>
    <w:rsid w:val="00BF2EF5"/>
    <w:rsid w:val="00BF2F05"/>
    <w:rsid w:val="00BF2FC3"/>
    <w:rsid w:val="00BF306E"/>
    <w:rsid w:val="00BF34B6"/>
    <w:rsid w:val="00BF383F"/>
    <w:rsid w:val="00BF3888"/>
    <w:rsid w:val="00BF39BF"/>
    <w:rsid w:val="00BF3BBE"/>
    <w:rsid w:val="00BF3BF4"/>
    <w:rsid w:val="00BF3DC8"/>
    <w:rsid w:val="00BF434C"/>
    <w:rsid w:val="00BF46A9"/>
    <w:rsid w:val="00BF4C7A"/>
    <w:rsid w:val="00BF4D7E"/>
    <w:rsid w:val="00BF4E6E"/>
    <w:rsid w:val="00BF5123"/>
    <w:rsid w:val="00BF5811"/>
    <w:rsid w:val="00BF5A87"/>
    <w:rsid w:val="00BF5BAC"/>
    <w:rsid w:val="00BF5BC6"/>
    <w:rsid w:val="00BF5BD4"/>
    <w:rsid w:val="00BF5C9C"/>
    <w:rsid w:val="00BF5D00"/>
    <w:rsid w:val="00BF5D35"/>
    <w:rsid w:val="00BF5D63"/>
    <w:rsid w:val="00BF5FC5"/>
    <w:rsid w:val="00BF60A8"/>
    <w:rsid w:val="00BF61DB"/>
    <w:rsid w:val="00BF6888"/>
    <w:rsid w:val="00BF6DD1"/>
    <w:rsid w:val="00BF7315"/>
    <w:rsid w:val="00BF75D8"/>
    <w:rsid w:val="00BF77F8"/>
    <w:rsid w:val="00BF78D1"/>
    <w:rsid w:val="00BF7FF2"/>
    <w:rsid w:val="00C0000F"/>
    <w:rsid w:val="00C002F5"/>
    <w:rsid w:val="00C003EB"/>
    <w:rsid w:val="00C004F1"/>
    <w:rsid w:val="00C00712"/>
    <w:rsid w:val="00C00842"/>
    <w:rsid w:val="00C009EE"/>
    <w:rsid w:val="00C00B53"/>
    <w:rsid w:val="00C00B81"/>
    <w:rsid w:val="00C00BB8"/>
    <w:rsid w:val="00C00D7E"/>
    <w:rsid w:val="00C00F37"/>
    <w:rsid w:val="00C0128D"/>
    <w:rsid w:val="00C012E0"/>
    <w:rsid w:val="00C01978"/>
    <w:rsid w:val="00C01984"/>
    <w:rsid w:val="00C01CF4"/>
    <w:rsid w:val="00C01D5D"/>
    <w:rsid w:val="00C01E5C"/>
    <w:rsid w:val="00C026F7"/>
    <w:rsid w:val="00C027DA"/>
    <w:rsid w:val="00C02AD5"/>
    <w:rsid w:val="00C02C20"/>
    <w:rsid w:val="00C02C5D"/>
    <w:rsid w:val="00C02E64"/>
    <w:rsid w:val="00C033A0"/>
    <w:rsid w:val="00C0389B"/>
    <w:rsid w:val="00C03906"/>
    <w:rsid w:val="00C039CD"/>
    <w:rsid w:val="00C03B6D"/>
    <w:rsid w:val="00C03C72"/>
    <w:rsid w:val="00C03DF5"/>
    <w:rsid w:val="00C0401F"/>
    <w:rsid w:val="00C04056"/>
    <w:rsid w:val="00C041A7"/>
    <w:rsid w:val="00C04988"/>
    <w:rsid w:val="00C04A55"/>
    <w:rsid w:val="00C04B0B"/>
    <w:rsid w:val="00C04B1D"/>
    <w:rsid w:val="00C04CAC"/>
    <w:rsid w:val="00C04D4B"/>
    <w:rsid w:val="00C04FAA"/>
    <w:rsid w:val="00C05067"/>
    <w:rsid w:val="00C05124"/>
    <w:rsid w:val="00C051B6"/>
    <w:rsid w:val="00C0520F"/>
    <w:rsid w:val="00C052F5"/>
    <w:rsid w:val="00C05611"/>
    <w:rsid w:val="00C05671"/>
    <w:rsid w:val="00C05881"/>
    <w:rsid w:val="00C058E4"/>
    <w:rsid w:val="00C05BB2"/>
    <w:rsid w:val="00C05DA0"/>
    <w:rsid w:val="00C05FD5"/>
    <w:rsid w:val="00C06107"/>
    <w:rsid w:val="00C0610E"/>
    <w:rsid w:val="00C06300"/>
    <w:rsid w:val="00C063F2"/>
    <w:rsid w:val="00C0648E"/>
    <w:rsid w:val="00C064CB"/>
    <w:rsid w:val="00C06521"/>
    <w:rsid w:val="00C066F2"/>
    <w:rsid w:val="00C06985"/>
    <w:rsid w:val="00C06D4A"/>
    <w:rsid w:val="00C0707B"/>
    <w:rsid w:val="00C0711B"/>
    <w:rsid w:val="00C07430"/>
    <w:rsid w:val="00C07501"/>
    <w:rsid w:val="00C07654"/>
    <w:rsid w:val="00C0775A"/>
    <w:rsid w:val="00C077F3"/>
    <w:rsid w:val="00C07C5B"/>
    <w:rsid w:val="00C07CE9"/>
    <w:rsid w:val="00C07D01"/>
    <w:rsid w:val="00C07DAE"/>
    <w:rsid w:val="00C07F14"/>
    <w:rsid w:val="00C1005E"/>
    <w:rsid w:val="00C1013C"/>
    <w:rsid w:val="00C10209"/>
    <w:rsid w:val="00C10244"/>
    <w:rsid w:val="00C105AD"/>
    <w:rsid w:val="00C1078F"/>
    <w:rsid w:val="00C1083D"/>
    <w:rsid w:val="00C10919"/>
    <w:rsid w:val="00C109FA"/>
    <w:rsid w:val="00C10A9E"/>
    <w:rsid w:val="00C10DC9"/>
    <w:rsid w:val="00C10E55"/>
    <w:rsid w:val="00C10E88"/>
    <w:rsid w:val="00C11005"/>
    <w:rsid w:val="00C1106A"/>
    <w:rsid w:val="00C1116E"/>
    <w:rsid w:val="00C11B79"/>
    <w:rsid w:val="00C11F7B"/>
    <w:rsid w:val="00C1232C"/>
    <w:rsid w:val="00C12547"/>
    <w:rsid w:val="00C127CC"/>
    <w:rsid w:val="00C1280E"/>
    <w:rsid w:val="00C12857"/>
    <w:rsid w:val="00C12AA9"/>
    <w:rsid w:val="00C12BA6"/>
    <w:rsid w:val="00C12ECB"/>
    <w:rsid w:val="00C13122"/>
    <w:rsid w:val="00C13421"/>
    <w:rsid w:val="00C1361F"/>
    <w:rsid w:val="00C139CE"/>
    <w:rsid w:val="00C13E93"/>
    <w:rsid w:val="00C13EB3"/>
    <w:rsid w:val="00C13EF0"/>
    <w:rsid w:val="00C143CE"/>
    <w:rsid w:val="00C1477C"/>
    <w:rsid w:val="00C14CC4"/>
    <w:rsid w:val="00C14D4D"/>
    <w:rsid w:val="00C15131"/>
    <w:rsid w:val="00C151A1"/>
    <w:rsid w:val="00C152C6"/>
    <w:rsid w:val="00C15624"/>
    <w:rsid w:val="00C15879"/>
    <w:rsid w:val="00C158D4"/>
    <w:rsid w:val="00C158F1"/>
    <w:rsid w:val="00C15A83"/>
    <w:rsid w:val="00C15D21"/>
    <w:rsid w:val="00C15F5E"/>
    <w:rsid w:val="00C16039"/>
    <w:rsid w:val="00C16067"/>
    <w:rsid w:val="00C162B3"/>
    <w:rsid w:val="00C16325"/>
    <w:rsid w:val="00C163B3"/>
    <w:rsid w:val="00C164B9"/>
    <w:rsid w:val="00C167E1"/>
    <w:rsid w:val="00C1682C"/>
    <w:rsid w:val="00C16931"/>
    <w:rsid w:val="00C16998"/>
    <w:rsid w:val="00C16B7B"/>
    <w:rsid w:val="00C16FDD"/>
    <w:rsid w:val="00C17397"/>
    <w:rsid w:val="00C17655"/>
    <w:rsid w:val="00C179DE"/>
    <w:rsid w:val="00C17C5B"/>
    <w:rsid w:val="00C17F39"/>
    <w:rsid w:val="00C20177"/>
    <w:rsid w:val="00C20226"/>
    <w:rsid w:val="00C202AC"/>
    <w:rsid w:val="00C20320"/>
    <w:rsid w:val="00C20911"/>
    <w:rsid w:val="00C20D40"/>
    <w:rsid w:val="00C21190"/>
    <w:rsid w:val="00C21300"/>
    <w:rsid w:val="00C21448"/>
    <w:rsid w:val="00C21502"/>
    <w:rsid w:val="00C215CA"/>
    <w:rsid w:val="00C21B03"/>
    <w:rsid w:val="00C21B9C"/>
    <w:rsid w:val="00C2206E"/>
    <w:rsid w:val="00C223C9"/>
    <w:rsid w:val="00C223F3"/>
    <w:rsid w:val="00C22868"/>
    <w:rsid w:val="00C228AA"/>
    <w:rsid w:val="00C228AB"/>
    <w:rsid w:val="00C22920"/>
    <w:rsid w:val="00C22931"/>
    <w:rsid w:val="00C2294A"/>
    <w:rsid w:val="00C22CDB"/>
    <w:rsid w:val="00C233A1"/>
    <w:rsid w:val="00C23459"/>
    <w:rsid w:val="00C24200"/>
    <w:rsid w:val="00C2438C"/>
    <w:rsid w:val="00C2443D"/>
    <w:rsid w:val="00C249B7"/>
    <w:rsid w:val="00C24B90"/>
    <w:rsid w:val="00C24C6C"/>
    <w:rsid w:val="00C24D00"/>
    <w:rsid w:val="00C24D93"/>
    <w:rsid w:val="00C25338"/>
    <w:rsid w:val="00C2541A"/>
    <w:rsid w:val="00C25449"/>
    <w:rsid w:val="00C2576A"/>
    <w:rsid w:val="00C2576D"/>
    <w:rsid w:val="00C257C2"/>
    <w:rsid w:val="00C260A1"/>
    <w:rsid w:val="00C26344"/>
    <w:rsid w:val="00C2640F"/>
    <w:rsid w:val="00C26455"/>
    <w:rsid w:val="00C264DE"/>
    <w:rsid w:val="00C2696F"/>
    <w:rsid w:val="00C26AD3"/>
    <w:rsid w:val="00C26B4C"/>
    <w:rsid w:val="00C27026"/>
    <w:rsid w:val="00C273EA"/>
    <w:rsid w:val="00C27510"/>
    <w:rsid w:val="00C2780F"/>
    <w:rsid w:val="00C27957"/>
    <w:rsid w:val="00C279BF"/>
    <w:rsid w:val="00C27BBA"/>
    <w:rsid w:val="00C27BC5"/>
    <w:rsid w:val="00C27BF0"/>
    <w:rsid w:val="00C27D63"/>
    <w:rsid w:val="00C27D83"/>
    <w:rsid w:val="00C30018"/>
    <w:rsid w:val="00C300CE"/>
    <w:rsid w:val="00C30320"/>
    <w:rsid w:val="00C3064C"/>
    <w:rsid w:val="00C3074B"/>
    <w:rsid w:val="00C30752"/>
    <w:rsid w:val="00C30846"/>
    <w:rsid w:val="00C309B3"/>
    <w:rsid w:val="00C31060"/>
    <w:rsid w:val="00C312B8"/>
    <w:rsid w:val="00C312DB"/>
    <w:rsid w:val="00C3145C"/>
    <w:rsid w:val="00C314CE"/>
    <w:rsid w:val="00C31690"/>
    <w:rsid w:val="00C319D0"/>
    <w:rsid w:val="00C31A09"/>
    <w:rsid w:val="00C31A1D"/>
    <w:rsid w:val="00C31CBF"/>
    <w:rsid w:val="00C31D83"/>
    <w:rsid w:val="00C31F1D"/>
    <w:rsid w:val="00C31F5D"/>
    <w:rsid w:val="00C32211"/>
    <w:rsid w:val="00C322F5"/>
    <w:rsid w:val="00C32310"/>
    <w:rsid w:val="00C3244B"/>
    <w:rsid w:val="00C32884"/>
    <w:rsid w:val="00C328D0"/>
    <w:rsid w:val="00C32999"/>
    <w:rsid w:val="00C32A9C"/>
    <w:rsid w:val="00C32C64"/>
    <w:rsid w:val="00C32C8E"/>
    <w:rsid w:val="00C33125"/>
    <w:rsid w:val="00C3331D"/>
    <w:rsid w:val="00C333D2"/>
    <w:rsid w:val="00C3347E"/>
    <w:rsid w:val="00C33576"/>
    <w:rsid w:val="00C33704"/>
    <w:rsid w:val="00C3375D"/>
    <w:rsid w:val="00C337AF"/>
    <w:rsid w:val="00C33C46"/>
    <w:rsid w:val="00C33D24"/>
    <w:rsid w:val="00C33EFD"/>
    <w:rsid w:val="00C33F70"/>
    <w:rsid w:val="00C34507"/>
    <w:rsid w:val="00C345F0"/>
    <w:rsid w:val="00C3466A"/>
    <w:rsid w:val="00C34708"/>
    <w:rsid w:val="00C34911"/>
    <w:rsid w:val="00C34F2B"/>
    <w:rsid w:val="00C3503D"/>
    <w:rsid w:val="00C357A2"/>
    <w:rsid w:val="00C359D6"/>
    <w:rsid w:val="00C35A50"/>
    <w:rsid w:val="00C35DD5"/>
    <w:rsid w:val="00C3602A"/>
    <w:rsid w:val="00C36269"/>
    <w:rsid w:val="00C364B9"/>
    <w:rsid w:val="00C36542"/>
    <w:rsid w:val="00C366B5"/>
    <w:rsid w:val="00C367D2"/>
    <w:rsid w:val="00C368EF"/>
    <w:rsid w:val="00C36950"/>
    <w:rsid w:val="00C3699E"/>
    <w:rsid w:val="00C36A34"/>
    <w:rsid w:val="00C37125"/>
    <w:rsid w:val="00C3713C"/>
    <w:rsid w:val="00C3716D"/>
    <w:rsid w:val="00C3734F"/>
    <w:rsid w:val="00C3758E"/>
    <w:rsid w:val="00C37740"/>
    <w:rsid w:val="00C37954"/>
    <w:rsid w:val="00C3796C"/>
    <w:rsid w:val="00C37BB2"/>
    <w:rsid w:val="00C37BFF"/>
    <w:rsid w:val="00C37C85"/>
    <w:rsid w:val="00C37D4D"/>
    <w:rsid w:val="00C37D66"/>
    <w:rsid w:val="00C37D9B"/>
    <w:rsid w:val="00C401AF"/>
    <w:rsid w:val="00C401FD"/>
    <w:rsid w:val="00C404FB"/>
    <w:rsid w:val="00C40859"/>
    <w:rsid w:val="00C40BBE"/>
    <w:rsid w:val="00C40C6D"/>
    <w:rsid w:val="00C40CEF"/>
    <w:rsid w:val="00C40EFF"/>
    <w:rsid w:val="00C40F39"/>
    <w:rsid w:val="00C40F6F"/>
    <w:rsid w:val="00C40F81"/>
    <w:rsid w:val="00C4100B"/>
    <w:rsid w:val="00C41966"/>
    <w:rsid w:val="00C41B63"/>
    <w:rsid w:val="00C41C39"/>
    <w:rsid w:val="00C41F21"/>
    <w:rsid w:val="00C4235E"/>
    <w:rsid w:val="00C42590"/>
    <w:rsid w:val="00C425EA"/>
    <w:rsid w:val="00C426C4"/>
    <w:rsid w:val="00C42723"/>
    <w:rsid w:val="00C429B3"/>
    <w:rsid w:val="00C42B3E"/>
    <w:rsid w:val="00C42D05"/>
    <w:rsid w:val="00C434C9"/>
    <w:rsid w:val="00C43C7B"/>
    <w:rsid w:val="00C4452F"/>
    <w:rsid w:val="00C44960"/>
    <w:rsid w:val="00C44FFD"/>
    <w:rsid w:val="00C45587"/>
    <w:rsid w:val="00C45B6F"/>
    <w:rsid w:val="00C45C6F"/>
    <w:rsid w:val="00C45C9D"/>
    <w:rsid w:val="00C45CE2"/>
    <w:rsid w:val="00C45D1C"/>
    <w:rsid w:val="00C45E27"/>
    <w:rsid w:val="00C45EC8"/>
    <w:rsid w:val="00C46957"/>
    <w:rsid w:val="00C46C46"/>
    <w:rsid w:val="00C46D27"/>
    <w:rsid w:val="00C46DFE"/>
    <w:rsid w:val="00C46FE2"/>
    <w:rsid w:val="00C47280"/>
    <w:rsid w:val="00C4762A"/>
    <w:rsid w:val="00C47A08"/>
    <w:rsid w:val="00C47C44"/>
    <w:rsid w:val="00C47D0F"/>
    <w:rsid w:val="00C5000B"/>
    <w:rsid w:val="00C50105"/>
    <w:rsid w:val="00C501D7"/>
    <w:rsid w:val="00C50D52"/>
    <w:rsid w:val="00C50F38"/>
    <w:rsid w:val="00C50FC5"/>
    <w:rsid w:val="00C510AB"/>
    <w:rsid w:val="00C511AD"/>
    <w:rsid w:val="00C51308"/>
    <w:rsid w:val="00C518BA"/>
    <w:rsid w:val="00C51937"/>
    <w:rsid w:val="00C51996"/>
    <w:rsid w:val="00C51AD9"/>
    <w:rsid w:val="00C52482"/>
    <w:rsid w:val="00C524D0"/>
    <w:rsid w:val="00C52614"/>
    <w:rsid w:val="00C52827"/>
    <w:rsid w:val="00C529C0"/>
    <w:rsid w:val="00C52A2A"/>
    <w:rsid w:val="00C52A5F"/>
    <w:rsid w:val="00C52A62"/>
    <w:rsid w:val="00C52E12"/>
    <w:rsid w:val="00C53086"/>
    <w:rsid w:val="00C53434"/>
    <w:rsid w:val="00C53585"/>
    <w:rsid w:val="00C537FE"/>
    <w:rsid w:val="00C53CB4"/>
    <w:rsid w:val="00C53D39"/>
    <w:rsid w:val="00C53F3D"/>
    <w:rsid w:val="00C54092"/>
    <w:rsid w:val="00C540B4"/>
    <w:rsid w:val="00C541B8"/>
    <w:rsid w:val="00C54298"/>
    <w:rsid w:val="00C5436D"/>
    <w:rsid w:val="00C54376"/>
    <w:rsid w:val="00C547F0"/>
    <w:rsid w:val="00C549EC"/>
    <w:rsid w:val="00C54A9C"/>
    <w:rsid w:val="00C54CC6"/>
    <w:rsid w:val="00C54EB9"/>
    <w:rsid w:val="00C54FDE"/>
    <w:rsid w:val="00C551D1"/>
    <w:rsid w:val="00C556D0"/>
    <w:rsid w:val="00C55781"/>
    <w:rsid w:val="00C55BD4"/>
    <w:rsid w:val="00C56395"/>
    <w:rsid w:val="00C56673"/>
    <w:rsid w:val="00C566FC"/>
    <w:rsid w:val="00C56778"/>
    <w:rsid w:val="00C56A0A"/>
    <w:rsid w:val="00C56D15"/>
    <w:rsid w:val="00C572B9"/>
    <w:rsid w:val="00C57558"/>
    <w:rsid w:val="00C5761E"/>
    <w:rsid w:val="00C5784D"/>
    <w:rsid w:val="00C57F6F"/>
    <w:rsid w:val="00C6015D"/>
    <w:rsid w:val="00C60417"/>
    <w:rsid w:val="00C60494"/>
    <w:rsid w:val="00C60818"/>
    <w:rsid w:val="00C608D2"/>
    <w:rsid w:val="00C60D86"/>
    <w:rsid w:val="00C60E5B"/>
    <w:rsid w:val="00C60FD0"/>
    <w:rsid w:val="00C610BB"/>
    <w:rsid w:val="00C6146A"/>
    <w:rsid w:val="00C614EE"/>
    <w:rsid w:val="00C61647"/>
    <w:rsid w:val="00C61722"/>
    <w:rsid w:val="00C61D0B"/>
    <w:rsid w:val="00C61EE4"/>
    <w:rsid w:val="00C61F8D"/>
    <w:rsid w:val="00C620FC"/>
    <w:rsid w:val="00C6211B"/>
    <w:rsid w:val="00C62197"/>
    <w:rsid w:val="00C622BD"/>
    <w:rsid w:val="00C624BD"/>
    <w:rsid w:val="00C627BB"/>
    <w:rsid w:val="00C628CB"/>
    <w:rsid w:val="00C62A52"/>
    <w:rsid w:val="00C62BCA"/>
    <w:rsid w:val="00C62C3C"/>
    <w:rsid w:val="00C62C46"/>
    <w:rsid w:val="00C62F44"/>
    <w:rsid w:val="00C63014"/>
    <w:rsid w:val="00C6306A"/>
    <w:rsid w:val="00C6308D"/>
    <w:rsid w:val="00C630BF"/>
    <w:rsid w:val="00C630F5"/>
    <w:rsid w:val="00C63108"/>
    <w:rsid w:val="00C6311E"/>
    <w:rsid w:val="00C6341E"/>
    <w:rsid w:val="00C63420"/>
    <w:rsid w:val="00C63791"/>
    <w:rsid w:val="00C6382B"/>
    <w:rsid w:val="00C63E23"/>
    <w:rsid w:val="00C64148"/>
    <w:rsid w:val="00C6420F"/>
    <w:rsid w:val="00C6457F"/>
    <w:rsid w:val="00C647BB"/>
    <w:rsid w:val="00C647E3"/>
    <w:rsid w:val="00C648A1"/>
    <w:rsid w:val="00C648FA"/>
    <w:rsid w:val="00C64943"/>
    <w:rsid w:val="00C64C0C"/>
    <w:rsid w:val="00C64C34"/>
    <w:rsid w:val="00C65685"/>
    <w:rsid w:val="00C6569A"/>
    <w:rsid w:val="00C65900"/>
    <w:rsid w:val="00C65902"/>
    <w:rsid w:val="00C65A3F"/>
    <w:rsid w:val="00C65A77"/>
    <w:rsid w:val="00C65CB5"/>
    <w:rsid w:val="00C662A4"/>
    <w:rsid w:val="00C6631C"/>
    <w:rsid w:val="00C66756"/>
    <w:rsid w:val="00C6680B"/>
    <w:rsid w:val="00C66B82"/>
    <w:rsid w:val="00C66BAB"/>
    <w:rsid w:val="00C66BB2"/>
    <w:rsid w:val="00C66BD9"/>
    <w:rsid w:val="00C66D67"/>
    <w:rsid w:val="00C670A5"/>
    <w:rsid w:val="00C67290"/>
    <w:rsid w:val="00C67377"/>
    <w:rsid w:val="00C676A1"/>
    <w:rsid w:val="00C677C6"/>
    <w:rsid w:val="00C67CB8"/>
    <w:rsid w:val="00C70066"/>
    <w:rsid w:val="00C70470"/>
    <w:rsid w:val="00C7070F"/>
    <w:rsid w:val="00C708B6"/>
    <w:rsid w:val="00C709FF"/>
    <w:rsid w:val="00C70B15"/>
    <w:rsid w:val="00C70B72"/>
    <w:rsid w:val="00C70D1C"/>
    <w:rsid w:val="00C70EC7"/>
    <w:rsid w:val="00C70F36"/>
    <w:rsid w:val="00C710EF"/>
    <w:rsid w:val="00C71128"/>
    <w:rsid w:val="00C7162E"/>
    <w:rsid w:val="00C716C3"/>
    <w:rsid w:val="00C717F9"/>
    <w:rsid w:val="00C718DC"/>
    <w:rsid w:val="00C719E9"/>
    <w:rsid w:val="00C71CB6"/>
    <w:rsid w:val="00C71F14"/>
    <w:rsid w:val="00C71F40"/>
    <w:rsid w:val="00C721C9"/>
    <w:rsid w:val="00C72282"/>
    <w:rsid w:val="00C7246D"/>
    <w:rsid w:val="00C726E7"/>
    <w:rsid w:val="00C729FB"/>
    <w:rsid w:val="00C72B41"/>
    <w:rsid w:val="00C72BCC"/>
    <w:rsid w:val="00C72FA6"/>
    <w:rsid w:val="00C73168"/>
    <w:rsid w:val="00C73424"/>
    <w:rsid w:val="00C7347A"/>
    <w:rsid w:val="00C736A2"/>
    <w:rsid w:val="00C737DC"/>
    <w:rsid w:val="00C74098"/>
    <w:rsid w:val="00C7458F"/>
    <w:rsid w:val="00C74A39"/>
    <w:rsid w:val="00C74AAC"/>
    <w:rsid w:val="00C74C33"/>
    <w:rsid w:val="00C750B6"/>
    <w:rsid w:val="00C752C2"/>
    <w:rsid w:val="00C75399"/>
    <w:rsid w:val="00C75526"/>
    <w:rsid w:val="00C755D1"/>
    <w:rsid w:val="00C7566B"/>
    <w:rsid w:val="00C759BD"/>
    <w:rsid w:val="00C76042"/>
    <w:rsid w:val="00C760A9"/>
    <w:rsid w:val="00C7626B"/>
    <w:rsid w:val="00C7632B"/>
    <w:rsid w:val="00C763CA"/>
    <w:rsid w:val="00C76436"/>
    <w:rsid w:val="00C76478"/>
    <w:rsid w:val="00C76494"/>
    <w:rsid w:val="00C76645"/>
    <w:rsid w:val="00C76969"/>
    <w:rsid w:val="00C76B32"/>
    <w:rsid w:val="00C76C66"/>
    <w:rsid w:val="00C7726D"/>
    <w:rsid w:val="00C774BA"/>
    <w:rsid w:val="00C77516"/>
    <w:rsid w:val="00C776ED"/>
    <w:rsid w:val="00C77892"/>
    <w:rsid w:val="00C77896"/>
    <w:rsid w:val="00C77C26"/>
    <w:rsid w:val="00C77D1D"/>
    <w:rsid w:val="00C77F05"/>
    <w:rsid w:val="00C77F93"/>
    <w:rsid w:val="00C80202"/>
    <w:rsid w:val="00C803F7"/>
    <w:rsid w:val="00C8045A"/>
    <w:rsid w:val="00C80535"/>
    <w:rsid w:val="00C80602"/>
    <w:rsid w:val="00C80767"/>
    <w:rsid w:val="00C80BA9"/>
    <w:rsid w:val="00C80CF2"/>
    <w:rsid w:val="00C81080"/>
    <w:rsid w:val="00C81347"/>
    <w:rsid w:val="00C8135C"/>
    <w:rsid w:val="00C814BE"/>
    <w:rsid w:val="00C816C4"/>
    <w:rsid w:val="00C8171C"/>
    <w:rsid w:val="00C8192F"/>
    <w:rsid w:val="00C81E7D"/>
    <w:rsid w:val="00C82C02"/>
    <w:rsid w:val="00C82CDF"/>
    <w:rsid w:val="00C82D89"/>
    <w:rsid w:val="00C82EDD"/>
    <w:rsid w:val="00C82FAD"/>
    <w:rsid w:val="00C835BC"/>
    <w:rsid w:val="00C8360F"/>
    <w:rsid w:val="00C83684"/>
    <w:rsid w:val="00C83732"/>
    <w:rsid w:val="00C8374D"/>
    <w:rsid w:val="00C83771"/>
    <w:rsid w:val="00C837F5"/>
    <w:rsid w:val="00C83C12"/>
    <w:rsid w:val="00C83FB7"/>
    <w:rsid w:val="00C841D3"/>
    <w:rsid w:val="00C84579"/>
    <w:rsid w:val="00C848D8"/>
    <w:rsid w:val="00C84DC2"/>
    <w:rsid w:val="00C84DE4"/>
    <w:rsid w:val="00C853CA"/>
    <w:rsid w:val="00C854D3"/>
    <w:rsid w:val="00C8555B"/>
    <w:rsid w:val="00C855AE"/>
    <w:rsid w:val="00C858EE"/>
    <w:rsid w:val="00C85EFF"/>
    <w:rsid w:val="00C863E5"/>
    <w:rsid w:val="00C866D7"/>
    <w:rsid w:val="00C8679C"/>
    <w:rsid w:val="00C86974"/>
    <w:rsid w:val="00C86BE6"/>
    <w:rsid w:val="00C86C40"/>
    <w:rsid w:val="00C86C9B"/>
    <w:rsid w:val="00C86DD2"/>
    <w:rsid w:val="00C86F16"/>
    <w:rsid w:val="00C87032"/>
    <w:rsid w:val="00C870F2"/>
    <w:rsid w:val="00C876DF"/>
    <w:rsid w:val="00C87764"/>
    <w:rsid w:val="00C87918"/>
    <w:rsid w:val="00C87940"/>
    <w:rsid w:val="00C87AF1"/>
    <w:rsid w:val="00C87C22"/>
    <w:rsid w:val="00C87C5C"/>
    <w:rsid w:val="00C87C8D"/>
    <w:rsid w:val="00C87CDE"/>
    <w:rsid w:val="00C87D18"/>
    <w:rsid w:val="00C9016F"/>
    <w:rsid w:val="00C903B9"/>
    <w:rsid w:val="00C90753"/>
    <w:rsid w:val="00C90760"/>
    <w:rsid w:val="00C90B93"/>
    <w:rsid w:val="00C90BCF"/>
    <w:rsid w:val="00C90ED9"/>
    <w:rsid w:val="00C90F31"/>
    <w:rsid w:val="00C9100B"/>
    <w:rsid w:val="00C91092"/>
    <w:rsid w:val="00C9110C"/>
    <w:rsid w:val="00C91239"/>
    <w:rsid w:val="00C9130C"/>
    <w:rsid w:val="00C913A0"/>
    <w:rsid w:val="00C914A0"/>
    <w:rsid w:val="00C914C7"/>
    <w:rsid w:val="00C918F0"/>
    <w:rsid w:val="00C91908"/>
    <w:rsid w:val="00C91B1C"/>
    <w:rsid w:val="00C91FE3"/>
    <w:rsid w:val="00C9207D"/>
    <w:rsid w:val="00C92227"/>
    <w:rsid w:val="00C925D5"/>
    <w:rsid w:val="00C92A77"/>
    <w:rsid w:val="00C92A7B"/>
    <w:rsid w:val="00C92BB6"/>
    <w:rsid w:val="00C93134"/>
    <w:rsid w:val="00C933E0"/>
    <w:rsid w:val="00C935ED"/>
    <w:rsid w:val="00C937F0"/>
    <w:rsid w:val="00C93B94"/>
    <w:rsid w:val="00C93C43"/>
    <w:rsid w:val="00C93EAA"/>
    <w:rsid w:val="00C94377"/>
    <w:rsid w:val="00C9469B"/>
    <w:rsid w:val="00C94AF3"/>
    <w:rsid w:val="00C952B8"/>
    <w:rsid w:val="00C9536C"/>
    <w:rsid w:val="00C953EE"/>
    <w:rsid w:val="00C953F7"/>
    <w:rsid w:val="00C954F4"/>
    <w:rsid w:val="00C954FC"/>
    <w:rsid w:val="00C95CE6"/>
    <w:rsid w:val="00C95DB5"/>
    <w:rsid w:val="00C95E6B"/>
    <w:rsid w:val="00C961C1"/>
    <w:rsid w:val="00C9677D"/>
    <w:rsid w:val="00C96846"/>
    <w:rsid w:val="00C96D54"/>
    <w:rsid w:val="00C96F7C"/>
    <w:rsid w:val="00C97141"/>
    <w:rsid w:val="00C972F9"/>
    <w:rsid w:val="00C974A8"/>
    <w:rsid w:val="00C976DC"/>
    <w:rsid w:val="00C9772C"/>
    <w:rsid w:val="00C9776C"/>
    <w:rsid w:val="00C97AA9"/>
    <w:rsid w:val="00C97AFC"/>
    <w:rsid w:val="00C97E39"/>
    <w:rsid w:val="00CA0237"/>
    <w:rsid w:val="00CA0380"/>
    <w:rsid w:val="00CA0719"/>
    <w:rsid w:val="00CA08D7"/>
    <w:rsid w:val="00CA0A48"/>
    <w:rsid w:val="00CA1081"/>
    <w:rsid w:val="00CA10BC"/>
    <w:rsid w:val="00CA169C"/>
    <w:rsid w:val="00CA17B2"/>
    <w:rsid w:val="00CA17C3"/>
    <w:rsid w:val="00CA1849"/>
    <w:rsid w:val="00CA1EAD"/>
    <w:rsid w:val="00CA1FA1"/>
    <w:rsid w:val="00CA1FE6"/>
    <w:rsid w:val="00CA2344"/>
    <w:rsid w:val="00CA2375"/>
    <w:rsid w:val="00CA25E6"/>
    <w:rsid w:val="00CA2630"/>
    <w:rsid w:val="00CA263F"/>
    <w:rsid w:val="00CA2A8B"/>
    <w:rsid w:val="00CA2BF8"/>
    <w:rsid w:val="00CA2E59"/>
    <w:rsid w:val="00CA3176"/>
    <w:rsid w:val="00CA3812"/>
    <w:rsid w:val="00CA3CCA"/>
    <w:rsid w:val="00CA3D9C"/>
    <w:rsid w:val="00CA414A"/>
    <w:rsid w:val="00CA4227"/>
    <w:rsid w:val="00CA4253"/>
    <w:rsid w:val="00CA42DD"/>
    <w:rsid w:val="00CA4327"/>
    <w:rsid w:val="00CA463C"/>
    <w:rsid w:val="00CA4658"/>
    <w:rsid w:val="00CA4663"/>
    <w:rsid w:val="00CA4776"/>
    <w:rsid w:val="00CA4787"/>
    <w:rsid w:val="00CA48E4"/>
    <w:rsid w:val="00CA4A38"/>
    <w:rsid w:val="00CA4BF3"/>
    <w:rsid w:val="00CA4D00"/>
    <w:rsid w:val="00CA4F67"/>
    <w:rsid w:val="00CA4FE3"/>
    <w:rsid w:val="00CA545B"/>
    <w:rsid w:val="00CA56D4"/>
    <w:rsid w:val="00CA5823"/>
    <w:rsid w:val="00CA5843"/>
    <w:rsid w:val="00CA5929"/>
    <w:rsid w:val="00CA5D1D"/>
    <w:rsid w:val="00CA5D9C"/>
    <w:rsid w:val="00CA5EB8"/>
    <w:rsid w:val="00CA6241"/>
    <w:rsid w:val="00CA646A"/>
    <w:rsid w:val="00CA65CB"/>
    <w:rsid w:val="00CA65EB"/>
    <w:rsid w:val="00CA66C1"/>
    <w:rsid w:val="00CA6E3E"/>
    <w:rsid w:val="00CA70F8"/>
    <w:rsid w:val="00CA7318"/>
    <w:rsid w:val="00CA74B5"/>
    <w:rsid w:val="00CA7870"/>
    <w:rsid w:val="00CA7A3D"/>
    <w:rsid w:val="00CA7D0B"/>
    <w:rsid w:val="00CA7E63"/>
    <w:rsid w:val="00CA7F8E"/>
    <w:rsid w:val="00CA7FE6"/>
    <w:rsid w:val="00CB01C1"/>
    <w:rsid w:val="00CB0208"/>
    <w:rsid w:val="00CB067F"/>
    <w:rsid w:val="00CB0796"/>
    <w:rsid w:val="00CB0824"/>
    <w:rsid w:val="00CB0975"/>
    <w:rsid w:val="00CB0A7A"/>
    <w:rsid w:val="00CB0C3C"/>
    <w:rsid w:val="00CB0F2D"/>
    <w:rsid w:val="00CB111C"/>
    <w:rsid w:val="00CB11C2"/>
    <w:rsid w:val="00CB1370"/>
    <w:rsid w:val="00CB137C"/>
    <w:rsid w:val="00CB1382"/>
    <w:rsid w:val="00CB1446"/>
    <w:rsid w:val="00CB148C"/>
    <w:rsid w:val="00CB1567"/>
    <w:rsid w:val="00CB15B7"/>
    <w:rsid w:val="00CB1768"/>
    <w:rsid w:val="00CB1955"/>
    <w:rsid w:val="00CB1C1E"/>
    <w:rsid w:val="00CB1C2C"/>
    <w:rsid w:val="00CB215B"/>
    <w:rsid w:val="00CB21BD"/>
    <w:rsid w:val="00CB21D5"/>
    <w:rsid w:val="00CB2298"/>
    <w:rsid w:val="00CB27B4"/>
    <w:rsid w:val="00CB297A"/>
    <w:rsid w:val="00CB2A6B"/>
    <w:rsid w:val="00CB2D74"/>
    <w:rsid w:val="00CB2F33"/>
    <w:rsid w:val="00CB304C"/>
    <w:rsid w:val="00CB32F5"/>
    <w:rsid w:val="00CB3434"/>
    <w:rsid w:val="00CB3679"/>
    <w:rsid w:val="00CB3873"/>
    <w:rsid w:val="00CB3A69"/>
    <w:rsid w:val="00CB3CA6"/>
    <w:rsid w:val="00CB3FF4"/>
    <w:rsid w:val="00CB4430"/>
    <w:rsid w:val="00CB4B95"/>
    <w:rsid w:val="00CB4BDE"/>
    <w:rsid w:val="00CB4DA4"/>
    <w:rsid w:val="00CB4E05"/>
    <w:rsid w:val="00CB501B"/>
    <w:rsid w:val="00CB56FC"/>
    <w:rsid w:val="00CB583E"/>
    <w:rsid w:val="00CB5B90"/>
    <w:rsid w:val="00CB604D"/>
    <w:rsid w:val="00CB616C"/>
    <w:rsid w:val="00CB62A9"/>
    <w:rsid w:val="00CB634C"/>
    <w:rsid w:val="00CB651F"/>
    <w:rsid w:val="00CB6A89"/>
    <w:rsid w:val="00CB6BB7"/>
    <w:rsid w:val="00CB6D7A"/>
    <w:rsid w:val="00CB78ED"/>
    <w:rsid w:val="00CB79A9"/>
    <w:rsid w:val="00CB79E9"/>
    <w:rsid w:val="00CB7ACD"/>
    <w:rsid w:val="00CB7E3B"/>
    <w:rsid w:val="00CB7EAB"/>
    <w:rsid w:val="00CB7F41"/>
    <w:rsid w:val="00CC0288"/>
    <w:rsid w:val="00CC085F"/>
    <w:rsid w:val="00CC0D09"/>
    <w:rsid w:val="00CC0F68"/>
    <w:rsid w:val="00CC0F75"/>
    <w:rsid w:val="00CC190E"/>
    <w:rsid w:val="00CC1B61"/>
    <w:rsid w:val="00CC1E9F"/>
    <w:rsid w:val="00CC1FCA"/>
    <w:rsid w:val="00CC2739"/>
    <w:rsid w:val="00CC2952"/>
    <w:rsid w:val="00CC2CC1"/>
    <w:rsid w:val="00CC2D61"/>
    <w:rsid w:val="00CC2DCE"/>
    <w:rsid w:val="00CC2E07"/>
    <w:rsid w:val="00CC306A"/>
    <w:rsid w:val="00CC3479"/>
    <w:rsid w:val="00CC353F"/>
    <w:rsid w:val="00CC35A6"/>
    <w:rsid w:val="00CC39DD"/>
    <w:rsid w:val="00CC3D9B"/>
    <w:rsid w:val="00CC3FC8"/>
    <w:rsid w:val="00CC3FDA"/>
    <w:rsid w:val="00CC411E"/>
    <w:rsid w:val="00CC4295"/>
    <w:rsid w:val="00CC44B5"/>
    <w:rsid w:val="00CC4539"/>
    <w:rsid w:val="00CC4813"/>
    <w:rsid w:val="00CC4C2F"/>
    <w:rsid w:val="00CC51CF"/>
    <w:rsid w:val="00CC5426"/>
    <w:rsid w:val="00CC546F"/>
    <w:rsid w:val="00CC593B"/>
    <w:rsid w:val="00CC5959"/>
    <w:rsid w:val="00CC5C38"/>
    <w:rsid w:val="00CC5DC3"/>
    <w:rsid w:val="00CC637D"/>
    <w:rsid w:val="00CC65C8"/>
    <w:rsid w:val="00CC6654"/>
    <w:rsid w:val="00CC6765"/>
    <w:rsid w:val="00CC6956"/>
    <w:rsid w:val="00CC6995"/>
    <w:rsid w:val="00CC69B3"/>
    <w:rsid w:val="00CC6BA8"/>
    <w:rsid w:val="00CC6C00"/>
    <w:rsid w:val="00CC6FC9"/>
    <w:rsid w:val="00CC700C"/>
    <w:rsid w:val="00CC7079"/>
    <w:rsid w:val="00CC7217"/>
    <w:rsid w:val="00CC7510"/>
    <w:rsid w:val="00CC756B"/>
    <w:rsid w:val="00CC782F"/>
    <w:rsid w:val="00CC7CA8"/>
    <w:rsid w:val="00CC7D16"/>
    <w:rsid w:val="00CC7E12"/>
    <w:rsid w:val="00CD02F7"/>
    <w:rsid w:val="00CD038F"/>
    <w:rsid w:val="00CD0462"/>
    <w:rsid w:val="00CD0904"/>
    <w:rsid w:val="00CD0ABA"/>
    <w:rsid w:val="00CD0BC6"/>
    <w:rsid w:val="00CD0C78"/>
    <w:rsid w:val="00CD1079"/>
    <w:rsid w:val="00CD123C"/>
    <w:rsid w:val="00CD142F"/>
    <w:rsid w:val="00CD1447"/>
    <w:rsid w:val="00CD15B2"/>
    <w:rsid w:val="00CD1619"/>
    <w:rsid w:val="00CD1670"/>
    <w:rsid w:val="00CD167A"/>
    <w:rsid w:val="00CD1CB9"/>
    <w:rsid w:val="00CD2D68"/>
    <w:rsid w:val="00CD2D7E"/>
    <w:rsid w:val="00CD2F20"/>
    <w:rsid w:val="00CD2F9D"/>
    <w:rsid w:val="00CD2FA6"/>
    <w:rsid w:val="00CD306E"/>
    <w:rsid w:val="00CD3162"/>
    <w:rsid w:val="00CD32F7"/>
    <w:rsid w:val="00CD34CE"/>
    <w:rsid w:val="00CD371A"/>
    <w:rsid w:val="00CD375C"/>
    <w:rsid w:val="00CD382F"/>
    <w:rsid w:val="00CD3DCD"/>
    <w:rsid w:val="00CD3DE9"/>
    <w:rsid w:val="00CD3E09"/>
    <w:rsid w:val="00CD3ECA"/>
    <w:rsid w:val="00CD3F3C"/>
    <w:rsid w:val="00CD4067"/>
    <w:rsid w:val="00CD43A4"/>
    <w:rsid w:val="00CD45D8"/>
    <w:rsid w:val="00CD4612"/>
    <w:rsid w:val="00CD4B25"/>
    <w:rsid w:val="00CD4BFB"/>
    <w:rsid w:val="00CD4E6F"/>
    <w:rsid w:val="00CD55DE"/>
    <w:rsid w:val="00CD5833"/>
    <w:rsid w:val="00CD5F04"/>
    <w:rsid w:val="00CD5FB4"/>
    <w:rsid w:val="00CD61F1"/>
    <w:rsid w:val="00CD6272"/>
    <w:rsid w:val="00CD6472"/>
    <w:rsid w:val="00CD64FF"/>
    <w:rsid w:val="00CD65D5"/>
    <w:rsid w:val="00CD669F"/>
    <w:rsid w:val="00CD66E2"/>
    <w:rsid w:val="00CD66E3"/>
    <w:rsid w:val="00CD67A7"/>
    <w:rsid w:val="00CD6867"/>
    <w:rsid w:val="00CD6BFF"/>
    <w:rsid w:val="00CD6E49"/>
    <w:rsid w:val="00CD7213"/>
    <w:rsid w:val="00CD7406"/>
    <w:rsid w:val="00CD74A9"/>
    <w:rsid w:val="00CD75C5"/>
    <w:rsid w:val="00CD7652"/>
    <w:rsid w:val="00CD7DD5"/>
    <w:rsid w:val="00CD7F24"/>
    <w:rsid w:val="00CD7F7B"/>
    <w:rsid w:val="00CE04C6"/>
    <w:rsid w:val="00CE0A10"/>
    <w:rsid w:val="00CE0A44"/>
    <w:rsid w:val="00CE0D1F"/>
    <w:rsid w:val="00CE0E6B"/>
    <w:rsid w:val="00CE174E"/>
    <w:rsid w:val="00CE1DB2"/>
    <w:rsid w:val="00CE1E1B"/>
    <w:rsid w:val="00CE1F6C"/>
    <w:rsid w:val="00CE2225"/>
    <w:rsid w:val="00CE25E9"/>
    <w:rsid w:val="00CE26FC"/>
    <w:rsid w:val="00CE2732"/>
    <w:rsid w:val="00CE2924"/>
    <w:rsid w:val="00CE2B46"/>
    <w:rsid w:val="00CE30A1"/>
    <w:rsid w:val="00CE318E"/>
    <w:rsid w:val="00CE32B0"/>
    <w:rsid w:val="00CE3576"/>
    <w:rsid w:val="00CE38BD"/>
    <w:rsid w:val="00CE3BDC"/>
    <w:rsid w:val="00CE3DCC"/>
    <w:rsid w:val="00CE3F0C"/>
    <w:rsid w:val="00CE3F87"/>
    <w:rsid w:val="00CE40FD"/>
    <w:rsid w:val="00CE4469"/>
    <w:rsid w:val="00CE4476"/>
    <w:rsid w:val="00CE4793"/>
    <w:rsid w:val="00CE4893"/>
    <w:rsid w:val="00CE4966"/>
    <w:rsid w:val="00CE4C51"/>
    <w:rsid w:val="00CE4E69"/>
    <w:rsid w:val="00CE502B"/>
    <w:rsid w:val="00CE5138"/>
    <w:rsid w:val="00CE53F8"/>
    <w:rsid w:val="00CE544A"/>
    <w:rsid w:val="00CE54D7"/>
    <w:rsid w:val="00CE55AF"/>
    <w:rsid w:val="00CE560B"/>
    <w:rsid w:val="00CE5CAC"/>
    <w:rsid w:val="00CE5D10"/>
    <w:rsid w:val="00CE5ED8"/>
    <w:rsid w:val="00CE5FAF"/>
    <w:rsid w:val="00CE6264"/>
    <w:rsid w:val="00CE6275"/>
    <w:rsid w:val="00CE647C"/>
    <w:rsid w:val="00CE6716"/>
    <w:rsid w:val="00CE67FB"/>
    <w:rsid w:val="00CE6913"/>
    <w:rsid w:val="00CE7164"/>
    <w:rsid w:val="00CE71DB"/>
    <w:rsid w:val="00CE7221"/>
    <w:rsid w:val="00CE7611"/>
    <w:rsid w:val="00CE7658"/>
    <w:rsid w:val="00CE7672"/>
    <w:rsid w:val="00CE78CD"/>
    <w:rsid w:val="00CE791B"/>
    <w:rsid w:val="00CE7EFF"/>
    <w:rsid w:val="00CF0049"/>
    <w:rsid w:val="00CF00A2"/>
    <w:rsid w:val="00CF0A2E"/>
    <w:rsid w:val="00CF0A73"/>
    <w:rsid w:val="00CF0C6E"/>
    <w:rsid w:val="00CF11ED"/>
    <w:rsid w:val="00CF12B3"/>
    <w:rsid w:val="00CF1750"/>
    <w:rsid w:val="00CF182B"/>
    <w:rsid w:val="00CF199F"/>
    <w:rsid w:val="00CF1B49"/>
    <w:rsid w:val="00CF1E1A"/>
    <w:rsid w:val="00CF24C4"/>
    <w:rsid w:val="00CF2561"/>
    <w:rsid w:val="00CF25A4"/>
    <w:rsid w:val="00CF26D0"/>
    <w:rsid w:val="00CF27EA"/>
    <w:rsid w:val="00CF297B"/>
    <w:rsid w:val="00CF29FA"/>
    <w:rsid w:val="00CF2B30"/>
    <w:rsid w:val="00CF31E7"/>
    <w:rsid w:val="00CF34BF"/>
    <w:rsid w:val="00CF3670"/>
    <w:rsid w:val="00CF3996"/>
    <w:rsid w:val="00CF3A29"/>
    <w:rsid w:val="00CF3BCB"/>
    <w:rsid w:val="00CF3DAE"/>
    <w:rsid w:val="00CF40B5"/>
    <w:rsid w:val="00CF41C5"/>
    <w:rsid w:val="00CF42F0"/>
    <w:rsid w:val="00CF4338"/>
    <w:rsid w:val="00CF49E0"/>
    <w:rsid w:val="00CF4B31"/>
    <w:rsid w:val="00CF4CA7"/>
    <w:rsid w:val="00CF5003"/>
    <w:rsid w:val="00CF50F4"/>
    <w:rsid w:val="00CF512B"/>
    <w:rsid w:val="00CF5705"/>
    <w:rsid w:val="00CF5BE1"/>
    <w:rsid w:val="00CF5C86"/>
    <w:rsid w:val="00CF5CA8"/>
    <w:rsid w:val="00CF5DA7"/>
    <w:rsid w:val="00CF613A"/>
    <w:rsid w:val="00CF654D"/>
    <w:rsid w:val="00CF6D0B"/>
    <w:rsid w:val="00CF6EDA"/>
    <w:rsid w:val="00CF711A"/>
    <w:rsid w:val="00CF71A5"/>
    <w:rsid w:val="00CF71C6"/>
    <w:rsid w:val="00CF7B6A"/>
    <w:rsid w:val="00D0000B"/>
    <w:rsid w:val="00D00610"/>
    <w:rsid w:val="00D00732"/>
    <w:rsid w:val="00D008B8"/>
    <w:rsid w:val="00D00907"/>
    <w:rsid w:val="00D00C2F"/>
    <w:rsid w:val="00D00E24"/>
    <w:rsid w:val="00D00F4F"/>
    <w:rsid w:val="00D00FB8"/>
    <w:rsid w:val="00D01006"/>
    <w:rsid w:val="00D01391"/>
    <w:rsid w:val="00D014CA"/>
    <w:rsid w:val="00D01642"/>
    <w:rsid w:val="00D020F3"/>
    <w:rsid w:val="00D02178"/>
    <w:rsid w:val="00D02179"/>
    <w:rsid w:val="00D022E2"/>
    <w:rsid w:val="00D022F9"/>
    <w:rsid w:val="00D023BE"/>
    <w:rsid w:val="00D023EB"/>
    <w:rsid w:val="00D03141"/>
    <w:rsid w:val="00D0326F"/>
    <w:rsid w:val="00D032E3"/>
    <w:rsid w:val="00D036E9"/>
    <w:rsid w:val="00D03766"/>
    <w:rsid w:val="00D037C3"/>
    <w:rsid w:val="00D0388A"/>
    <w:rsid w:val="00D03AF9"/>
    <w:rsid w:val="00D03D3C"/>
    <w:rsid w:val="00D03D9E"/>
    <w:rsid w:val="00D04616"/>
    <w:rsid w:val="00D04A5F"/>
    <w:rsid w:val="00D04ACC"/>
    <w:rsid w:val="00D04BF1"/>
    <w:rsid w:val="00D04C8F"/>
    <w:rsid w:val="00D050D9"/>
    <w:rsid w:val="00D0518B"/>
    <w:rsid w:val="00D056B3"/>
    <w:rsid w:val="00D056B7"/>
    <w:rsid w:val="00D05DFB"/>
    <w:rsid w:val="00D05EE6"/>
    <w:rsid w:val="00D05EFD"/>
    <w:rsid w:val="00D06167"/>
    <w:rsid w:val="00D0617A"/>
    <w:rsid w:val="00D0627D"/>
    <w:rsid w:val="00D0629A"/>
    <w:rsid w:val="00D065E5"/>
    <w:rsid w:val="00D0674A"/>
    <w:rsid w:val="00D069E2"/>
    <w:rsid w:val="00D06A75"/>
    <w:rsid w:val="00D06B15"/>
    <w:rsid w:val="00D06C1C"/>
    <w:rsid w:val="00D06E60"/>
    <w:rsid w:val="00D07647"/>
    <w:rsid w:val="00D0773C"/>
    <w:rsid w:val="00D07930"/>
    <w:rsid w:val="00D07A55"/>
    <w:rsid w:val="00D07BC2"/>
    <w:rsid w:val="00D07BFE"/>
    <w:rsid w:val="00D07C37"/>
    <w:rsid w:val="00D07E01"/>
    <w:rsid w:val="00D07EF0"/>
    <w:rsid w:val="00D10145"/>
    <w:rsid w:val="00D10452"/>
    <w:rsid w:val="00D10B5F"/>
    <w:rsid w:val="00D10C09"/>
    <w:rsid w:val="00D10C79"/>
    <w:rsid w:val="00D10C92"/>
    <w:rsid w:val="00D10CF8"/>
    <w:rsid w:val="00D110BE"/>
    <w:rsid w:val="00D1113A"/>
    <w:rsid w:val="00D1131D"/>
    <w:rsid w:val="00D113CE"/>
    <w:rsid w:val="00D113D1"/>
    <w:rsid w:val="00D11460"/>
    <w:rsid w:val="00D116FC"/>
    <w:rsid w:val="00D1180D"/>
    <w:rsid w:val="00D11902"/>
    <w:rsid w:val="00D11A00"/>
    <w:rsid w:val="00D11B99"/>
    <w:rsid w:val="00D11D1D"/>
    <w:rsid w:val="00D11D3D"/>
    <w:rsid w:val="00D120F5"/>
    <w:rsid w:val="00D125A4"/>
    <w:rsid w:val="00D12B5D"/>
    <w:rsid w:val="00D12B77"/>
    <w:rsid w:val="00D12D00"/>
    <w:rsid w:val="00D12D37"/>
    <w:rsid w:val="00D1310C"/>
    <w:rsid w:val="00D135FF"/>
    <w:rsid w:val="00D13601"/>
    <w:rsid w:val="00D13740"/>
    <w:rsid w:val="00D140AB"/>
    <w:rsid w:val="00D141AE"/>
    <w:rsid w:val="00D143E5"/>
    <w:rsid w:val="00D1447B"/>
    <w:rsid w:val="00D1481D"/>
    <w:rsid w:val="00D1489E"/>
    <w:rsid w:val="00D14A75"/>
    <w:rsid w:val="00D14AB9"/>
    <w:rsid w:val="00D14DFD"/>
    <w:rsid w:val="00D1500E"/>
    <w:rsid w:val="00D15395"/>
    <w:rsid w:val="00D1560C"/>
    <w:rsid w:val="00D15922"/>
    <w:rsid w:val="00D16386"/>
    <w:rsid w:val="00D166D1"/>
    <w:rsid w:val="00D167E5"/>
    <w:rsid w:val="00D16A64"/>
    <w:rsid w:val="00D16ABB"/>
    <w:rsid w:val="00D16C19"/>
    <w:rsid w:val="00D16F91"/>
    <w:rsid w:val="00D17098"/>
    <w:rsid w:val="00D170B0"/>
    <w:rsid w:val="00D177D4"/>
    <w:rsid w:val="00D179F0"/>
    <w:rsid w:val="00D20221"/>
    <w:rsid w:val="00D20385"/>
    <w:rsid w:val="00D208F9"/>
    <w:rsid w:val="00D20995"/>
    <w:rsid w:val="00D209B4"/>
    <w:rsid w:val="00D209C9"/>
    <w:rsid w:val="00D209FB"/>
    <w:rsid w:val="00D20A13"/>
    <w:rsid w:val="00D20A14"/>
    <w:rsid w:val="00D20B02"/>
    <w:rsid w:val="00D20CF6"/>
    <w:rsid w:val="00D20DF9"/>
    <w:rsid w:val="00D20E29"/>
    <w:rsid w:val="00D20ECC"/>
    <w:rsid w:val="00D213F0"/>
    <w:rsid w:val="00D215C2"/>
    <w:rsid w:val="00D2163A"/>
    <w:rsid w:val="00D216C8"/>
    <w:rsid w:val="00D21D85"/>
    <w:rsid w:val="00D21EB1"/>
    <w:rsid w:val="00D21F83"/>
    <w:rsid w:val="00D2220D"/>
    <w:rsid w:val="00D2231A"/>
    <w:rsid w:val="00D223D9"/>
    <w:rsid w:val="00D2262B"/>
    <w:rsid w:val="00D22912"/>
    <w:rsid w:val="00D22A4A"/>
    <w:rsid w:val="00D22B78"/>
    <w:rsid w:val="00D22C3B"/>
    <w:rsid w:val="00D22C87"/>
    <w:rsid w:val="00D22D33"/>
    <w:rsid w:val="00D22D7D"/>
    <w:rsid w:val="00D22DBF"/>
    <w:rsid w:val="00D22EF9"/>
    <w:rsid w:val="00D2308B"/>
    <w:rsid w:val="00D231AA"/>
    <w:rsid w:val="00D23256"/>
    <w:rsid w:val="00D23438"/>
    <w:rsid w:val="00D23737"/>
    <w:rsid w:val="00D23991"/>
    <w:rsid w:val="00D239EA"/>
    <w:rsid w:val="00D23A36"/>
    <w:rsid w:val="00D23CFC"/>
    <w:rsid w:val="00D23F51"/>
    <w:rsid w:val="00D24262"/>
    <w:rsid w:val="00D2474F"/>
    <w:rsid w:val="00D24941"/>
    <w:rsid w:val="00D25532"/>
    <w:rsid w:val="00D25A07"/>
    <w:rsid w:val="00D25BD6"/>
    <w:rsid w:val="00D25D2F"/>
    <w:rsid w:val="00D25DA4"/>
    <w:rsid w:val="00D25F55"/>
    <w:rsid w:val="00D26052"/>
    <w:rsid w:val="00D265E1"/>
    <w:rsid w:val="00D2662D"/>
    <w:rsid w:val="00D26B57"/>
    <w:rsid w:val="00D26E0E"/>
    <w:rsid w:val="00D26F28"/>
    <w:rsid w:val="00D2729B"/>
    <w:rsid w:val="00D272E0"/>
    <w:rsid w:val="00D27373"/>
    <w:rsid w:val="00D27395"/>
    <w:rsid w:val="00D27420"/>
    <w:rsid w:val="00D2765D"/>
    <w:rsid w:val="00D2777E"/>
    <w:rsid w:val="00D27F20"/>
    <w:rsid w:val="00D27FEC"/>
    <w:rsid w:val="00D301DF"/>
    <w:rsid w:val="00D30306"/>
    <w:rsid w:val="00D30333"/>
    <w:rsid w:val="00D303EA"/>
    <w:rsid w:val="00D303FA"/>
    <w:rsid w:val="00D30401"/>
    <w:rsid w:val="00D305A8"/>
    <w:rsid w:val="00D306F4"/>
    <w:rsid w:val="00D307C9"/>
    <w:rsid w:val="00D3091F"/>
    <w:rsid w:val="00D30B08"/>
    <w:rsid w:val="00D30BC1"/>
    <w:rsid w:val="00D30C24"/>
    <w:rsid w:val="00D30D5B"/>
    <w:rsid w:val="00D30D7E"/>
    <w:rsid w:val="00D30FC8"/>
    <w:rsid w:val="00D31216"/>
    <w:rsid w:val="00D31226"/>
    <w:rsid w:val="00D31700"/>
    <w:rsid w:val="00D31751"/>
    <w:rsid w:val="00D317F8"/>
    <w:rsid w:val="00D318AA"/>
    <w:rsid w:val="00D31A8A"/>
    <w:rsid w:val="00D3205F"/>
    <w:rsid w:val="00D32145"/>
    <w:rsid w:val="00D32146"/>
    <w:rsid w:val="00D321DA"/>
    <w:rsid w:val="00D32468"/>
    <w:rsid w:val="00D32585"/>
    <w:rsid w:val="00D325CA"/>
    <w:rsid w:val="00D3274A"/>
    <w:rsid w:val="00D32CCD"/>
    <w:rsid w:val="00D32CF7"/>
    <w:rsid w:val="00D32D9F"/>
    <w:rsid w:val="00D32F96"/>
    <w:rsid w:val="00D33614"/>
    <w:rsid w:val="00D33835"/>
    <w:rsid w:val="00D338F7"/>
    <w:rsid w:val="00D3449C"/>
    <w:rsid w:val="00D345BA"/>
    <w:rsid w:val="00D34910"/>
    <w:rsid w:val="00D34B7B"/>
    <w:rsid w:val="00D34E91"/>
    <w:rsid w:val="00D351D6"/>
    <w:rsid w:val="00D3520F"/>
    <w:rsid w:val="00D353AB"/>
    <w:rsid w:val="00D35620"/>
    <w:rsid w:val="00D35647"/>
    <w:rsid w:val="00D356E6"/>
    <w:rsid w:val="00D35788"/>
    <w:rsid w:val="00D35919"/>
    <w:rsid w:val="00D359FF"/>
    <w:rsid w:val="00D35E2E"/>
    <w:rsid w:val="00D3625F"/>
    <w:rsid w:val="00D36283"/>
    <w:rsid w:val="00D36396"/>
    <w:rsid w:val="00D36466"/>
    <w:rsid w:val="00D364C1"/>
    <w:rsid w:val="00D36539"/>
    <w:rsid w:val="00D36BC8"/>
    <w:rsid w:val="00D36BFF"/>
    <w:rsid w:val="00D36C35"/>
    <w:rsid w:val="00D36FBD"/>
    <w:rsid w:val="00D3701C"/>
    <w:rsid w:val="00D372B1"/>
    <w:rsid w:val="00D37524"/>
    <w:rsid w:val="00D375E5"/>
    <w:rsid w:val="00D378C3"/>
    <w:rsid w:val="00D37C05"/>
    <w:rsid w:val="00D37D9F"/>
    <w:rsid w:val="00D37DF8"/>
    <w:rsid w:val="00D37F07"/>
    <w:rsid w:val="00D37F79"/>
    <w:rsid w:val="00D37FBA"/>
    <w:rsid w:val="00D4007B"/>
    <w:rsid w:val="00D402D8"/>
    <w:rsid w:val="00D40332"/>
    <w:rsid w:val="00D403AD"/>
    <w:rsid w:val="00D40456"/>
    <w:rsid w:val="00D40547"/>
    <w:rsid w:val="00D40585"/>
    <w:rsid w:val="00D40CCE"/>
    <w:rsid w:val="00D41257"/>
    <w:rsid w:val="00D4176B"/>
    <w:rsid w:val="00D4181F"/>
    <w:rsid w:val="00D41909"/>
    <w:rsid w:val="00D419EF"/>
    <w:rsid w:val="00D41E75"/>
    <w:rsid w:val="00D41E90"/>
    <w:rsid w:val="00D424B9"/>
    <w:rsid w:val="00D42A12"/>
    <w:rsid w:val="00D42A7B"/>
    <w:rsid w:val="00D42B3C"/>
    <w:rsid w:val="00D42B4D"/>
    <w:rsid w:val="00D42C7F"/>
    <w:rsid w:val="00D42F3E"/>
    <w:rsid w:val="00D4303A"/>
    <w:rsid w:val="00D4334C"/>
    <w:rsid w:val="00D433BF"/>
    <w:rsid w:val="00D4343C"/>
    <w:rsid w:val="00D43905"/>
    <w:rsid w:val="00D43B0D"/>
    <w:rsid w:val="00D43E94"/>
    <w:rsid w:val="00D4416F"/>
    <w:rsid w:val="00D442DB"/>
    <w:rsid w:val="00D443DF"/>
    <w:rsid w:val="00D446B0"/>
    <w:rsid w:val="00D446D7"/>
    <w:rsid w:val="00D44926"/>
    <w:rsid w:val="00D44D76"/>
    <w:rsid w:val="00D4503C"/>
    <w:rsid w:val="00D45066"/>
    <w:rsid w:val="00D45236"/>
    <w:rsid w:val="00D45381"/>
    <w:rsid w:val="00D45507"/>
    <w:rsid w:val="00D457D3"/>
    <w:rsid w:val="00D45BDB"/>
    <w:rsid w:val="00D45CE5"/>
    <w:rsid w:val="00D45E9D"/>
    <w:rsid w:val="00D45F24"/>
    <w:rsid w:val="00D46BCB"/>
    <w:rsid w:val="00D46C4D"/>
    <w:rsid w:val="00D46DD7"/>
    <w:rsid w:val="00D472AB"/>
    <w:rsid w:val="00D4793A"/>
    <w:rsid w:val="00D47D9E"/>
    <w:rsid w:val="00D47DD5"/>
    <w:rsid w:val="00D47EA6"/>
    <w:rsid w:val="00D501EE"/>
    <w:rsid w:val="00D50291"/>
    <w:rsid w:val="00D503E1"/>
    <w:rsid w:val="00D504AF"/>
    <w:rsid w:val="00D504B3"/>
    <w:rsid w:val="00D50564"/>
    <w:rsid w:val="00D50619"/>
    <w:rsid w:val="00D50AE2"/>
    <w:rsid w:val="00D50C26"/>
    <w:rsid w:val="00D50E72"/>
    <w:rsid w:val="00D50E8E"/>
    <w:rsid w:val="00D512C1"/>
    <w:rsid w:val="00D513CA"/>
    <w:rsid w:val="00D513F4"/>
    <w:rsid w:val="00D517C3"/>
    <w:rsid w:val="00D518F9"/>
    <w:rsid w:val="00D519C9"/>
    <w:rsid w:val="00D51CAF"/>
    <w:rsid w:val="00D51F2C"/>
    <w:rsid w:val="00D520AD"/>
    <w:rsid w:val="00D52153"/>
    <w:rsid w:val="00D521C0"/>
    <w:rsid w:val="00D522E1"/>
    <w:rsid w:val="00D523B3"/>
    <w:rsid w:val="00D52557"/>
    <w:rsid w:val="00D5277F"/>
    <w:rsid w:val="00D52C0D"/>
    <w:rsid w:val="00D531B4"/>
    <w:rsid w:val="00D5344D"/>
    <w:rsid w:val="00D5349F"/>
    <w:rsid w:val="00D534E1"/>
    <w:rsid w:val="00D534F5"/>
    <w:rsid w:val="00D53530"/>
    <w:rsid w:val="00D536A3"/>
    <w:rsid w:val="00D536D6"/>
    <w:rsid w:val="00D538BB"/>
    <w:rsid w:val="00D53C43"/>
    <w:rsid w:val="00D53D6E"/>
    <w:rsid w:val="00D53E77"/>
    <w:rsid w:val="00D53EE5"/>
    <w:rsid w:val="00D54123"/>
    <w:rsid w:val="00D547CA"/>
    <w:rsid w:val="00D54AD7"/>
    <w:rsid w:val="00D54F3A"/>
    <w:rsid w:val="00D559B4"/>
    <w:rsid w:val="00D55BB5"/>
    <w:rsid w:val="00D56048"/>
    <w:rsid w:val="00D561FB"/>
    <w:rsid w:val="00D5639C"/>
    <w:rsid w:val="00D5689D"/>
    <w:rsid w:val="00D569C4"/>
    <w:rsid w:val="00D56BD4"/>
    <w:rsid w:val="00D56C0D"/>
    <w:rsid w:val="00D56F34"/>
    <w:rsid w:val="00D57247"/>
    <w:rsid w:val="00D5759E"/>
    <w:rsid w:val="00D575D2"/>
    <w:rsid w:val="00D5766D"/>
    <w:rsid w:val="00D57882"/>
    <w:rsid w:val="00D57AD5"/>
    <w:rsid w:val="00D57AED"/>
    <w:rsid w:val="00D600E9"/>
    <w:rsid w:val="00D6011A"/>
    <w:rsid w:val="00D60563"/>
    <w:rsid w:val="00D605B6"/>
    <w:rsid w:val="00D605D7"/>
    <w:rsid w:val="00D60813"/>
    <w:rsid w:val="00D609C7"/>
    <w:rsid w:val="00D60BF2"/>
    <w:rsid w:val="00D60F33"/>
    <w:rsid w:val="00D61761"/>
    <w:rsid w:val="00D617B0"/>
    <w:rsid w:val="00D619C8"/>
    <w:rsid w:val="00D61A98"/>
    <w:rsid w:val="00D61E9D"/>
    <w:rsid w:val="00D61F16"/>
    <w:rsid w:val="00D6226D"/>
    <w:rsid w:val="00D6244F"/>
    <w:rsid w:val="00D6261E"/>
    <w:rsid w:val="00D62640"/>
    <w:rsid w:val="00D62DD2"/>
    <w:rsid w:val="00D631D3"/>
    <w:rsid w:val="00D6328F"/>
    <w:rsid w:val="00D63634"/>
    <w:rsid w:val="00D63700"/>
    <w:rsid w:val="00D63788"/>
    <w:rsid w:val="00D63CAA"/>
    <w:rsid w:val="00D63F1A"/>
    <w:rsid w:val="00D63F37"/>
    <w:rsid w:val="00D64420"/>
    <w:rsid w:val="00D644CE"/>
    <w:rsid w:val="00D6465A"/>
    <w:rsid w:val="00D64799"/>
    <w:rsid w:val="00D6486A"/>
    <w:rsid w:val="00D64C87"/>
    <w:rsid w:val="00D650D6"/>
    <w:rsid w:val="00D6510A"/>
    <w:rsid w:val="00D65369"/>
    <w:rsid w:val="00D6539C"/>
    <w:rsid w:val="00D65437"/>
    <w:rsid w:val="00D655E6"/>
    <w:rsid w:val="00D656E7"/>
    <w:rsid w:val="00D657FA"/>
    <w:rsid w:val="00D65966"/>
    <w:rsid w:val="00D659A0"/>
    <w:rsid w:val="00D65B56"/>
    <w:rsid w:val="00D65C2F"/>
    <w:rsid w:val="00D65C8F"/>
    <w:rsid w:val="00D65DD0"/>
    <w:rsid w:val="00D66453"/>
    <w:rsid w:val="00D668C7"/>
    <w:rsid w:val="00D66986"/>
    <w:rsid w:val="00D66B22"/>
    <w:rsid w:val="00D66E2A"/>
    <w:rsid w:val="00D6745A"/>
    <w:rsid w:val="00D675D4"/>
    <w:rsid w:val="00D67A8A"/>
    <w:rsid w:val="00D67BDC"/>
    <w:rsid w:val="00D67D2B"/>
    <w:rsid w:val="00D67DBA"/>
    <w:rsid w:val="00D67E49"/>
    <w:rsid w:val="00D67ECB"/>
    <w:rsid w:val="00D703AD"/>
    <w:rsid w:val="00D70848"/>
    <w:rsid w:val="00D70E56"/>
    <w:rsid w:val="00D70FE6"/>
    <w:rsid w:val="00D71061"/>
    <w:rsid w:val="00D717FC"/>
    <w:rsid w:val="00D71938"/>
    <w:rsid w:val="00D71A55"/>
    <w:rsid w:val="00D71A69"/>
    <w:rsid w:val="00D71AD9"/>
    <w:rsid w:val="00D71C83"/>
    <w:rsid w:val="00D71E7F"/>
    <w:rsid w:val="00D71F24"/>
    <w:rsid w:val="00D72326"/>
    <w:rsid w:val="00D72927"/>
    <w:rsid w:val="00D72B96"/>
    <w:rsid w:val="00D72E80"/>
    <w:rsid w:val="00D72F9D"/>
    <w:rsid w:val="00D73045"/>
    <w:rsid w:val="00D73075"/>
    <w:rsid w:val="00D7341E"/>
    <w:rsid w:val="00D73542"/>
    <w:rsid w:val="00D7369A"/>
    <w:rsid w:val="00D7376B"/>
    <w:rsid w:val="00D7390F"/>
    <w:rsid w:val="00D73AB4"/>
    <w:rsid w:val="00D73D7E"/>
    <w:rsid w:val="00D73F07"/>
    <w:rsid w:val="00D73FFE"/>
    <w:rsid w:val="00D7413C"/>
    <w:rsid w:val="00D7436C"/>
    <w:rsid w:val="00D74577"/>
    <w:rsid w:val="00D749B3"/>
    <w:rsid w:val="00D749B9"/>
    <w:rsid w:val="00D74BF1"/>
    <w:rsid w:val="00D74D8D"/>
    <w:rsid w:val="00D7501F"/>
    <w:rsid w:val="00D75062"/>
    <w:rsid w:val="00D7518F"/>
    <w:rsid w:val="00D75378"/>
    <w:rsid w:val="00D75885"/>
    <w:rsid w:val="00D758B8"/>
    <w:rsid w:val="00D758F3"/>
    <w:rsid w:val="00D759E1"/>
    <w:rsid w:val="00D75D0E"/>
    <w:rsid w:val="00D75F4A"/>
    <w:rsid w:val="00D76019"/>
    <w:rsid w:val="00D763BF"/>
    <w:rsid w:val="00D7673C"/>
    <w:rsid w:val="00D76951"/>
    <w:rsid w:val="00D7737A"/>
    <w:rsid w:val="00D77966"/>
    <w:rsid w:val="00D77DB3"/>
    <w:rsid w:val="00D77DF0"/>
    <w:rsid w:val="00D77EEE"/>
    <w:rsid w:val="00D8039F"/>
    <w:rsid w:val="00D807A3"/>
    <w:rsid w:val="00D807A8"/>
    <w:rsid w:val="00D80897"/>
    <w:rsid w:val="00D808DC"/>
    <w:rsid w:val="00D80C30"/>
    <w:rsid w:val="00D80EF5"/>
    <w:rsid w:val="00D81233"/>
    <w:rsid w:val="00D81578"/>
    <w:rsid w:val="00D816FF"/>
    <w:rsid w:val="00D81AF7"/>
    <w:rsid w:val="00D81B9B"/>
    <w:rsid w:val="00D81E2B"/>
    <w:rsid w:val="00D81E39"/>
    <w:rsid w:val="00D821B7"/>
    <w:rsid w:val="00D8261A"/>
    <w:rsid w:val="00D82681"/>
    <w:rsid w:val="00D827E2"/>
    <w:rsid w:val="00D82808"/>
    <w:rsid w:val="00D82811"/>
    <w:rsid w:val="00D82910"/>
    <w:rsid w:val="00D82945"/>
    <w:rsid w:val="00D82980"/>
    <w:rsid w:val="00D829E1"/>
    <w:rsid w:val="00D82A74"/>
    <w:rsid w:val="00D82B5B"/>
    <w:rsid w:val="00D82F5C"/>
    <w:rsid w:val="00D82F80"/>
    <w:rsid w:val="00D82FF4"/>
    <w:rsid w:val="00D832D4"/>
    <w:rsid w:val="00D83B1A"/>
    <w:rsid w:val="00D83C9A"/>
    <w:rsid w:val="00D83FCA"/>
    <w:rsid w:val="00D84114"/>
    <w:rsid w:val="00D84236"/>
    <w:rsid w:val="00D84358"/>
    <w:rsid w:val="00D846AE"/>
    <w:rsid w:val="00D846C0"/>
    <w:rsid w:val="00D848B3"/>
    <w:rsid w:val="00D84AEF"/>
    <w:rsid w:val="00D84E34"/>
    <w:rsid w:val="00D84FDE"/>
    <w:rsid w:val="00D8515A"/>
    <w:rsid w:val="00D85167"/>
    <w:rsid w:val="00D8520B"/>
    <w:rsid w:val="00D85252"/>
    <w:rsid w:val="00D85283"/>
    <w:rsid w:val="00D8553C"/>
    <w:rsid w:val="00D8564F"/>
    <w:rsid w:val="00D8575E"/>
    <w:rsid w:val="00D85B17"/>
    <w:rsid w:val="00D85B2D"/>
    <w:rsid w:val="00D85C4A"/>
    <w:rsid w:val="00D86062"/>
    <w:rsid w:val="00D8636E"/>
    <w:rsid w:val="00D86462"/>
    <w:rsid w:val="00D86588"/>
    <w:rsid w:val="00D8695E"/>
    <w:rsid w:val="00D874C7"/>
    <w:rsid w:val="00D874E6"/>
    <w:rsid w:val="00D8750F"/>
    <w:rsid w:val="00D8780B"/>
    <w:rsid w:val="00D8788D"/>
    <w:rsid w:val="00D87A3D"/>
    <w:rsid w:val="00D87BF3"/>
    <w:rsid w:val="00D9031A"/>
    <w:rsid w:val="00D9048A"/>
    <w:rsid w:val="00D90CD0"/>
    <w:rsid w:val="00D91653"/>
    <w:rsid w:val="00D916CE"/>
    <w:rsid w:val="00D91762"/>
    <w:rsid w:val="00D91A15"/>
    <w:rsid w:val="00D91AAE"/>
    <w:rsid w:val="00D91AB6"/>
    <w:rsid w:val="00D91B89"/>
    <w:rsid w:val="00D9212D"/>
    <w:rsid w:val="00D92157"/>
    <w:rsid w:val="00D92315"/>
    <w:rsid w:val="00D92376"/>
    <w:rsid w:val="00D9252E"/>
    <w:rsid w:val="00D9298C"/>
    <w:rsid w:val="00D92B78"/>
    <w:rsid w:val="00D92D21"/>
    <w:rsid w:val="00D9312F"/>
    <w:rsid w:val="00D9352C"/>
    <w:rsid w:val="00D936EA"/>
    <w:rsid w:val="00D9375F"/>
    <w:rsid w:val="00D93839"/>
    <w:rsid w:val="00D9396E"/>
    <w:rsid w:val="00D93F64"/>
    <w:rsid w:val="00D93F7B"/>
    <w:rsid w:val="00D94382"/>
    <w:rsid w:val="00D943A9"/>
    <w:rsid w:val="00D946A2"/>
    <w:rsid w:val="00D94A48"/>
    <w:rsid w:val="00D94AB5"/>
    <w:rsid w:val="00D9563D"/>
    <w:rsid w:val="00D95B22"/>
    <w:rsid w:val="00D95D1D"/>
    <w:rsid w:val="00D95EB8"/>
    <w:rsid w:val="00D96206"/>
    <w:rsid w:val="00D96239"/>
    <w:rsid w:val="00D96539"/>
    <w:rsid w:val="00D967EC"/>
    <w:rsid w:val="00D9690B"/>
    <w:rsid w:val="00D96965"/>
    <w:rsid w:val="00D96E29"/>
    <w:rsid w:val="00D97039"/>
    <w:rsid w:val="00D9710F"/>
    <w:rsid w:val="00D9731A"/>
    <w:rsid w:val="00D973C2"/>
    <w:rsid w:val="00D97496"/>
    <w:rsid w:val="00D975C6"/>
    <w:rsid w:val="00D97700"/>
    <w:rsid w:val="00D9792C"/>
    <w:rsid w:val="00D97B30"/>
    <w:rsid w:val="00D97C1A"/>
    <w:rsid w:val="00D97F83"/>
    <w:rsid w:val="00D97FA9"/>
    <w:rsid w:val="00DA01A2"/>
    <w:rsid w:val="00DA03B5"/>
    <w:rsid w:val="00DA0640"/>
    <w:rsid w:val="00DA07EA"/>
    <w:rsid w:val="00DA0869"/>
    <w:rsid w:val="00DA09EF"/>
    <w:rsid w:val="00DA0CB9"/>
    <w:rsid w:val="00DA0E9C"/>
    <w:rsid w:val="00DA0F11"/>
    <w:rsid w:val="00DA1075"/>
    <w:rsid w:val="00DA1404"/>
    <w:rsid w:val="00DA175E"/>
    <w:rsid w:val="00DA1818"/>
    <w:rsid w:val="00DA18BD"/>
    <w:rsid w:val="00DA19AD"/>
    <w:rsid w:val="00DA1CCB"/>
    <w:rsid w:val="00DA1E8D"/>
    <w:rsid w:val="00DA2148"/>
    <w:rsid w:val="00DA2152"/>
    <w:rsid w:val="00DA233D"/>
    <w:rsid w:val="00DA26CB"/>
    <w:rsid w:val="00DA28EA"/>
    <w:rsid w:val="00DA305B"/>
    <w:rsid w:val="00DA3138"/>
    <w:rsid w:val="00DA3183"/>
    <w:rsid w:val="00DA350C"/>
    <w:rsid w:val="00DA3781"/>
    <w:rsid w:val="00DA3819"/>
    <w:rsid w:val="00DA3D9A"/>
    <w:rsid w:val="00DA3FFF"/>
    <w:rsid w:val="00DA42EC"/>
    <w:rsid w:val="00DA44D9"/>
    <w:rsid w:val="00DA4706"/>
    <w:rsid w:val="00DA4792"/>
    <w:rsid w:val="00DA4813"/>
    <w:rsid w:val="00DA4B09"/>
    <w:rsid w:val="00DA4CB4"/>
    <w:rsid w:val="00DA4D74"/>
    <w:rsid w:val="00DA4E3A"/>
    <w:rsid w:val="00DA4F0E"/>
    <w:rsid w:val="00DA4F11"/>
    <w:rsid w:val="00DA5154"/>
    <w:rsid w:val="00DA51E7"/>
    <w:rsid w:val="00DA5510"/>
    <w:rsid w:val="00DA554E"/>
    <w:rsid w:val="00DA55BB"/>
    <w:rsid w:val="00DA59EE"/>
    <w:rsid w:val="00DA5A9E"/>
    <w:rsid w:val="00DA5B09"/>
    <w:rsid w:val="00DA5E70"/>
    <w:rsid w:val="00DA5FF3"/>
    <w:rsid w:val="00DA6232"/>
    <w:rsid w:val="00DA6233"/>
    <w:rsid w:val="00DA62DD"/>
    <w:rsid w:val="00DA633B"/>
    <w:rsid w:val="00DA636D"/>
    <w:rsid w:val="00DA6482"/>
    <w:rsid w:val="00DA64F2"/>
    <w:rsid w:val="00DA6536"/>
    <w:rsid w:val="00DA65DC"/>
    <w:rsid w:val="00DA67B9"/>
    <w:rsid w:val="00DA686B"/>
    <w:rsid w:val="00DA69B3"/>
    <w:rsid w:val="00DA6C2A"/>
    <w:rsid w:val="00DA6CE1"/>
    <w:rsid w:val="00DA6DD8"/>
    <w:rsid w:val="00DA6FF2"/>
    <w:rsid w:val="00DA785C"/>
    <w:rsid w:val="00DA7A85"/>
    <w:rsid w:val="00DA7D18"/>
    <w:rsid w:val="00DA7D79"/>
    <w:rsid w:val="00DA7DB1"/>
    <w:rsid w:val="00DB0143"/>
    <w:rsid w:val="00DB0333"/>
    <w:rsid w:val="00DB04B6"/>
    <w:rsid w:val="00DB0586"/>
    <w:rsid w:val="00DB0865"/>
    <w:rsid w:val="00DB0B11"/>
    <w:rsid w:val="00DB0C11"/>
    <w:rsid w:val="00DB0C23"/>
    <w:rsid w:val="00DB0CAB"/>
    <w:rsid w:val="00DB0DF0"/>
    <w:rsid w:val="00DB0F1F"/>
    <w:rsid w:val="00DB10E7"/>
    <w:rsid w:val="00DB111D"/>
    <w:rsid w:val="00DB119F"/>
    <w:rsid w:val="00DB155A"/>
    <w:rsid w:val="00DB1695"/>
    <w:rsid w:val="00DB1706"/>
    <w:rsid w:val="00DB189E"/>
    <w:rsid w:val="00DB19D8"/>
    <w:rsid w:val="00DB1B2B"/>
    <w:rsid w:val="00DB1D2B"/>
    <w:rsid w:val="00DB1ECE"/>
    <w:rsid w:val="00DB2002"/>
    <w:rsid w:val="00DB21D5"/>
    <w:rsid w:val="00DB220A"/>
    <w:rsid w:val="00DB2755"/>
    <w:rsid w:val="00DB2823"/>
    <w:rsid w:val="00DB2E1F"/>
    <w:rsid w:val="00DB324D"/>
    <w:rsid w:val="00DB341C"/>
    <w:rsid w:val="00DB3B41"/>
    <w:rsid w:val="00DB3CA3"/>
    <w:rsid w:val="00DB3F94"/>
    <w:rsid w:val="00DB4044"/>
    <w:rsid w:val="00DB4059"/>
    <w:rsid w:val="00DB4198"/>
    <w:rsid w:val="00DB42A2"/>
    <w:rsid w:val="00DB463E"/>
    <w:rsid w:val="00DB467F"/>
    <w:rsid w:val="00DB4695"/>
    <w:rsid w:val="00DB4784"/>
    <w:rsid w:val="00DB4D1C"/>
    <w:rsid w:val="00DB4E53"/>
    <w:rsid w:val="00DB4EDB"/>
    <w:rsid w:val="00DB5034"/>
    <w:rsid w:val="00DB50D2"/>
    <w:rsid w:val="00DB5146"/>
    <w:rsid w:val="00DB52DF"/>
    <w:rsid w:val="00DB555D"/>
    <w:rsid w:val="00DB5579"/>
    <w:rsid w:val="00DB55D0"/>
    <w:rsid w:val="00DB5B18"/>
    <w:rsid w:val="00DB5FA2"/>
    <w:rsid w:val="00DB63C6"/>
    <w:rsid w:val="00DB64AA"/>
    <w:rsid w:val="00DB6566"/>
    <w:rsid w:val="00DB660F"/>
    <w:rsid w:val="00DB69CB"/>
    <w:rsid w:val="00DB6D49"/>
    <w:rsid w:val="00DB6D67"/>
    <w:rsid w:val="00DB6E8A"/>
    <w:rsid w:val="00DB704D"/>
    <w:rsid w:val="00DB70A9"/>
    <w:rsid w:val="00DB7190"/>
    <w:rsid w:val="00DB73C4"/>
    <w:rsid w:val="00DB7764"/>
    <w:rsid w:val="00DB7BB4"/>
    <w:rsid w:val="00DB7C28"/>
    <w:rsid w:val="00DC0321"/>
    <w:rsid w:val="00DC042E"/>
    <w:rsid w:val="00DC050B"/>
    <w:rsid w:val="00DC05EE"/>
    <w:rsid w:val="00DC08D8"/>
    <w:rsid w:val="00DC0911"/>
    <w:rsid w:val="00DC0974"/>
    <w:rsid w:val="00DC0C2B"/>
    <w:rsid w:val="00DC0FFB"/>
    <w:rsid w:val="00DC10B6"/>
    <w:rsid w:val="00DC1190"/>
    <w:rsid w:val="00DC19B9"/>
    <w:rsid w:val="00DC1A8A"/>
    <w:rsid w:val="00DC1B02"/>
    <w:rsid w:val="00DC1B0B"/>
    <w:rsid w:val="00DC1F51"/>
    <w:rsid w:val="00DC218A"/>
    <w:rsid w:val="00DC21A5"/>
    <w:rsid w:val="00DC2278"/>
    <w:rsid w:val="00DC23E1"/>
    <w:rsid w:val="00DC2493"/>
    <w:rsid w:val="00DC2854"/>
    <w:rsid w:val="00DC2889"/>
    <w:rsid w:val="00DC2AED"/>
    <w:rsid w:val="00DC2BFA"/>
    <w:rsid w:val="00DC2E46"/>
    <w:rsid w:val="00DC32CC"/>
    <w:rsid w:val="00DC34DB"/>
    <w:rsid w:val="00DC3785"/>
    <w:rsid w:val="00DC3BCC"/>
    <w:rsid w:val="00DC3C72"/>
    <w:rsid w:val="00DC3D21"/>
    <w:rsid w:val="00DC3E08"/>
    <w:rsid w:val="00DC3F4E"/>
    <w:rsid w:val="00DC41C0"/>
    <w:rsid w:val="00DC423B"/>
    <w:rsid w:val="00DC4461"/>
    <w:rsid w:val="00DC4662"/>
    <w:rsid w:val="00DC4836"/>
    <w:rsid w:val="00DC4879"/>
    <w:rsid w:val="00DC4938"/>
    <w:rsid w:val="00DC49EA"/>
    <w:rsid w:val="00DC4C16"/>
    <w:rsid w:val="00DC4E1E"/>
    <w:rsid w:val="00DC4FDD"/>
    <w:rsid w:val="00DC5076"/>
    <w:rsid w:val="00DC5101"/>
    <w:rsid w:val="00DC5852"/>
    <w:rsid w:val="00DC58F3"/>
    <w:rsid w:val="00DC5974"/>
    <w:rsid w:val="00DC5A81"/>
    <w:rsid w:val="00DC5B3A"/>
    <w:rsid w:val="00DC5EDF"/>
    <w:rsid w:val="00DC637E"/>
    <w:rsid w:val="00DC64C6"/>
    <w:rsid w:val="00DC6651"/>
    <w:rsid w:val="00DC6D56"/>
    <w:rsid w:val="00DC7343"/>
    <w:rsid w:val="00DC7493"/>
    <w:rsid w:val="00DC75F9"/>
    <w:rsid w:val="00DC7954"/>
    <w:rsid w:val="00DC7BB0"/>
    <w:rsid w:val="00DC7C7A"/>
    <w:rsid w:val="00DC7F42"/>
    <w:rsid w:val="00DD0493"/>
    <w:rsid w:val="00DD04A2"/>
    <w:rsid w:val="00DD079B"/>
    <w:rsid w:val="00DD07B6"/>
    <w:rsid w:val="00DD07C0"/>
    <w:rsid w:val="00DD0D16"/>
    <w:rsid w:val="00DD0EE9"/>
    <w:rsid w:val="00DD1178"/>
    <w:rsid w:val="00DD1319"/>
    <w:rsid w:val="00DD17ED"/>
    <w:rsid w:val="00DD1899"/>
    <w:rsid w:val="00DD1975"/>
    <w:rsid w:val="00DD19E4"/>
    <w:rsid w:val="00DD1D0E"/>
    <w:rsid w:val="00DD1ED4"/>
    <w:rsid w:val="00DD1F4A"/>
    <w:rsid w:val="00DD2589"/>
    <w:rsid w:val="00DD27D7"/>
    <w:rsid w:val="00DD2992"/>
    <w:rsid w:val="00DD2A88"/>
    <w:rsid w:val="00DD2ACA"/>
    <w:rsid w:val="00DD2F52"/>
    <w:rsid w:val="00DD3004"/>
    <w:rsid w:val="00DD31ED"/>
    <w:rsid w:val="00DD3233"/>
    <w:rsid w:val="00DD3271"/>
    <w:rsid w:val="00DD32B8"/>
    <w:rsid w:val="00DD33D8"/>
    <w:rsid w:val="00DD351B"/>
    <w:rsid w:val="00DD3534"/>
    <w:rsid w:val="00DD3B63"/>
    <w:rsid w:val="00DD3B66"/>
    <w:rsid w:val="00DD3E85"/>
    <w:rsid w:val="00DD400C"/>
    <w:rsid w:val="00DD4134"/>
    <w:rsid w:val="00DD4251"/>
    <w:rsid w:val="00DD4752"/>
    <w:rsid w:val="00DD479C"/>
    <w:rsid w:val="00DD49BB"/>
    <w:rsid w:val="00DD4A4E"/>
    <w:rsid w:val="00DD4B15"/>
    <w:rsid w:val="00DD5292"/>
    <w:rsid w:val="00DD53BB"/>
    <w:rsid w:val="00DD54FF"/>
    <w:rsid w:val="00DD5514"/>
    <w:rsid w:val="00DD5615"/>
    <w:rsid w:val="00DD5629"/>
    <w:rsid w:val="00DD5725"/>
    <w:rsid w:val="00DD5B69"/>
    <w:rsid w:val="00DD6007"/>
    <w:rsid w:val="00DD6475"/>
    <w:rsid w:val="00DD6723"/>
    <w:rsid w:val="00DD6AF6"/>
    <w:rsid w:val="00DD6C0F"/>
    <w:rsid w:val="00DD6C46"/>
    <w:rsid w:val="00DD6EB4"/>
    <w:rsid w:val="00DD6F94"/>
    <w:rsid w:val="00DD7004"/>
    <w:rsid w:val="00DD70EF"/>
    <w:rsid w:val="00DD749B"/>
    <w:rsid w:val="00DD755B"/>
    <w:rsid w:val="00DD7795"/>
    <w:rsid w:val="00DD79F0"/>
    <w:rsid w:val="00DD7BCE"/>
    <w:rsid w:val="00DD7F56"/>
    <w:rsid w:val="00DD7FDB"/>
    <w:rsid w:val="00DE01CC"/>
    <w:rsid w:val="00DE044E"/>
    <w:rsid w:val="00DE05CC"/>
    <w:rsid w:val="00DE072C"/>
    <w:rsid w:val="00DE073C"/>
    <w:rsid w:val="00DE0A30"/>
    <w:rsid w:val="00DE0ADE"/>
    <w:rsid w:val="00DE0C33"/>
    <w:rsid w:val="00DE10AE"/>
    <w:rsid w:val="00DE11BC"/>
    <w:rsid w:val="00DE1210"/>
    <w:rsid w:val="00DE1559"/>
    <w:rsid w:val="00DE18A8"/>
    <w:rsid w:val="00DE19B8"/>
    <w:rsid w:val="00DE1FAA"/>
    <w:rsid w:val="00DE2151"/>
    <w:rsid w:val="00DE246C"/>
    <w:rsid w:val="00DE26DC"/>
    <w:rsid w:val="00DE28BB"/>
    <w:rsid w:val="00DE2B34"/>
    <w:rsid w:val="00DE2B80"/>
    <w:rsid w:val="00DE2C6C"/>
    <w:rsid w:val="00DE2CCE"/>
    <w:rsid w:val="00DE2F1E"/>
    <w:rsid w:val="00DE350E"/>
    <w:rsid w:val="00DE3652"/>
    <w:rsid w:val="00DE3ADF"/>
    <w:rsid w:val="00DE3B61"/>
    <w:rsid w:val="00DE3CB3"/>
    <w:rsid w:val="00DE4124"/>
    <w:rsid w:val="00DE4527"/>
    <w:rsid w:val="00DE47FB"/>
    <w:rsid w:val="00DE4863"/>
    <w:rsid w:val="00DE494E"/>
    <w:rsid w:val="00DE4969"/>
    <w:rsid w:val="00DE4AE3"/>
    <w:rsid w:val="00DE4B4A"/>
    <w:rsid w:val="00DE4F83"/>
    <w:rsid w:val="00DE4FCD"/>
    <w:rsid w:val="00DE4FD0"/>
    <w:rsid w:val="00DE5361"/>
    <w:rsid w:val="00DE56EA"/>
    <w:rsid w:val="00DE5AE9"/>
    <w:rsid w:val="00DE5B63"/>
    <w:rsid w:val="00DE5C10"/>
    <w:rsid w:val="00DE5FA3"/>
    <w:rsid w:val="00DE651D"/>
    <w:rsid w:val="00DE6B0C"/>
    <w:rsid w:val="00DE6BCD"/>
    <w:rsid w:val="00DE6C9E"/>
    <w:rsid w:val="00DE6CF4"/>
    <w:rsid w:val="00DE6D6D"/>
    <w:rsid w:val="00DE6DE4"/>
    <w:rsid w:val="00DE6E36"/>
    <w:rsid w:val="00DE6F42"/>
    <w:rsid w:val="00DE6FEF"/>
    <w:rsid w:val="00DE7240"/>
    <w:rsid w:val="00DE72AB"/>
    <w:rsid w:val="00DE745A"/>
    <w:rsid w:val="00DE7568"/>
    <w:rsid w:val="00DE76F3"/>
    <w:rsid w:val="00DE788E"/>
    <w:rsid w:val="00DE78D0"/>
    <w:rsid w:val="00DE79CA"/>
    <w:rsid w:val="00DF01F5"/>
    <w:rsid w:val="00DF0594"/>
    <w:rsid w:val="00DF07E1"/>
    <w:rsid w:val="00DF1275"/>
    <w:rsid w:val="00DF138B"/>
    <w:rsid w:val="00DF14D1"/>
    <w:rsid w:val="00DF1723"/>
    <w:rsid w:val="00DF1A53"/>
    <w:rsid w:val="00DF1AAB"/>
    <w:rsid w:val="00DF1BAB"/>
    <w:rsid w:val="00DF2445"/>
    <w:rsid w:val="00DF24CE"/>
    <w:rsid w:val="00DF292A"/>
    <w:rsid w:val="00DF3002"/>
    <w:rsid w:val="00DF300B"/>
    <w:rsid w:val="00DF308D"/>
    <w:rsid w:val="00DF3438"/>
    <w:rsid w:val="00DF3599"/>
    <w:rsid w:val="00DF3768"/>
    <w:rsid w:val="00DF3879"/>
    <w:rsid w:val="00DF3BB9"/>
    <w:rsid w:val="00DF3EE4"/>
    <w:rsid w:val="00DF4012"/>
    <w:rsid w:val="00DF422A"/>
    <w:rsid w:val="00DF4369"/>
    <w:rsid w:val="00DF45F1"/>
    <w:rsid w:val="00DF487A"/>
    <w:rsid w:val="00DF4C48"/>
    <w:rsid w:val="00DF4D11"/>
    <w:rsid w:val="00DF4FE7"/>
    <w:rsid w:val="00DF51F9"/>
    <w:rsid w:val="00DF52E4"/>
    <w:rsid w:val="00DF55F3"/>
    <w:rsid w:val="00DF57D5"/>
    <w:rsid w:val="00DF59AD"/>
    <w:rsid w:val="00DF5CC3"/>
    <w:rsid w:val="00DF5E06"/>
    <w:rsid w:val="00DF5E31"/>
    <w:rsid w:val="00DF60D6"/>
    <w:rsid w:val="00DF6195"/>
    <w:rsid w:val="00DF6B4E"/>
    <w:rsid w:val="00DF6C3B"/>
    <w:rsid w:val="00DF6E3E"/>
    <w:rsid w:val="00DF6EF6"/>
    <w:rsid w:val="00DF7085"/>
    <w:rsid w:val="00DF717A"/>
    <w:rsid w:val="00DF7388"/>
    <w:rsid w:val="00DF73F9"/>
    <w:rsid w:val="00DF7840"/>
    <w:rsid w:val="00DF7A26"/>
    <w:rsid w:val="00DF7C77"/>
    <w:rsid w:val="00DF7D18"/>
    <w:rsid w:val="00DF7DFD"/>
    <w:rsid w:val="00DF7ECA"/>
    <w:rsid w:val="00E0005C"/>
    <w:rsid w:val="00E00111"/>
    <w:rsid w:val="00E001B4"/>
    <w:rsid w:val="00E001BB"/>
    <w:rsid w:val="00E00913"/>
    <w:rsid w:val="00E00979"/>
    <w:rsid w:val="00E0097C"/>
    <w:rsid w:val="00E00DA3"/>
    <w:rsid w:val="00E00F0A"/>
    <w:rsid w:val="00E01042"/>
    <w:rsid w:val="00E01298"/>
    <w:rsid w:val="00E01359"/>
    <w:rsid w:val="00E01392"/>
    <w:rsid w:val="00E01716"/>
    <w:rsid w:val="00E017C0"/>
    <w:rsid w:val="00E017DB"/>
    <w:rsid w:val="00E018B3"/>
    <w:rsid w:val="00E01B59"/>
    <w:rsid w:val="00E01B7B"/>
    <w:rsid w:val="00E01C70"/>
    <w:rsid w:val="00E02114"/>
    <w:rsid w:val="00E0230B"/>
    <w:rsid w:val="00E02366"/>
    <w:rsid w:val="00E026AA"/>
    <w:rsid w:val="00E0280A"/>
    <w:rsid w:val="00E028B0"/>
    <w:rsid w:val="00E02CDA"/>
    <w:rsid w:val="00E02EBA"/>
    <w:rsid w:val="00E030D0"/>
    <w:rsid w:val="00E030EA"/>
    <w:rsid w:val="00E03272"/>
    <w:rsid w:val="00E032A6"/>
    <w:rsid w:val="00E03991"/>
    <w:rsid w:val="00E0403E"/>
    <w:rsid w:val="00E040F4"/>
    <w:rsid w:val="00E0470B"/>
    <w:rsid w:val="00E04964"/>
    <w:rsid w:val="00E04AC4"/>
    <w:rsid w:val="00E04E90"/>
    <w:rsid w:val="00E0507B"/>
    <w:rsid w:val="00E050CC"/>
    <w:rsid w:val="00E054EA"/>
    <w:rsid w:val="00E05596"/>
    <w:rsid w:val="00E05798"/>
    <w:rsid w:val="00E05836"/>
    <w:rsid w:val="00E05CA3"/>
    <w:rsid w:val="00E05F93"/>
    <w:rsid w:val="00E060D6"/>
    <w:rsid w:val="00E06337"/>
    <w:rsid w:val="00E064B6"/>
    <w:rsid w:val="00E0651D"/>
    <w:rsid w:val="00E065B1"/>
    <w:rsid w:val="00E0669E"/>
    <w:rsid w:val="00E068C9"/>
    <w:rsid w:val="00E06908"/>
    <w:rsid w:val="00E06ECC"/>
    <w:rsid w:val="00E07035"/>
    <w:rsid w:val="00E07073"/>
    <w:rsid w:val="00E07392"/>
    <w:rsid w:val="00E07434"/>
    <w:rsid w:val="00E074A3"/>
    <w:rsid w:val="00E077B3"/>
    <w:rsid w:val="00E077F1"/>
    <w:rsid w:val="00E07CE9"/>
    <w:rsid w:val="00E07E79"/>
    <w:rsid w:val="00E07F93"/>
    <w:rsid w:val="00E102AF"/>
    <w:rsid w:val="00E10712"/>
    <w:rsid w:val="00E10807"/>
    <w:rsid w:val="00E109F7"/>
    <w:rsid w:val="00E10A6A"/>
    <w:rsid w:val="00E10A78"/>
    <w:rsid w:val="00E10CFE"/>
    <w:rsid w:val="00E10D36"/>
    <w:rsid w:val="00E114E4"/>
    <w:rsid w:val="00E1166E"/>
    <w:rsid w:val="00E119D2"/>
    <w:rsid w:val="00E11B6B"/>
    <w:rsid w:val="00E11EA3"/>
    <w:rsid w:val="00E11FA8"/>
    <w:rsid w:val="00E120DC"/>
    <w:rsid w:val="00E121A2"/>
    <w:rsid w:val="00E122C9"/>
    <w:rsid w:val="00E1233D"/>
    <w:rsid w:val="00E1244F"/>
    <w:rsid w:val="00E12849"/>
    <w:rsid w:val="00E12BD3"/>
    <w:rsid w:val="00E12ED6"/>
    <w:rsid w:val="00E12F30"/>
    <w:rsid w:val="00E12F81"/>
    <w:rsid w:val="00E13220"/>
    <w:rsid w:val="00E13280"/>
    <w:rsid w:val="00E1349E"/>
    <w:rsid w:val="00E136CF"/>
    <w:rsid w:val="00E136E2"/>
    <w:rsid w:val="00E137B6"/>
    <w:rsid w:val="00E1396F"/>
    <w:rsid w:val="00E13AF2"/>
    <w:rsid w:val="00E13C19"/>
    <w:rsid w:val="00E13F0E"/>
    <w:rsid w:val="00E14082"/>
    <w:rsid w:val="00E140AF"/>
    <w:rsid w:val="00E14190"/>
    <w:rsid w:val="00E14494"/>
    <w:rsid w:val="00E144A4"/>
    <w:rsid w:val="00E14593"/>
    <w:rsid w:val="00E14906"/>
    <w:rsid w:val="00E14991"/>
    <w:rsid w:val="00E14B7B"/>
    <w:rsid w:val="00E14B86"/>
    <w:rsid w:val="00E14C86"/>
    <w:rsid w:val="00E14D43"/>
    <w:rsid w:val="00E14F75"/>
    <w:rsid w:val="00E150FC"/>
    <w:rsid w:val="00E15359"/>
    <w:rsid w:val="00E154B5"/>
    <w:rsid w:val="00E15A53"/>
    <w:rsid w:val="00E15C6C"/>
    <w:rsid w:val="00E15D5E"/>
    <w:rsid w:val="00E15ED3"/>
    <w:rsid w:val="00E15FD0"/>
    <w:rsid w:val="00E16987"/>
    <w:rsid w:val="00E16C76"/>
    <w:rsid w:val="00E16CEC"/>
    <w:rsid w:val="00E177F3"/>
    <w:rsid w:val="00E17858"/>
    <w:rsid w:val="00E17A2C"/>
    <w:rsid w:val="00E17B0A"/>
    <w:rsid w:val="00E17BD9"/>
    <w:rsid w:val="00E17ED8"/>
    <w:rsid w:val="00E200B8"/>
    <w:rsid w:val="00E203BC"/>
    <w:rsid w:val="00E20466"/>
    <w:rsid w:val="00E204BB"/>
    <w:rsid w:val="00E205E7"/>
    <w:rsid w:val="00E2068A"/>
    <w:rsid w:val="00E20BA4"/>
    <w:rsid w:val="00E21113"/>
    <w:rsid w:val="00E214AB"/>
    <w:rsid w:val="00E219D6"/>
    <w:rsid w:val="00E21AB4"/>
    <w:rsid w:val="00E21B60"/>
    <w:rsid w:val="00E21CA1"/>
    <w:rsid w:val="00E21D9E"/>
    <w:rsid w:val="00E21E55"/>
    <w:rsid w:val="00E227A5"/>
    <w:rsid w:val="00E2286D"/>
    <w:rsid w:val="00E22AC0"/>
    <w:rsid w:val="00E23093"/>
    <w:rsid w:val="00E2335D"/>
    <w:rsid w:val="00E23645"/>
    <w:rsid w:val="00E23651"/>
    <w:rsid w:val="00E23767"/>
    <w:rsid w:val="00E239BE"/>
    <w:rsid w:val="00E239E2"/>
    <w:rsid w:val="00E23BCF"/>
    <w:rsid w:val="00E24433"/>
    <w:rsid w:val="00E24495"/>
    <w:rsid w:val="00E24504"/>
    <w:rsid w:val="00E245F9"/>
    <w:rsid w:val="00E2480A"/>
    <w:rsid w:val="00E2480F"/>
    <w:rsid w:val="00E24862"/>
    <w:rsid w:val="00E24863"/>
    <w:rsid w:val="00E2488B"/>
    <w:rsid w:val="00E248BF"/>
    <w:rsid w:val="00E249A1"/>
    <w:rsid w:val="00E24D2A"/>
    <w:rsid w:val="00E24F62"/>
    <w:rsid w:val="00E24FD1"/>
    <w:rsid w:val="00E24FFF"/>
    <w:rsid w:val="00E25060"/>
    <w:rsid w:val="00E25201"/>
    <w:rsid w:val="00E2536D"/>
    <w:rsid w:val="00E253B2"/>
    <w:rsid w:val="00E25461"/>
    <w:rsid w:val="00E25540"/>
    <w:rsid w:val="00E259B6"/>
    <w:rsid w:val="00E25B44"/>
    <w:rsid w:val="00E25CA4"/>
    <w:rsid w:val="00E25D66"/>
    <w:rsid w:val="00E25ED2"/>
    <w:rsid w:val="00E25FB2"/>
    <w:rsid w:val="00E26025"/>
    <w:rsid w:val="00E26ADF"/>
    <w:rsid w:val="00E26B03"/>
    <w:rsid w:val="00E26B3C"/>
    <w:rsid w:val="00E26D3B"/>
    <w:rsid w:val="00E26E09"/>
    <w:rsid w:val="00E27121"/>
    <w:rsid w:val="00E27280"/>
    <w:rsid w:val="00E27389"/>
    <w:rsid w:val="00E2738D"/>
    <w:rsid w:val="00E273F3"/>
    <w:rsid w:val="00E27803"/>
    <w:rsid w:val="00E279A8"/>
    <w:rsid w:val="00E27B45"/>
    <w:rsid w:val="00E27F2E"/>
    <w:rsid w:val="00E30129"/>
    <w:rsid w:val="00E301EA"/>
    <w:rsid w:val="00E30255"/>
    <w:rsid w:val="00E30426"/>
    <w:rsid w:val="00E309FC"/>
    <w:rsid w:val="00E30A59"/>
    <w:rsid w:val="00E30ADC"/>
    <w:rsid w:val="00E30AF9"/>
    <w:rsid w:val="00E31173"/>
    <w:rsid w:val="00E31227"/>
    <w:rsid w:val="00E31C9D"/>
    <w:rsid w:val="00E31E9C"/>
    <w:rsid w:val="00E325B0"/>
    <w:rsid w:val="00E326F4"/>
    <w:rsid w:val="00E32B13"/>
    <w:rsid w:val="00E32BEE"/>
    <w:rsid w:val="00E32E22"/>
    <w:rsid w:val="00E32ED4"/>
    <w:rsid w:val="00E32EF3"/>
    <w:rsid w:val="00E32F25"/>
    <w:rsid w:val="00E33292"/>
    <w:rsid w:val="00E33664"/>
    <w:rsid w:val="00E33C15"/>
    <w:rsid w:val="00E33E7E"/>
    <w:rsid w:val="00E34345"/>
    <w:rsid w:val="00E348D9"/>
    <w:rsid w:val="00E34CBB"/>
    <w:rsid w:val="00E34CBC"/>
    <w:rsid w:val="00E34CBF"/>
    <w:rsid w:val="00E34DF7"/>
    <w:rsid w:val="00E34E96"/>
    <w:rsid w:val="00E34F6D"/>
    <w:rsid w:val="00E3509E"/>
    <w:rsid w:val="00E352A3"/>
    <w:rsid w:val="00E3557E"/>
    <w:rsid w:val="00E3582C"/>
    <w:rsid w:val="00E35AC1"/>
    <w:rsid w:val="00E35BE8"/>
    <w:rsid w:val="00E35E41"/>
    <w:rsid w:val="00E36A5C"/>
    <w:rsid w:val="00E36D3C"/>
    <w:rsid w:val="00E36E2F"/>
    <w:rsid w:val="00E37136"/>
    <w:rsid w:val="00E375BE"/>
    <w:rsid w:val="00E37708"/>
    <w:rsid w:val="00E379DF"/>
    <w:rsid w:val="00E37F8A"/>
    <w:rsid w:val="00E40145"/>
    <w:rsid w:val="00E4031C"/>
    <w:rsid w:val="00E40582"/>
    <w:rsid w:val="00E40592"/>
    <w:rsid w:val="00E4069D"/>
    <w:rsid w:val="00E408F0"/>
    <w:rsid w:val="00E40924"/>
    <w:rsid w:val="00E40A1E"/>
    <w:rsid w:val="00E40BE5"/>
    <w:rsid w:val="00E40CE2"/>
    <w:rsid w:val="00E40FC9"/>
    <w:rsid w:val="00E40FE8"/>
    <w:rsid w:val="00E410AA"/>
    <w:rsid w:val="00E410F7"/>
    <w:rsid w:val="00E412D5"/>
    <w:rsid w:val="00E41365"/>
    <w:rsid w:val="00E4144D"/>
    <w:rsid w:val="00E41453"/>
    <w:rsid w:val="00E41F8F"/>
    <w:rsid w:val="00E420AA"/>
    <w:rsid w:val="00E420ED"/>
    <w:rsid w:val="00E420F1"/>
    <w:rsid w:val="00E42775"/>
    <w:rsid w:val="00E42AE8"/>
    <w:rsid w:val="00E42FE3"/>
    <w:rsid w:val="00E435DB"/>
    <w:rsid w:val="00E4383C"/>
    <w:rsid w:val="00E4388F"/>
    <w:rsid w:val="00E439BA"/>
    <w:rsid w:val="00E43C65"/>
    <w:rsid w:val="00E43EBB"/>
    <w:rsid w:val="00E441BB"/>
    <w:rsid w:val="00E442A8"/>
    <w:rsid w:val="00E443DE"/>
    <w:rsid w:val="00E445ED"/>
    <w:rsid w:val="00E44688"/>
    <w:rsid w:val="00E4476D"/>
    <w:rsid w:val="00E44869"/>
    <w:rsid w:val="00E4488A"/>
    <w:rsid w:val="00E44A9F"/>
    <w:rsid w:val="00E44EBF"/>
    <w:rsid w:val="00E44FB8"/>
    <w:rsid w:val="00E450CE"/>
    <w:rsid w:val="00E4512B"/>
    <w:rsid w:val="00E458D5"/>
    <w:rsid w:val="00E45A45"/>
    <w:rsid w:val="00E45CD0"/>
    <w:rsid w:val="00E45CE4"/>
    <w:rsid w:val="00E45D11"/>
    <w:rsid w:val="00E462CB"/>
    <w:rsid w:val="00E466B7"/>
    <w:rsid w:val="00E468D0"/>
    <w:rsid w:val="00E46B10"/>
    <w:rsid w:val="00E46F51"/>
    <w:rsid w:val="00E47740"/>
    <w:rsid w:val="00E478F4"/>
    <w:rsid w:val="00E47EED"/>
    <w:rsid w:val="00E50240"/>
    <w:rsid w:val="00E503A0"/>
    <w:rsid w:val="00E50617"/>
    <w:rsid w:val="00E5062E"/>
    <w:rsid w:val="00E50876"/>
    <w:rsid w:val="00E50D42"/>
    <w:rsid w:val="00E50FBA"/>
    <w:rsid w:val="00E50FD2"/>
    <w:rsid w:val="00E5139D"/>
    <w:rsid w:val="00E51919"/>
    <w:rsid w:val="00E5192A"/>
    <w:rsid w:val="00E51CB6"/>
    <w:rsid w:val="00E51F0D"/>
    <w:rsid w:val="00E51F59"/>
    <w:rsid w:val="00E52503"/>
    <w:rsid w:val="00E527B2"/>
    <w:rsid w:val="00E529C8"/>
    <w:rsid w:val="00E52BC3"/>
    <w:rsid w:val="00E52C45"/>
    <w:rsid w:val="00E53188"/>
    <w:rsid w:val="00E53364"/>
    <w:rsid w:val="00E536A0"/>
    <w:rsid w:val="00E5381E"/>
    <w:rsid w:val="00E53A51"/>
    <w:rsid w:val="00E53A5A"/>
    <w:rsid w:val="00E53D2E"/>
    <w:rsid w:val="00E53E07"/>
    <w:rsid w:val="00E54053"/>
    <w:rsid w:val="00E545FB"/>
    <w:rsid w:val="00E546DC"/>
    <w:rsid w:val="00E54725"/>
    <w:rsid w:val="00E54727"/>
    <w:rsid w:val="00E5496E"/>
    <w:rsid w:val="00E54A83"/>
    <w:rsid w:val="00E54DB8"/>
    <w:rsid w:val="00E54EB3"/>
    <w:rsid w:val="00E54EF6"/>
    <w:rsid w:val="00E550F6"/>
    <w:rsid w:val="00E55209"/>
    <w:rsid w:val="00E55B6F"/>
    <w:rsid w:val="00E55CAB"/>
    <w:rsid w:val="00E56804"/>
    <w:rsid w:val="00E56AAE"/>
    <w:rsid w:val="00E56D87"/>
    <w:rsid w:val="00E56E18"/>
    <w:rsid w:val="00E56FEC"/>
    <w:rsid w:val="00E5718B"/>
    <w:rsid w:val="00E571F6"/>
    <w:rsid w:val="00E57620"/>
    <w:rsid w:val="00E57644"/>
    <w:rsid w:val="00E576D4"/>
    <w:rsid w:val="00E5783B"/>
    <w:rsid w:val="00E57B40"/>
    <w:rsid w:val="00E57D65"/>
    <w:rsid w:val="00E600ED"/>
    <w:rsid w:val="00E60332"/>
    <w:rsid w:val="00E6063E"/>
    <w:rsid w:val="00E60891"/>
    <w:rsid w:val="00E60917"/>
    <w:rsid w:val="00E60943"/>
    <w:rsid w:val="00E60AEC"/>
    <w:rsid w:val="00E60B0A"/>
    <w:rsid w:val="00E60C1F"/>
    <w:rsid w:val="00E60D4E"/>
    <w:rsid w:val="00E60D76"/>
    <w:rsid w:val="00E60F5C"/>
    <w:rsid w:val="00E61062"/>
    <w:rsid w:val="00E6123C"/>
    <w:rsid w:val="00E612AA"/>
    <w:rsid w:val="00E6188B"/>
    <w:rsid w:val="00E619DA"/>
    <w:rsid w:val="00E61A01"/>
    <w:rsid w:val="00E61A1A"/>
    <w:rsid w:val="00E61D02"/>
    <w:rsid w:val="00E61DAA"/>
    <w:rsid w:val="00E61DD2"/>
    <w:rsid w:val="00E61ED9"/>
    <w:rsid w:val="00E61F6D"/>
    <w:rsid w:val="00E622B3"/>
    <w:rsid w:val="00E62363"/>
    <w:rsid w:val="00E6244A"/>
    <w:rsid w:val="00E627A0"/>
    <w:rsid w:val="00E631D9"/>
    <w:rsid w:val="00E6328D"/>
    <w:rsid w:val="00E6349F"/>
    <w:rsid w:val="00E63870"/>
    <w:rsid w:val="00E63A38"/>
    <w:rsid w:val="00E64202"/>
    <w:rsid w:val="00E6431E"/>
    <w:rsid w:val="00E64941"/>
    <w:rsid w:val="00E6495C"/>
    <w:rsid w:val="00E64BF6"/>
    <w:rsid w:val="00E64D2B"/>
    <w:rsid w:val="00E65238"/>
    <w:rsid w:val="00E6529F"/>
    <w:rsid w:val="00E6537D"/>
    <w:rsid w:val="00E65754"/>
    <w:rsid w:val="00E658A7"/>
    <w:rsid w:val="00E65975"/>
    <w:rsid w:val="00E65A55"/>
    <w:rsid w:val="00E65B2F"/>
    <w:rsid w:val="00E65B72"/>
    <w:rsid w:val="00E65DB1"/>
    <w:rsid w:val="00E65DDE"/>
    <w:rsid w:val="00E65F6C"/>
    <w:rsid w:val="00E660F3"/>
    <w:rsid w:val="00E66149"/>
    <w:rsid w:val="00E66183"/>
    <w:rsid w:val="00E661C7"/>
    <w:rsid w:val="00E66248"/>
    <w:rsid w:val="00E663F1"/>
    <w:rsid w:val="00E663FC"/>
    <w:rsid w:val="00E665CA"/>
    <w:rsid w:val="00E66786"/>
    <w:rsid w:val="00E66923"/>
    <w:rsid w:val="00E66981"/>
    <w:rsid w:val="00E66B70"/>
    <w:rsid w:val="00E66B96"/>
    <w:rsid w:val="00E66C74"/>
    <w:rsid w:val="00E67117"/>
    <w:rsid w:val="00E672B1"/>
    <w:rsid w:val="00E674CA"/>
    <w:rsid w:val="00E674FF"/>
    <w:rsid w:val="00E67730"/>
    <w:rsid w:val="00E67A13"/>
    <w:rsid w:val="00E67F0A"/>
    <w:rsid w:val="00E700E0"/>
    <w:rsid w:val="00E700F4"/>
    <w:rsid w:val="00E70269"/>
    <w:rsid w:val="00E705C2"/>
    <w:rsid w:val="00E706AA"/>
    <w:rsid w:val="00E70AF3"/>
    <w:rsid w:val="00E70C00"/>
    <w:rsid w:val="00E711EE"/>
    <w:rsid w:val="00E71292"/>
    <w:rsid w:val="00E713BF"/>
    <w:rsid w:val="00E715AB"/>
    <w:rsid w:val="00E715F7"/>
    <w:rsid w:val="00E71C3F"/>
    <w:rsid w:val="00E71C52"/>
    <w:rsid w:val="00E71D27"/>
    <w:rsid w:val="00E71DA9"/>
    <w:rsid w:val="00E71EA7"/>
    <w:rsid w:val="00E72656"/>
    <w:rsid w:val="00E72917"/>
    <w:rsid w:val="00E7299E"/>
    <w:rsid w:val="00E72D51"/>
    <w:rsid w:val="00E72DC2"/>
    <w:rsid w:val="00E73485"/>
    <w:rsid w:val="00E7363A"/>
    <w:rsid w:val="00E73D90"/>
    <w:rsid w:val="00E73DCB"/>
    <w:rsid w:val="00E74125"/>
    <w:rsid w:val="00E74272"/>
    <w:rsid w:val="00E74277"/>
    <w:rsid w:val="00E742BD"/>
    <w:rsid w:val="00E7446A"/>
    <w:rsid w:val="00E7479E"/>
    <w:rsid w:val="00E747B1"/>
    <w:rsid w:val="00E74806"/>
    <w:rsid w:val="00E74A1F"/>
    <w:rsid w:val="00E74C84"/>
    <w:rsid w:val="00E750C1"/>
    <w:rsid w:val="00E7524D"/>
    <w:rsid w:val="00E75A60"/>
    <w:rsid w:val="00E75F2C"/>
    <w:rsid w:val="00E76AF8"/>
    <w:rsid w:val="00E76CE5"/>
    <w:rsid w:val="00E76F08"/>
    <w:rsid w:val="00E76F38"/>
    <w:rsid w:val="00E76FC1"/>
    <w:rsid w:val="00E77030"/>
    <w:rsid w:val="00E7799D"/>
    <w:rsid w:val="00E7799E"/>
    <w:rsid w:val="00E77AAE"/>
    <w:rsid w:val="00E77D85"/>
    <w:rsid w:val="00E77FE7"/>
    <w:rsid w:val="00E803EC"/>
    <w:rsid w:val="00E80537"/>
    <w:rsid w:val="00E80A2E"/>
    <w:rsid w:val="00E811BE"/>
    <w:rsid w:val="00E8178A"/>
    <w:rsid w:val="00E81974"/>
    <w:rsid w:val="00E81986"/>
    <w:rsid w:val="00E819C5"/>
    <w:rsid w:val="00E81BF3"/>
    <w:rsid w:val="00E81CB9"/>
    <w:rsid w:val="00E824FE"/>
    <w:rsid w:val="00E82765"/>
    <w:rsid w:val="00E828BA"/>
    <w:rsid w:val="00E829C2"/>
    <w:rsid w:val="00E82BEA"/>
    <w:rsid w:val="00E82CBA"/>
    <w:rsid w:val="00E82CBC"/>
    <w:rsid w:val="00E82DB6"/>
    <w:rsid w:val="00E83118"/>
    <w:rsid w:val="00E831D5"/>
    <w:rsid w:val="00E831E3"/>
    <w:rsid w:val="00E838A6"/>
    <w:rsid w:val="00E83988"/>
    <w:rsid w:val="00E83B10"/>
    <w:rsid w:val="00E83D23"/>
    <w:rsid w:val="00E8427B"/>
    <w:rsid w:val="00E84347"/>
    <w:rsid w:val="00E84405"/>
    <w:rsid w:val="00E84875"/>
    <w:rsid w:val="00E848AD"/>
    <w:rsid w:val="00E849EC"/>
    <w:rsid w:val="00E84DE3"/>
    <w:rsid w:val="00E84E8B"/>
    <w:rsid w:val="00E84FE5"/>
    <w:rsid w:val="00E85503"/>
    <w:rsid w:val="00E85513"/>
    <w:rsid w:val="00E85F49"/>
    <w:rsid w:val="00E85F84"/>
    <w:rsid w:val="00E8607E"/>
    <w:rsid w:val="00E86346"/>
    <w:rsid w:val="00E86432"/>
    <w:rsid w:val="00E8643B"/>
    <w:rsid w:val="00E86789"/>
    <w:rsid w:val="00E8695E"/>
    <w:rsid w:val="00E869BF"/>
    <w:rsid w:val="00E869EC"/>
    <w:rsid w:val="00E869F3"/>
    <w:rsid w:val="00E86C2C"/>
    <w:rsid w:val="00E86C9C"/>
    <w:rsid w:val="00E86F2E"/>
    <w:rsid w:val="00E871C6"/>
    <w:rsid w:val="00E873D4"/>
    <w:rsid w:val="00E874F6"/>
    <w:rsid w:val="00E8794A"/>
    <w:rsid w:val="00E87A15"/>
    <w:rsid w:val="00E87BA5"/>
    <w:rsid w:val="00E87C4A"/>
    <w:rsid w:val="00E87D1C"/>
    <w:rsid w:val="00E87FF2"/>
    <w:rsid w:val="00E903AD"/>
    <w:rsid w:val="00E90589"/>
    <w:rsid w:val="00E905C6"/>
    <w:rsid w:val="00E906AF"/>
    <w:rsid w:val="00E907F8"/>
    <w:rsid w:val="00E90B4C"/>
    <w:rsid w:val="00E90D32"/>
    <w:rsid w:val="00E90FF2"/>
    <w:rsid w:val="00E910C9"/>
    <w:rsid w:val="00E91355"/>
    <w:rsid w:val="00E914E3"/>
    <w:rsid w:val="00E91ADE"/>
    <w:rsid w:val="00E9211A"/>
    <w:rsid w:val="00E92295"/>
    <w:rsid w:val="00E92635"/>
    <w:rsid w:val="00E92931"/>
    <w:rsid w:val="00E92B88"/>
    <w:rsid w:val="00E92BA4"/>
    <w:rsid w:val="00E92E35"/>
    <w:rsid w:val="00E92FE7"/>
    <w:rsid w:val="00E9357E"/>
    <w:rsid w:val="00E936BD"/>
    <w:rsid w:val="00E9378D"/>
    <w:rsid w:val="00E93A7E"/>
    <w:rsid w:val="00E93C05"/>
    <w:rsid w:val="00E93CC5"/>
    <w:rsid w:val="00E93CDA"/>
    <w:rsid w:val="00E94969"/>
    <w:rsid w:val="00E94C24"/>
    <w:rsid w:val="00E94C7A"/>
    <w:rsid w:val="00E94CA2"/>
    <w:rsid w:val="00E9509B"/>
    <w:rsid w:val="00E9523E"/>
    <w:rsid w:val="00E95518"/>
    <w:rsid w:val="00E9553E"/>
    <w:rsid w:val="00E9572A"/>
    <w:rsid w:val="00E95BD7"/>
    <w:rsid w:val="00E95CAB"/>
    <w:rsid w:val="00E95E41"/>
    <w:rsid w:val="00E9601A"/>
    <w:rsid w:val="00E96113"/>
    <w:rsid w:val="00E96721"/>
    <w:rsid w:val="00E96795"/>
    <w:rsid w:val="00E96874"/>
    <w:rsid w:val="00E96AA6"/>
    <w:rsid w:val="00E96E55"/>
    <w:rsid w:val="00E96F37"/>
    <w:rsid w:val="00E972D3"/>
    <w:rsid w:val="00E97546"/>
    <w:rsid w:val="00E9799E"/>
    <w:rsid w:val="00E97A62"/>
    <w:rsid w:val="00E97CB6"/>
    <w:rsid w:val="00E97D52"/>
    <w:rsid w:val="00E97F12"/>
    <w:rsid w:val="00EA07DF"/>
    <w:rsid w:val="00EA0970"/>
    <w:rsid w:val="00EA0B10"/>
    <w:rsid w:val="00EA0FB8"/>
    <w:rsid w:val="00EA105F"/>
    <w:rsid w:val="00EA1148"/>
    <w:rsid w:val="00EA15DC"/>
    <w:rsid w:val="00EA1700"/>
    <w:rsid w:val="00EA1842"/>
    <w:rsid w:val="00EA203F"/>
    <w:rsid w:val="00EA2131"/>
    <w:rsid w:val="00EA2277"/>
    <w:rsid w:val="00EA29C1"/>
    <w:rsid w:val="00EA2DBA"/>
    <w:rsid w:val="00EA30A8"/>
    <w:rsid w:val="00EA30B4"/>
    <w:rsid w:val="00EA30DA"/>
    <w:rsid w:val="00EA33BE"/>
    <w:rsid w:val="00EA3507"/>
    <w:rsid w:val="00EA3517"/>
    <w:rsid w:val="00EA3591"/>
    <w:rsid w:val="00EA3617"/>
    <w:rsid w:val="00EA3819"/>
    <w:rsid w:val="00EA3911"/>
    <w:rsid w:val="00EA3B54"/>
    <w:rsid w:val="00EA3EDB"/>
    <w:rsid w:val="00EA418B"/>
    <w:rsid w:val="00EA4220"/>
    <w:rsid w:val="00EA42A5"/>
    <w:rsid w:val="00EA47BE"/>
    <w:rsid w:val="00EA4999"/>
    <w:rsid w:val="00EA4C2B"/>
    <w:rsid w:val="00EA4C6B"/>
    <w:rsid w:val="00EA4E94"/>
    <w:rsid w:val="00EA4ED9"/>
    <w:rsid w:val="00EA530B"/>
    <w:rsid w:val="00EA532E"/>
    <w:rsid w:val="00EA566A"/>
    <w:rsid w:val="00EA5798"/>
    <w:rsid w:val="00EA5A6F"/>
    <w:rsid w:val="00EA5BEE"/>
    <w:rsid w:val="00EA5EC5"/>
    <w:rsid w:val="00EA60E3"/>
    <w:rsid w:val="00EA61BC"/>
    <w:rsid w:val="00EA61E7"/>
    <w:rsid w:val="00EA622B"/>
    <w:rsid w:val="00EA631D"/>
    <w:rsid w:val="00EA64D9"/>
    <w:rsid w:val="00EA64FE"/>
    <w:rsid w:val="00EA67E1"/>
    <w:rsid w:val="00EA68A9"/>
    <w:rsid w:val="00EA695A"/>
    <w:rsid w:val="00EA6B63"/>
    <w:rsid w:val="00EA6FCC"/>
    <w:rsid w:val="00EA728D"/>
    <w:rsid w:val="00EA73AB"/>
    <w:rsid w:val="00EA748E"/>
    <w:rsid w:val="00EA7768"/>
    <w:rsid w:val="00EA77C0"/>
    <w:rsid w:val="00EA77C3"/>
    <w:rsid w:val="00EA784F"/>
    <w:rsid w:val="00EA79B8"/>
    <w:rsid w:val="00EA7DEC"/>
    <w:rsid w:val="00EA7E15"/>
    <w:rsid w:val="00EB0229"/>
    <w:rsid w:val="00EB0352"/>
    <w:rsid w:val="00EB0380"/>
    <w:rsid w:val="00EB04C2"/>
    <w:rsid w:val="00EB0603"/>
    <w:rsid w:val="00EB06F2"/>
    <w:rsid w:val="00EB092D"/>
    <w:rsid w:val="00EB0935"/>
    <w:rsid w:val="00EB0A8E"/>
    <w:rsid w:val="00EB0A94"/>
    <w:rsid w:val="00EB0AE7"/>
    <w:rsid w:val="00EB0C41"/>
    <w:rsid w:val="00EB0DF4"/>
    <w:rsid w:val="00EB0F1D"/>
    <w:rsid w:val="00EB130A"/>
    <w:rsid w:val="00EB130D"/>
    <w:rsid w:val="00EB1375"/>
    <w:rsid w:val="00EB1586"/>
    <w:rsid w:val="00EB174C"/>
    <w:rsid w:val="00EB1841"/>
    <w:rsid w:val="00EB1A35"/>
    <w:rsid w:val="00EB1A62"/>
    <w:rsid w:val="00EB1B12"/>
    <w:rsid w:val="00EB1B96"/>
    <w:rsid w:val="00EB1E72"/>
    <w:rsid w:val="00EB215F"/>
    <w:rsid w:val="00EB21B4"/>
    <w:rsid w:val="00EB27F9"/>
    <w:rsid w:val="00EB28FF"/>
    <w:rsid w:val="00EB2CE9"/>
    <w:rsid w:val="00EB2D22"/>
    <w:rsid w:val="00EB2F5A"/>
    <w:rsid w:val="00EB32D9"/>
    <w:rsid w:val="00EB32DD"/>
    <w:rsid w:val="00EB33C7"/>
    <w:rsid w:val="00EB3693"/>
    <w:rsid w:val="00EB36E2"/>
    <w:rsid w:val="00EB382C"/>
    <w:rsid w:val="00EB3AC3"/>
    <w:rsid w:val="00EB3BCF"/>
    <w:rsid w:val="00EB3DB6"/>
    <w:rsid w:val="00EB4038"/>
    <w:rsid w:val="00EB4079"/>
    <w:rsid w:val="00EB40E2"/>
    <w:rsid w:val="00EB4221"/>
    <w:rsid w:val="00EB43C4"/>
    <w:rsid w:val="00EB4409"/>
    <w:rsid w:val="00EB44C4"/>
    <w:rsid w:val="00EB459E"/>
    <w:rsid w:val="00EB4605"/>
    <w:rsid w:val="00EB4A01"/>
    <w:rsid w:val="00EB4C3E"/>
    <w:rsid w:val="00EB4C93"/>
    <w:rsid w:val="00EB4EEB"/>
    <w:rsid w:val="00EB5054"/>
    <w:rsid w:val="00EB5061"/>
    <w:rsid w:val="00EB51A4"/>
    <w:rsid w:val="00EB54E6"/>
    <w:rsid w:val="00EB5A31"/>
    <w:rsid w:val="00EB5BAD"/>
    <w:rsid w:val="00EB5C72"/>
    <w:rsid w:val="00EB6049"/>
    <w:rsid w:val="00EB60DE"/>
    <w:rsid w:val="00EB648F"/>
    <w:rsid w:val="00EB64DA"/>
    <w:rsid w:val="00EB65E9"/>
    <w:rsid w:val="00EB65EA"/>
    <w:rsid w:val="00EB67FE"/>
    <w:rsid w:val="00EB6911"/>
    <w:rsid w:val="00EB6AA6"/>
    <w:rsid w:val="00EB6C1D"/>
    <w:rsid w:val="00EB6E96"/>
    <w:rsid w:val="00EB6F29"/>
    <w:rsid w:val="00EB7133"/>
    <w:rsid w:val="00EB7253"/>
    <w:rsid w:val="00EB7530"/>
    <w:rsid w:val="00EB756F"/>
    <w:rsid w:val="00EB75D2"/>
    <w:rsid w:val="00EB7898"/>
    <w:rsid w:val="00EB7AE1"/>
    <w:rsid w:val="00EB7AF7"/>
    <w:rsid w:val="00EB7B34"/>
    <w:rsid w:val="00EB7BD7"/>
    <w:rsid w:val="00EB7E38"/>
    <w:rsid w:val="00EC005C"/>
    <w:rsid w:val="00EC00A8"/>
    <w:rsid w:val="00EC03EF"/>
    <w:rsid w:val="00EC0566"/>
    <w:rsid w:val="00EC0633"/>
    <w:rsid w:val="00EC0ABA"/>
    <w:rsid w:val="00EC0E1B"/>
    <w:rsid w:val="00EC0E5D"/>
    <w:rsid w:val="00EC1627"/>
    <w:rsid w:val="00EC1922"/>
    <w:rsid w:val="00EC1940"/>
    <w:rsid w:val="00EC199B"/>
    <w:rsid w:val="00EC1E63"/>
    <w:rsid w:val="00EC1EA1"/>
    <w:rsid w:val="00EC22AB"/>
    <w:rsid w:val="00EC2305"/>
    <w:rsid w:val="00EC23F7"/>
    <w:rsid w:val="00EC28B1"/>
    <w:rsid w:val="00EC28BC"/>
    <w:rsid w:val="00EC28C9"/>
    <w:rsid w:val="00EC314B"/>
    <w:rsid w:val="00EC314E"/>
    <w:rsid w:val="00EC333D"/>
    <w:rsid w:val="00EC3C93"/>
    <w:rsid w:val="00EC3FC6"/>
    <w:rsid w:val="00EC400C"/>
    <w:rsid w:val="00EC401F"/>
    <w:rsid w:val="00EC43BA"/>
    <w:rsid w:val="00EC4677"/>
    <w:rsid w:val="00EC49AC"/>
    <w:rsid w:val="00EC4A21"/>
    <w:rsid w:val="00EC4B93"/>
    <w:rsid w:val="00EC4DF0"/>
    <w:rsid w:val="00EC4FC0"/>
    <w:rsid w:val="00EC5416"/>
    <w:rsid w:val="00EC552C"/>
    <w:rsid w:val="00EC59C6"/>
    <w:rsid w:val="00EC59CA"/>
    <w:rsid w:val="00EC5A0A"/>
    <w:rsid w:val="00EC5A0B"/>
    <w:rsid w:val="00EC5ACE"/>
    <w:rsid w:val="00EC5B58"/>
    <w:rsid w:val="00EC5BAD"/>
    <w:rsid w:val="00EC5BF6"/>
    <w:rsid w:val="00EC5E79"/>
    <w:rsid w:val="00EC60E2"/>
    <w:rsid w:val="00EC61FB"/>
    <w:rsid w:val="00EC633B"/>
    <w:rsid w:val="00EC6612"/>
    <w:rsid w:val="00EC66DB"/>
    <w:rsid w:val="00EC6F79"/>
    <w:rsid w:val="00EC6FDB"/>
    <w:rsid w:val="00EC710C"/>
    <w:rsid w:val="00EC736A"/>
    <w:rsid w:val="00EC7A36"/>
    <w:rsid w:val="00EC7B8A"/>
    <w:rsid w:val="00EC7E04"/>
    <w:rsid w:val="00EC7FAA"/>
    <w:rsid w:val="00EC7FEB"/>
    <w:rsid w:val="00ED00C9"/>
    <w:rsid w:val="00ED0143"/>
    <w:rsid w:val="00ED02B7"/>
    <w:rsid w:val="00ED0576"/>
    <w:rsid w:val="00ED0756"/>
    <w:rsid w:val="00ED096D"/>
    <w:rsid w:val="00ED097A"/>
    <w:rsid w:val="00ED097F"/>
    <w:rsid w:val="00ED0B8D"/>
    <w:rsid w:val="00ED0D8B"/>
    <w:rsid w:val="00ED112F"/>
    <w:rsid w:val="00ED11FB"/>
    <w:rsid w:val="00ED1215"/>
    <w:rsid w:val="00ED1228"/>
    <w:rsid w:val="00ED149E"/>
    <w:rsid w:val="00ED177D"/>
    <w:rsid w:val="00ED18DE"/>
    <w:rsid w:val="00ED1C31"/>
    <w:rsid w:val="00ED1CD7"/>
    <w:rsid w:val="00ED1D10"/>
    <w:rsid w:val="00ED20FD"/>
    <w:rsid w:val="00ED223E"/>
    <w:rsid w:val="00ED2247"/>
    <w:rsid w:val="00ED2630"/>
    <w:rsid w:val="00ED2761"/>
    <w:rsid w:val="00ED27C7"/>
    <w:rsid w:val="00ED2830"/>
    <w:rsid w:val="00ED292E"/>
    <w:rsid w:val="00ED2B30"/>
    <w:rsid w:val="00ED2BC5"/>
    <w:rsid w:val="00ED2C09"/>
    <w:rsid w:val="00ED3055"/>
    <w:rsid w:val="00ED3100"/>
    <w:rsid w:val="00ED3268"/>
    <w:rsid w:val="00ED3807"/>
    <w:rsid w:val="00ED3844"/>
    <w:rsid w:val="00ED3C0B"/>
    <w:rsid w:val="00ED3FCC"/>
    <w:rsid w:val="00ED4100"/>
    <w:rsid w:val="00ED4625"/>
    <w:rsid w:val="00ED46E9"/>
    <w:rsid w:val="00ED4A7F"/>
    <w:rsid w:val="00ED4B88"/>
    <w:rsid w:val="00ED4C28"/>
    <w:rsid w:val="00ED4C5B"/>
    <w:rsid w:val="00ED4D56"/>
    <w:rsid w:val="00ED50C4"/>
    <w:rsid w:val="00ED5228"/>
    <w:rsid w:val="00ED5273"/>
    <w:rsid w:val="00ED5372"/>
    <w:rsid w:val="00ED59E0"/>
    <w:rsid w:val="00ED5A8C"/>
    <w:rsid w:val="00ED5BC2"/>
    <w:rsid w:val="00ED5C3B"/>
    <w:rsid w:val="00ED5DA8"/>
    <w:rsid w:val="00ED5F99"/>
    <w:rsid w:val="00ED5FC6"/>
    <w:rsid w:val="00ED606E"/>
    <w:rsid w:val="00ED60BF"/>
    <w:rsid w:val="00ED6511"/>
    <w:rsid w:val="00ED6AD3"/>
    <w:rsid w:val="00ED6B8D"/>
    <w:rsid w:val="00ED6C15"/>
    <w:rsid w:val="00ED7124"/>
    <w:rsid w:val="00ED7159"/>
    <w:rsid w:val="00ED71E3"/>
    <w:rsid w:val="00ED7261"/>
    <w:rsid w:val="00ED73B6"/>
    <w:rsid w:val="00ED778F"/>
    <w:rsid w:val="00ED7B52"/>
    <w:rsid w:val="00ED7DC6"/>
    <w:rsid w:val="00EE0024"/>
    <w:rsid w:val="00EE00D7"/>
    <w:rsid w:val="00EE011A"/>
    <w:rsid w:val="00EE0823"/>
    <w:rsid w:val="00EE0B46"/>
    <w:rsid w:val="00EE0C68"/>
    <w:rsid w:val="00EE0CAD"/>
    <w:rsid w:val="00EE0DB5"/>
    <w:rsid w:val="00EE0EE8"/>
    <w:rsid w:val="00EE1005"/>
    <w:rsid w:val="00EE1A1E"/>
    <w:rsid w:val="00EE1ED1"/>
    <w:rsid w:val="00EE1F3A"/>
    <w:rsid w:val="00EE20A0"/>
    <w:rsid w:val="00EE20F8"/>
    <w:rsid w:val="00EE226E"/>
    <w:rsid w:val="00EE2360"/>
    <w:rsid w:val="00EE2472"/>
    <w:rsid w:val="00EE2622"/>
    <w:rsid w:val="00EE299A"/>
    <w:rsid w:val="00EE2ACF"/>
    <w:rsid w:val="00EE2C11"/>
    <w:rsid w:val="00EE2CEF"/>
    <w:rsid w:val="00EE2E80"/>
    <w:rsid w:val="00EE2E8F"/>
    <w:rsid w:val="00EE2ED8"/>
    <w:rsid w:val="00EE3152"/>
    <w:rsid w:val="00EE319F"/>
    <w:rsid w:val="00EE3295"/>
    <w:rsid w:val="00EE36D5"/>
    <w:rsid w:val="00EE3B5B"/>
    <w:rsid w:val="00EE3B69"/>
    <w:rsid w:val="00EE3CF7"/>
    <w:rsid w:val="00EE4095"/>
    <w:rsid w:val="00EE4307"/>
    <w:rsid w:val="00EE4875"/>
    <w:rsid w:val="00EE4AB1"/>
    <w:rsid w:val="00EE4B8B"/>
    <w:rsid w:val="00EE4BCC"/>
    <w:rsid w:val="00EE4C1D"/>
    <w:rsid w:val="00EE4C80"/>
    <w:rsid w:val="00EE4DD4"/>
    <w:rsid w:val="00EE5200"/>
    <w:rsid w:val="00EE5387"/>
    <w:rsid w:val="00EE53D9"/>
    <w:rsid w:val="00EE554A"/>
    <w:rsid w:val="00EE5570"/>
    <w:rsid w:val="00EE6151"/>
    <w:rsid w:val="00EE61D7"/>
    <w:rsid w:val="00EE64F5"/>
    <w:rsid w:val="00EE6537"/>
    <w:rsid w:val="00EE66F6"/>
    <w:rsid w:val="00EE6A88"/>
    <w:rsid w:val="00EE6D21"/>
    <w:rsid w:val="00EE6D77"/>
    <w:rsid w:val="00EE6DC7"/>
    <w:rsid w:val="00EE6DD8"/>
    <w:rsid w:val="00EE6E15"/>
    <w:rsid w:val="00EE70AF"/>
    <w:rsid w:val="00EE70C7"/>
    <w:rsid w:val="00EE7157"/>
    <w:rsid w:val="00EE7376"/>
    <w:rsid w:val="00EE7771"/>
    <w:rsid w:val="00EE79CB"/>
    <w:rsid w:val="00EE7D26"/>
    <w:rsid w:val="00EF0119"/>
    <w:rsid w:val="00EF0530"/>
    <w:rsid w:val="00EF07EE"/>
    <w:rsid w:val="00EF0B27"/>
    <w:rsid w:val="00EF0F07"/>
    <w:rsid w:val="00EF1142"/>
    <w:rsid w:val="00EF1212"/>
    <w:rsid w:val="00EF15E7"/>
    <w:rsid w:val="00EF17AA"/>
    <w:rsid w:val="00EF1879"/>
    <w:rsid w:val="00EF1A71"/>
    <w:rsid w:val="00EF1C49"/>
    <w:rsid w:val="00EF1C78"/>
    <w:rsid w:val="00EF1E19"/>
    <w:rsid w:val="00EF1EA1"/>
    <w:rsid w:val="00EF1EB6"/>
    <w:rsid w:val="00EF2281"/>
    <w:rsid w:val="00EF2382"/>
    <w:rsid w:val="00EF24D9"/>
    <w:rsid w:val="00EF24DC"/>
    <w:rsid w:val="00EF2B4C"/>
    <w:rsid w:val="00EF2D89"/>
    <w:rsid w:val="00EF31DC"/>
    <w:rsid w:val="00EF3733"/>
    <w:rsid w:val="00EF37F6"/>
    <w:rsid w:val="00EF3A2D"/>
    <w:rsid w:val="00EF3A97"/>
    <w:rsid w:val="00EF3BFD"/>
    <w:rsid w:val="00EF3C7E"/>
    <w:rsid w:val="00EF3C92"/>
    <w:rsid w:val="00EF402D"/>
    <w:rsid w:val="00EF404E"/>
    <w:rsid w:val="00EF4C41"/>
    <w:rsid w:val="00EF4D3F"/>
    <w:rsid w:val="00EF546C"/>
    <w:rsid w:val="00EF551F"/>
    <w:rsid w:val="00EF58E6"/>
    <w:rsid w:val="00EF590D"/>
    <w:rsid w:val="00EF5BB6"/>
    <w:rsid w:val="00EF5C78"/>
    <w:rsid w:val="00EF5E9F"/>
    <w:rsid w:val="00EF611A"/>
    <w:rsid w:val="00EF61A6"/>
    <w:rsid w:val="00EF6A2F"/>
    <w:rsid w:val="00EF7243"/>
    <w:rsid w:val="00EF750F"/>
    <w:rsid w:val="00EF755B"/>
    <w:rsid w:val="00EF775D"/>
    <w:rsid w:val="00EF78E9"/>
    <w:rsid w:val="00EF79CA"/>
    <w:rsid w:val="00EF7A97"/>
    <w:rsid w:val="00F00045"/>
    <w:rsid w:val="00F0008B"/>
    <w:rsid w:val="00F00192"/>
    <w:rsid w:val="00F00242"/>
    <w:rsid w:val="00F00519"/>
    <w:rsid w:val="00F00797"/>
    <w:rsid w:val="00F00AE5"/>
    <w:rsid w:val="00F00C0E"/>
    <w:rsid w:val="00F00C9C"/>
    <w:rsid w:val="00F00E4E"/>
    <w:rsid w:val="00F00E8B"/>
    <w:rsid w:val="00F010B8"/>
    <w:rsid w:val="00F01235"/>
    <w:rsid w:val="00F01A07"/>
    <w:rsid w:val="00F01D0F"/>
    <w:rsid w:val="00F01E31"/>
    <w:rsid w:val="00F021F5"/>
    <w:rsid w:val="00F022AD"/>
    <w:rsid w:val="00F02478"/>
    <w:rsid w:val="00F027DE"/>
    <w:rsid w:val="00F027E1"/>
    <w:rsid w:val="00F028BF"/>
    <w:rsid w:val="00F02904"/>
    <w:rsid w:val="00F029E2"/>
    <w:rsid w:val="00F0317D"/>
    <w:rsid w:val="00F0337A"/>
    <w:rsid w:val="00F0378F"/>
    <w:rsid w:val="00F037E2"/>
    <w:rsid w:val="00F03880"/>
    <w:rsid w:val="00F03A7C"/>
    <w:rsid w:val="00F03B46"/>
    <w:rsid w:val="00F03BD2"/>
    <w:rsid w:val="00F03F02"/>
    <w:rsid w:val="00F04039"/>
    <w:rsid w:val="00F041EA"/>
    <w:rsid w:val="00F044EA"/>
    <w:rsid w:val="00F0480A"/>
    <w:rsid w:val="00F05053"/>
    <w:rsid w:val="00F051C7"/>
    <w:rsid w:val="00F05357"/>
    <w:rsid w:val="00F053C1"/>
    <w:rsid w:val="00F05409"/>
    <w:rsid w:val="00F0552E"/>
    <w:rsid w:val="00F05554"/>
    <w:rsid w:val="00F055AA"/>
    <w:rsid w:val="00F05912"/>
    <w:rsid w:val="00F062B0"/>
    <w:rsid w:val="00F06309"/>
    <w:rsid w:val="00F06431"/>
    <w:rsid w:val="00F070A8"/>
    <w:rsid w:val="00F070D2"/>
    <w:rsid w:val="00F07336"/>
    <w:rsid w:val="00F07473"/>
    <w:rsid w:val="00F076BD"/>
    <w:rsid w:val="00F07747"/>
    <w:rsid w:val="00F07A52"/>
    <w:rsid w:val="00F07B5F"/>
    <w:rsid w:val="00F07E0B"/>
    <w:rsid w:val="00F100F2"/>
    <w:rsid w:val="00F10792"/>
    <w:rsid w:val="00F107C6"/>
    <w:rsid w:val="00F108A1"/>
    <w:rsid w:val="00F10A15"/>
    <w:rsid w:val="00F10A98"/>
    <w:rsid w:val="00F10AFE"/>
    <w:rsid w:val="00F10BE0"/>
    <w:rsid w:val="00F1131E"/>
    <w:rsid w:val="00F115CB"/>
    <w:rsid w:val="00F11916"/>
    <w:rsid w:val="00F11934"/>
    <w:rsid w:val="00F11AC4"/>
    <w:rsid w:val="00F11BEB"/>
    <w:rsid w:val="00F12732"/>
    <w:rsid w:val="00F127C3"/>
    <w:rsid w:val="00F1286E"/>
    <w:rsid w:val="00F12E8A"/>
    <w:rsid w:val="00F1315F"/>
    <w:rsid w:val="00F13693"/>
    <w:rsid w:val="00F1370F"/>
    <w:rsid w:val="00F137D6"/>
    <w:rsid w:val="00F13836"/>
    <w:rsid w:val="00F139DC"/>
    <w:rsid w:val="00F13A62"/>
    <w:rsid w:val="00F13AC6"/>
    <w:rsid w:val="00F13C73"/>
    <w:rsid w:val="00F13E07"/>
    <w:rsid w:val="00F13F63"/>
    <w:rsid w:val="00F14304"/>
    <w:rsid w:val="00F145D5"/>
    <w:rsid w:val="00F1492B"/>
    <w:rsid w:val="00F14A8D"/>
    <w:rsid w:val="00F14BE6"/>
    <w:rsid w:val="00F14EB9"/>
    <w:rsid w:val="00F14F6D"/>
    <w:rsid w:val="00F14FF9"/>
    <w:rsid w:val="00F15065"/>
    <w:rsid w:val="00F150E1"/>
    <w:rsid w:val="00F1531B"/>
    <w:rsid w:val="00F154D1"/>
    <w:rsid w:val="00F159A5"/>
    <w:rsid w:val="00F15A37"/>
    <w:rsid w:val="00F15AD9"/>
    <w:rsid w:val="00F15E50"/>
    <w:rsid w:val="00F15F6D"/>
    <w:rsid w:val="00F16056"/>
    <w:rsid w:val="00F16296"/>
    <w:rsid w:val="00F16365"/>
    <w:rsid w:val="00F16396"/>
    <w:rsid w:val="00F1666E"/>
    <w:rsid w:val="00F1675D"/>
    <w:rsid w:val="00F16802"/>
    <w:rsid w:val="00F1685E"/>
    <w:rsid w:val="00F168C8"/>
    <w:rsid w:val="00F16CE3"/>
    <w:rsid w:val="00F16E7C"/>
    <w:rsid w:val="00F17179"/>
    <w:rsid w:val="00F172D8"/>
    <w:rsid w:val="00F1730B"/>
    <w:rsid w:val="00F177BE"/>
    <w:rsid w:val="00F1796D"/>
    <w:rsid w:val="00F17B90"/>
    <w:rsid w:val="00F17C94"/>
    <w:rsid w:val="00F17D39"/>
    <w:rsid w:val="00F17DF5"/>
    <w:rsid w:val="00F17ED4"/>
    <w:rsid w:val="00F17F39"/>
    <w:rsid w:val="00F2044A"/>
    <w:rsid w:val="00F2052F"/>
    <w:rsid w:val="00F20868"/>
    <w:rsid w:val="00F20FC1"/>
    <w:rsid w:val="00F21AB4"/>
    <w:rsid w:val="00F21CD8"/>
    <w:rsid w:val="00F21D0E"/>
    <w:rsid w:val="00F22379"/>
    <w:rsid w:val="00F2262E"/>
    <w:rsid w:val="00F226E0"/>
    <w:rsid w:val="00F22A13"/>
    <w:rsid w:val="00F22A7E"/>
    <w:rsid w:val="00F22C0D"/>
    <w:rsid w:val="00F22D06"/>
    <w:rsid w:val="00F22EF5"/>
    <w:rsid w:val="00F22FD9"/>
    <w:rsid w:val="00F2305F"/>
    <w:rsid w:val="00F231D4"/>
    <w:rsid w:val="00F23554"/>
    <w:rsid w:val="00F23689"/>
    <w:rsid w:val="00F238DA"/>
    <w:rsid w:val="00F23D36"/>
    <w:rsid w:val="00F23E43"/>
    <w:rsid w:val="00F2418B"/>
    <w:rsid w:val="00F242FA"/>
    <w:rsid w:val="00F243CD"/>
    <w:rsid w:val="00F24496"/>
    <w:rsid w:val="00F24541"/>
    <w:rsid w:val="00F245AC"/>
    <w:rsid w:val="00F2499A"/>
    <w:rsid w:val="00F24CFF"/>
    <w:rsid w:val="00F24D03"/>
    <w:rsid w:val="00F24DE6"/>
    <w:rsid w:val="00F24DEC"/>
    <w:rsid w:val="00F251BA"/>
    <w:rsid w:val="00F252BE"/>
    <w:rsid w:val="00F25987"/>
    <w:rsid w:val="00F25A52"/>
    <w:rsid w:val="00F25AE6"/>
    <w:rsid w:val="00F25B09"/>
    <w:rsid w:val="00F25F97"/>
    <w:rsid w:val="00F262EE"/>
    <w:rsid w:val="00F26459"/>
    <w:rsid w:val="00F26800"/>
    <w:rsid w:val="00F2681A"/>
    <w:rsid w:val="00F26828"/>
    <w:rsid w:val="00F26C36"/>
    <w:rsid w:val="00F26D0B"/>
    <w:rsid w:val="00F26EE9"/>
    <w:rsid w:val="00F26F4F"/>
    <w:rsid w:val="00F2705E"/>
    <w:rsid w:val="00F2782C"/>
    <w:rsid w:val="00F30081"/>
    <w:rsid w:val="00F30283"/>
    <w:rsid w:val="00F302E3"/>
    <w:rsid w:val="00F30382"/>
    <w:rsid w:val="00F303EB"/>
    <w:rsid w:val="00F3044A"/>
    <w:rsid w:val="00F3059D"/>
    <w:rsid w:val="00F3083A"/>
    <w:rsid w:val="00F3097F"/>
    <w:rsid w:val="00F309C8"/>
    <w:rsid w:val="00F309D1"/>
    <w:rsid w:val="00F30C73"/>
    <w:rsid w:val="00F30D94"/>
    <w:rsid w:val="00F30DC6"/>
    <w:rsid w:val="00F30EC0"/>
    <w:rsid w:val="00F30F5D"/>
    <w:rsid w:val="00F31103"/>
    <w:rsid w:val="00F31370"/>
    <w:rsid w:val="00F3140F"/>
    <w:rsid w:val="00F3156A"/>
    <w:rsid w:val="00F31578"/>
    <w:rsid w:val="00F316B9"/>
    <w:rsid w:val="00F3188A"/>
    <w:rsid w:val="00F319A1"/>
    <w:rsid w:val="00F31A32"/>
    <w:rsid w:val="00F31C66"/>
    <w:rsid w:val="00F31CF2"/>
    <w:rsid w:val="00F32027"/>
    <w:rsid w:val="00F32082"/>
    <w:rsid w:val="00F322F7"/>
    <w:rsid w:val="00F32900"/>
    <w:rsid w:val="00F32981"/>
    <w:rsid w:val="00F32985"/>
    <w:rsid w:val="00F329BC"/>
    <w:rsid w:val="00F32DE4"/>
    <w:rsid w:val="00F33670"/>
    <w:rsid w:val="00F33BE2"/>
    <w:rsid w:val="00F33D8F"/>
    <w:rsid w:val="00F33DA6"/>
    <w:rsid w:val="00F33FCA"/>
    <w:rsid w:val="00F342A0"/>
    <w:rsid w:val="00F3453E"/>
    <w:rsid w:val="00F346F4"/>
    <w:rsid w:val="00F34E40"/>
    <w:rsid w:val="00F34EFD"/>
    <w:rsid w:val="00F352D7"/>
    <w:rsid w:val="00F3532A"/>
    <w:rsid w:val="00F354B2"/>
    <w:rsid w:val="00F35728"/>
    <w:rsid w:val="00F35AFC"/>
    <w:rsid w:val="00F35E48"/>
    <w:rsid w:val="00F35FAF"/>
    <w:rsid w:val="00F360B6"/>
    <w:rsid w:val="00F361AD"/>
    <w:rsid w:val="00F3621F"/>
    <w:rsid w:val="00F36353"/>
    <w:rsid w:val="00F364CA"/>
    <w:rsid w:val="00F3668C"/>
    <w:rsid w:val="00F36742"/>
    <w:rsid w:val="00F368BA"/>
    <w:rsid w:val="00F36C57"/>
    <w:rsid w:val="00F3765F"/>
    <w:rsid w:val="00F37C20"/>
    <w:rsid w:val="00F37F70"/>
    <w:rsid w:val="00F4011E"/>
    <w:rsid w:val="00F401AE"/>
    <w:rsid w:val="00F401D4"/>
    <w:rsid w:val="00F40279"/>
    <w:rsid w:val="00F4069F"/>
    <w:rsid w:val="00F40748"/>
    <w:rsid w:val="00F40770"/>
    <w:rsid w:val="00F40906"/>
    <w:rsid w:val="00F40EFF"/>
    <w:rsid w:val="00F412FA"/>
    <w:rsid w:val="00F41487"/>
    <w:rsid w:val="00F414DF"/>
    <w:rsid w:val="00F41545"/>
    <w:rsid w:val="00F4157B"/>
    <w:rsid w:val="00F41687"/>
    <w:rsid w:val="00F41B97"/>
    <w:rsid w:val="00F41CFD"/>
    <w:rsid w:val="00F41F19"/>
    <w:rsid w:val="00F420A6"/>
    <w:rsid w:val="00F42169"/>
    <w:rsid w:val="00F42729"/>
    <w:rsid w:val="00F4274F"/>
    <w:rsid w:val="00F42785"/>
    <w:rsid w:val="00F42B58"/>
    <w:rsid w:val="00F42C9C"/>
    <w:rsid w:val="00F42D37"/>
    <w:rsid w:val="00F43321"/>
    <w:rsid w:val="00F4346D"/>
    <w:rsid w:val="00F436E6"/>
    <w:rsid w:val="00F43B57"/>
    <w:rsid w:val="00F43E76"/>
    <w:rsid w:val="00F43EF6"/>
    <w:rsid w:val="00F43FF3"/>
    <w:rsid w:val="00F44079"/>
    <w:rsid w:val="00F449D8"/>
    <w:rsid w:val="00F44F34"/>
    <w:rsid w:val="00F45141"/>
    <w:rsid w:val="00F451EA"/>
    <w:rsid w:val="00F45370"/>
    <w:rsid w:val="00F456B0"/>
    <w:rsid w:val="00F457DB"/>
    <w:rsid w:val="00F45A8C"/>
    <w:rsid w:val="00F45AE0"/>
    <w:rsid w:val="00F45B3F"/>
    <w:rsid w:val="00F45FC2"/>
    <w:rsid w:val="00F464B7"/>
    <w:rsid w:val="00F46621"/>
    <w:rsid w:val="00F466E8"/>
    <w:rsid w:val="00F46756"/>
    <w:rsid w:val="00F46847"/>
    <w:rsid w:val="00F46AE9"/>
    <w:rsid w:val="00F46D85"/>
    <w:rsid w:val="00F46F2D"/>
    <w:rsid w:val="00F470B4"/>
    <w:rsid w:val="00F4729E"/>
    <w:rsid w:val="00F474AC"/>
    <w:rsid w:val="00F477F0"/>
    <w:rsid w:val="00F47999"/>
    <w:rsid w:val="00F479B3"/>
    <w:rsid w:val="00F47B34"/>
    <w:rsid w:val="00F5008B"/>
    <w:rsid w:val="00F50107"/>
    <w:rsid w:val="00F502A1"/>
    <w:rsid w:val="00F502A7"/>
    <w:rsid w:val="00F50399"/>
    <w:rsid w:val="00F50423"/>
    <w:rsid w:val="00F50506"/>
    <w:rsid w:val="00F505EC"/>
    <w:rsid w:val="00F509A7"/>
    <w:rsid w:val="00F50A10"/>
    <w:rsid w:val="00F50B69"/>
    <w:rsid w:val="00F50CDC"/>
    <w:rsid w:val="00F50DAD"/>
    <w:rsid w:val="00F51226"/>
    <w:rsid w:val="00F5139B"/>
    <w:rsid w:val="00F519DA"/>
    <w:rsid w:val="00F51E62"/>
    <w:rsid w:val="00F51EBD"/>
    <w:rsid w:val="00F521E3"/>
    <w:rsid w:val="00F523CE"/>
    <w:rsid w:val="00F5243C"/>
    <w:rsid w:val="00F527C9"/>
    <w:rsid w:val="00F528B5"/>
    <w:rsid w:val="00F52C3B"/>
    <w:rsid w:val="00F52D75"/>
    <w:rsid w:val="00F5301D"/>
    <w:rsid w:val="00F530D5"/>
    <w:rsid w:val="00F53155"/>
    <w:rsid w:val="00F53219"/>
    <w:rsid w:val="00F5347D"/>
    <w:rsid w:val="00F53932"/>
    <w:rsid w:val="00F5398F"/>
    <w:rsid w:val="00F53D00"/>
    <w:rsid w:val="00F53EDE"/>
    <w:rsid w:val="00F53F34"/>
    <w:rsid w:val="00F53F4E"/>
    <w:rsid w:val="00F53F71"/>
    <w:rsid w:val="00F5449D"/>
    <w:rsid w:val="00F5474B"/>
    <w:rsid w:val="00F5486A"/>
    <w:rsid w:val="00F54CC3"/>
    <w:rsid w:val="00F54E5C"/>
    <w:rsid w:val="00F54E5E"/>
    <w:rsid w:val="00F54F94"/>
    <w:rsid w:val="00F5516D"/>
    <w:rsid w:val="00F5529E"/>
    <w:rsid w:val="00F553EC"/>
    <w:rsid w:val="00F5562C"/>
    <w:rsid w:val="00F55670"/>
    <w:rsid w:val="00F55925"/>
    <w:rsid w:val="00F559EB"/>
    <w:rsid w:val="00F55EA6"/>
    <w:rsid w:val="00F55FA2"/>
    <w:rsid w:val="00F55FAF"/>
    <w:rsid w:val="00F56015"/>
    <w:rsid w:val="00F56062"/>
    <w:rsid w:val="00F56287"/>
    <w:rsid w:val="00F563DC"/>
    <w:rsid w:val="00F56400"/>
    <w:rsid w:val="00F56860"/>
    <w:rsid w:val="00F56D94"/>
    <w:rsid w:val="00F573E2"/>
    <w:rsid w:val="00F57766"/>
    <w:rsid w:val="00F57879"/>
    <w:rsid w:val="00F579E3"/>
    <w:rsid w:val="00F57A58"/>
    <w:rsid w:val="00F57ABA"/>
    <w:rsid w:val="00F57C25"/>
    <w:rsid w:val="00F57D64"/>
    <w:rsid w:val="00F57F31"/>
    <w:rsid w:val="00F60074"/>
    <w:rsid w:val="00F6035F"/>
    <w:rsid w:val="00F6077D"/>
    <w:rsid w:val="00F608E1"/>
    <w:rsid w:val="00F60CEE"/>
    <w:rsid w:val="00F60D69"/>
    <w:rsid w:val="00F60E81"/>
    <w:rsid w:val="00F60F2E"/>
    <w:rsid w:val="00F6105F"/>
    <w:rsid w:val="00F61172"/>
    <w:rsid w:val="00F61445"/>
    <w:rsid w:val="00F616C2"/>
    <w:rsid w:val="00F61A0B"/>
    <w:rsid w:val="00F61C1A"/>
    <w:rsid w:val="00F61DE7"/>
    <w:rsid w:val="00F62120"/>
    <w:rsid w:val="00F622D2"/>
    <w:rsid w:val="00F623CA"/>
    <w:rsid w:val="00F6242C"/>
    <w:rsid w:val="00F62477"/>
    <w:rsid w:val="00F62533"/>
    <w:rsid w:val="00F627FC"/>
    <w:rsid w:val="00F62EF3"/>
    <w:rsid w:val="00F62F07"/>
    <w:rsid w:val="00F6303D"/>
    <w:rsid w:val="00F63229"/>
    <w:rsid w:val="00F6369C"/>
    <w:rsid w:val="00F637F2"/>
    <w:rsid w:val="00F63D27"/>
    <w:rsid w:val="00F64145"/>
    <w:rsid w:val="00F644C8"/>
    <w:rsid w:val="00F646A3"/>
    <w:rsid w:val="00F647B5"/>
    <w:rsid w:val="00F64899"/>
    <w:rsid w:val="00F64BCE"/>
    <w:rsid w:val="00F64CC8"/>
    <w:rsid w:val="00F64E5D"/>
    <w:rsid w:val="00F64F39"/>
    <w:rsid w:val="00F65116"/>
    <w:rsid w:val="00F651F0"/>
    <w:rsid w:val="00F65203"/>
    <w:rsid w:val="00F6522A"/>
    <w:rsid w:val="00F653CB"/>
    <w:rsid w:val="00F654A4"/>
    <w:rsid w:val="00F654BA"/>
    <w:rsid w:val="00F654CC"/>
    <w:rsid w:val="00F658E3"/>
    <w:rsid w:val="00F65969"/>
    <w:rsid w:val="00F65C7C"/>
    <w:rsid w:val="00F65C80"/>
    <w:rsid w:val="00F66097"/>
    <w:rsid w:val="00F66287"/>
    <w:rsid w:val="00F6628F"/>
    <w:rsid w:val="00F663C2"/>
    <w:rsid w:val="00F66634"/>
    <w:rsid w:val="00F6670D"/>
    <w:rsid w:val="00F66CA2"/>
    <w:rsid w:val="00F66E7B"/>
    <w:rsid w:val="00F6714A"/>
    <w:rsid w:val="00F671DD"/>
    <w:rsid w:val="00F675A2"/>
    <w:rsid w:val="00F675E6"/>
    <w:rsid w:val="00F67A14"/>
    <w:rsid w:val="00F67D5A"/>
    <w:rsid w:val="00F70438"/>
    <w:rsid w:val="00F707E8"/>
    <w:rsid w:val="00F7082F"/>
    <w:rsid w:val="00F708DA"/>
    <w:rsid w:val="00F7097C"/>
    <w:rsid w:val="00F70BC4"/>
    <w:rsid w:val="00F70C05"/>
    <w:rsid w:val="00F70ED7"/>
    <w:rsid w:val="00F71092"/>
    <w:rsid w:val="00F71304"/>
    <w:rsid w:val="00F717DE"/>
    <w:rsid w:val="00F71957"/>
    <w:rsid w:val="00F71AFF"/>
    <w:rsid w:val="00F72044"/>
    <w:rsid w:val="00F7214B"/>
    <w:rsid w:val="00F72333"/>
    <w:rsid w:val="00F72A04"/>
    <w:rsid w:val="00F72A17"/>
    <w:rsid w:val="00F72A3C"/>
    <w:rsid w:val="00F72D18"/>
    <w:rsid w:val="00F736B4"/>
    <w:rsid w:val="00F73BE0"/>
    <w:rsid w:val="00F73D5E"/>
    <w:rsid w:val="00F73FB0"/>
    <w:rsid w:val="00F74025"/>
    <w:rsid w:val="00F74044"/>
    <w:rsid w:val="00F74052"/>
    <w:rsid w:val="00F740AB"/>
    <w:rsid w:val="00F743C9"/>
    <w:rsid w:val="00F743EC"/>
    <w:rsid w:val="00F74768"/>
    <w:rsid w:val="00F74BF9"/>
    <w:rsid w:val="00F74DA1"/>
    <w:rsid w:val="00F75401"/>
    <w:rsid w:val="00F76011"/>
    <w:rsid w:val="00F763F6"/>
    <w:rsid w:val="00F7653B"/>
    <w:rsid w:val="00F76B88"/>
    <w:rsid w:val="00F76CF3"/>
    <w:rsid w:val="00F76E4A"/>
    <w:rsid w:val="00F76ED6"/>
    <w:rsid w:val="00F76F88"/>
    <w:rsid w:val="00F7714D"/>
    <w:rsid w:val="00F77599"/>
    <w:rsid w:val="00F7768B"/>
    <w:rsid w:val="00F776AD"/>
    <w:rsid w:val="00F77870"/>
    <w:rsid w:val="00F77D09"/>
    <w:rsid w:val="00F77E9E"/>
    <w:rsid w:val="00F80754"/>
    <w:rsid w:val="00F808E7"/>
    <w:rsid w:val="00F80C98"/>
    <w:rsid w:val="00F80FBF"/>
    <w:rsid w:val="00F81123"/>
    <w:rsid w:val="00F81395"/>
    <w:rsid w:val="00F813D3"/>
    <w:rsid w:val="00F81471"/>
    <w:rsid w:val="00F816EF"/>
    <w:rsid w:val="00F8176E"/>
    <w:rsid w:val="00F81819"/>
    <w:rsid w:val="00F81840"/>
    <w:rsid w:val="00F8199D"/>
    <w:rsid w:val="00F81AAD"/>
    <w:rsid w:val="00F81CA2"/>
    <w:rsid w:val="00F81E11"/>
    <w:rsid w:val="00F820DF"/>
    <w:rsid w:val="00F8231D"/>
    <w:rsid w:val="00F82367"/>
    <w:rsid w:val="00F82655"/>
    <w:rsid w:val="00F8275C"/>
    <w:rsid w:val="00F827DA"/>
    <w:rsid w:val="00F828CC"/>
    <w:rsid w:val="00F82CED"/>
    <w:rsid w:val="00F830CF"/>
    <w:rsid w:val="00F83367"/>
    <w:rsid w:val="00F836ED"/>
    <w:rsid w:val="00F8379D"/>
    <w:rsid w:val="00F83983"/>
    <w:rsid w:val="00F83A6D"/>
    <w:rsid w:val="00F83B04"/>
    <w:rsid w:val="00F83E9D"/>
    <w:rsid w:val="00F83F56"/>
    <w:rsid w:val="00F840DD"/>
    <w:rsid w:val="00F841E9"/>
    <w:rsid w:val="00F8421F"/>
    <w:rsid w:val="00F843FA"/>
    <w:rsid w:val="00F8444E"/>
    <w:rsid w:val="00F845C4"/>
    <w:rsid w:val="00F849CF"/>
    <w:rsid w:val="00F84A12"/>
    <w:rsid w:val="00F84EA8"/>
    <w:rsid w:val="00F85098"/>
    <w:rsid w:val="00F854D2"/>
    <w:rsid w:val="00F855E8"/>
    <w:rsid w:val="00F85687"/>
    <w:rsid w:val="00F85B77"/>
    <w:rsid w:val="00F85C32"/>
    <w:rsid w:val="00F85E83"/>
    <w:rsid w:val="00F85F10"/>
    <w:rsid w:val="00F85F7D"/>
    <w:rsid w:val="00F8608B"/>
    <w:rsid w:val="00F860E5"/>
    <w:rsid w:val="00F861C0"/>
    <w:rsid w:val="00F86226"/>
    <w:rsid w:val="00F86519"/>
    <w:rsid w:val="00F86AAD"/>
    <w:rsid w:val="00F86E80"/>
    <w:rsid w:val="00F87286"/>
    <w:rsid w:val="00F874F3"/>
    <w:rsid w:val="00F875D4"/>
    <w:rsid w:val="00F8761F"/>
    <w:rsid w:val="00F8774F"/>
    <w:rsid w:val="00F87CC7"/>
    <w:rsid w:val="00F87EB7"/>
    <w:rsid w:val="00F900CE"/>
    <w:rsid w:val="00F905AB"/>
    <w:rsid w:val="00F90673"/>
    <w:rsid w:val="00F9068C"/>
    <w:rsid w:val="00F906B0"/>
    <w:rsid w:val="00F908BB"/>
    <w:rsid w:val="00F90A3D"/>
    <w:rsid w:val="00F90ADD"/>
    <w:rsid w:val="00F90C47"/>
    <w:rsid w:val="00F90CAB"/>
    <w:rsid w:val="00F90CDF"/>
    <w:rsid w:val="00F90DC5"/>
    <w:rsid w:val="00F90F65"/>
    <w:rsid w:val="00F913C4"/>
    <w:rsid w:val="00F914A2"/>
    <w:rsid w:val="00F91ABF"/>
    <w:rsid w:val="00F92113"/>
    <w:rsid w:val="00F92302"/>
    <w:rsid w:val="00F92626"/>
    <w:rsid w:val="00F9273B"/>
    <w:rsid w:val="00F928C6"/>
    <w:rsid w:val="00F92A2A"/>
    <w:rsid w:val="00F92A69"/>
    <w:rsid w:val="00F92F3B"/>
    <w:rsid w:val="00F9357A"/>
    <w:rsid w:val="00F93917"/>
    <w:rsid w:val="00F93971"/>
    <w:rsid w:val="00F93DB1"/>
    <w:rsid w:val="00F93DCD"/>
    <w:rsid w:val="00F93E52"/>
    <w:rsid w:val="00F94089"/>
    <w:rsid w:val="00F941A8"/>
    <w:rsid w:val="00F9456A"/>
    <w:rsid w:val="00F94837"/>
    <w:rsid w:val="00F9491A"/>
    <w:rsid w:val="00F949E1"/>
    <w:rsid w:val="00F94A50"/>
    <w:rsid w:val="00F94AB2"/>
    <w:rsid w:val="00F94EC4"/>
    <w:rsid w:val="00F94F94"/>
    <w:rsid w:val="00F951AA"/>
    <w:rsid w:val="00F96188"/>
    <w:rsid w:val="00F96781"/>
    <w:rsid w:val="00F96788"/>
    <w:rsid w:val="00F9680B"/>
    <w:rsid w:val="00F969A9"/>
    <w:rsid w:val="00F96C26"/>
    <w:rsid w:val="00F96FF7"/>
    <w:rsid w:val="00F97434"/>
    <w:rsid w:val="00F9760F"/>
    <w:rsid w:val="00F97ACD"/>
    <w:rsid w:val="00F97D1E"/>
    <w:rsid w:val="00F97DC6"/>
    <w:rsid w:val="00FA071D"/>
    <w:rsid w:val="00FA09E2"/>
    <w:rsid w:val="00FA0C8D"/>
    <w:rsid w:val="00FA0D81"/>
    <w:rsid w:val="00FA0E34"/>
    <w:rsid w:val="00FA1106"/>
    <w:rsid w:val="00FA11D5"/>
    <w:rsid w:val="00FA11E7"/>
    <w:rsid w:val="00FA12B4"/>
    <w:rsid w:val="00FA1593"/>
    <w:rsid w:val="00FA17AE"/>
    <w:rsid w:val="00FA19AE"/>
    <w:rsid w:val="00FA1CE7"/>
    <w:rsid w:val="00FA1D0C"/>
    <w:rsid w:val="00FA212E"/>
    <w:rsid w:val="00FA297A"/>
    <w:rsid w:val="00FA29C1"/>
    <w:rsid w:val="00FA29DC"/>
    <w:rsid w:val="00FA2D61"/>
    <w:rsid w:val="00FA3126"/>
    <w:rsid w:val="00FA31B6"/>
    <w:rsid w:val="00FA32B6"/>
    <w:rsid w:val="00FA3457"/>
    <w:rsid w:val="00FA357D"/>
    <w:rsid w:val="00FA3881"/>
    <w:rsid w:val="00FA39E9"/>
    <w:rsid w:val="00FA3DFD"/>
    <w:rsid w:val="00FA4074"/>
    <w:rsid w:val="00FA41AC"/>
    <w:rsid w:val="00FA4398"/>
    <w:rsid w:val="00FA473F"/>
    <w:rsid w:val="00FA4839"/>
    <w:rsid w:val="00FA4B9D"/>
    <w:rsid w:val="00FA5018"/>
    <w:rsid w:val="00FA50A8"/>
    <w:rsid w:val="00FA5171"/>
    <w:rsid w:val="00FA5184"/>
    <w:rsid w:val="00FA518E"/>
    <w:rsid w:val="00FA51EE"/>
    <w:rsid w:val="00FA536E"/>
    <w:rsid w:val="00FA5EE9"/>
    <w:rsid w:val="00FA5F25"/>
    <w:rsid w:val="00FA5FBF"/>
    <w:rsid w:val="00FA6197"/>
    <w:rsid w:val="00FA65D5"/>
    <w:rsid w:val="00FA6604"/>
    <w:rsid w:val="00FA6665"/>
    <w:rsid w:val="00FA6669"/>
    <w:rsid w:val="00FA67EC"/>
    <w:rsid w:val="00FA6905"/>
    <w:rsid w:val="00FA6D53"/>
    <w:rsid w:val="00FA6FE6"/>
    <w:rsid w:val="00FA7295"/>
    <w:rsid w:val="00FA72CB"/>
    <w:rsid w:val="00FA745C"/>
    <w:rsid w:val="00FA7529"/>
    <w:rsid w:val="00FA7799"/>
    <w:rsid w:val="00FA79EF"/>
    <w:rsid w:val="00FA7A66"/>
    <w:rsid w:val="00FA7BC9"/>
    <w:rsid w:val="00FA7F08"/>
    <w:rsid w:val="00FB058C"/>
    <w:rsid w:val="00FB06F0"/>
    <w:rsid w:val="00FB0728"/>
    <w:rsid w:val="00FB083D"/>
    <w:rsid w:val="00FB09B4"/>
    <w:rsid w:val="00FB0A40"/>
    <w:rsid w:val="00FB0AA2"/>
    <w:rsid w:val="00FB0DC0"/>
    <w:rsid w:val="00FB0F63"/>
    <w:rsid w:val="00FB0F6F"/>
    <w:rsid w:val="00FB1647"/>
    <w:rsid w:val="00FB178E"/>
    <w:rsid w:val="00FB19E7"/>
    <w:rsid w:val="00FB1C42"/>
    <w:rsid w:val="00FB1D4D"/>
    <w:rsid w:val="00FB1D70"/>
    <w:rsid w:val="00FB1D71"/>
    <w:rsid w:val="00FB1DDA"/>
    <w:rsid w:val="00FB21E4"/>
    <w:rsid w:val="00FB228E"/>
    <w:rsid w:val="00FB236F"/>
    <w:rsid w:val="00FB24EE"/>
    <w:rsid w:val="00FB2769"/>
    <w:rsid w:val="00FB2A22"/>
    <w:rsid w:val="00FB2A50"/>
    <w:rsid w:val="00FB2A51"/>
    <w:rsid w:val="00FB2AA0"/>
    <w:rsid w:val="00FB2B3E"/>
    <w:rsid w:val="00FB2E0D"/>
    <w:rsid w:val="00FB30A3"/>
    <w:rsid w:val="00FB31AD"/>
    <w:rsid w:val="00FB31DC"/>
    <w:rsid w:val="00FB326E"/>
    <w:rsid w:val="00FB390E"/>
    <w:rsid w:val="00FB3C1D"/>
    <w:rsid w:val="00FB3C3A"/>
    <w:rsid w:val="00FB3C76"/>
    <w:rsid w:val="00FB3E44"/>
    <w:rsid w:val="00FB3E79"/>
    <w:rsid w:val="00FB4108"/>
    <w:rsid w:val="00FB4281"/>
    <w:rsid w:val="00FB4290"/>
    <w:rsid w:val="00FB4562"/>
    <w:rsid w:val="00FB4661"/>
    <w:rsid w:val="00FB4D64"/>
    <w:rsid w:val="00FB4E6D"/>
    <w:rsid w:val="00FB4F98"/>
    <w:rsid w:val="00FB4FEF"/>
    <w:rsid w:val="00FB5134"/>
    <w:rsid w:val="00FB514D"/>
    <w:rsid w:val="00FB539C"/>
    <w:rsid w:val="00FB5D2B"/>
    <w:rsid w:val="00FB6007"/>
    <w:rsid w:val="00FB602E"/>
    <w:rsid w:val="00FB60B5"/>
    <w:rsid w:val="00FB6702"/>
    <w:rsid w:val="00FB683C"/>
    <w:rsid w:val="00FB68E6"/>
    <w:rsid w:val="00FB69E1"/>
    <w:rsid w:val="00FB6C1D"/>
    <w:rsid w:val="00FB6DF7"/>
    <w:rsid w:val="00FB6F36"/>
    <w:rsid w:val="00FB702A"/>
    <w:rsid w:val="00FB726B"/>
    <w:rsid w:val="00FB73D3"/>
    <w:rsid w:val="00FB7986"/>
    <w:rsid w:val="00FB7A1E"/>
    <w:rsid w:val="00FC014F"/>
    <w:rsid w:val="00FC02D5"/>
    <w:rsid w:val="00FC02F7"/>
    <w:rsid w:val="00FC07F9"/>
    <w:rsid w:val="00FC0B7E"/>
    <w:rsid w:val="00FC0DA2"/>
    <w:rsid w:val="00FC167C"/>
    <w:rsid w:val="00FC1A90"/>
    <w:rsid w:val="00FC1E2F"/>
    <w:rsid w:val="00FC1F1D"/>
    <w:rsid w:val="00FC1F3E"/>
    <w:rsid w:val="00FC2140"/>
    <w:rsid w:val="00FC2307"/>
    <w:rsid w:val="00FC2350"/>
    <w:rsid w:val="00FC2520"/>
    <w:rsid w:val="00FC30E5"/>
    <w:rsid w:val="00FC32AF"/>
    <w:rsid w:val="00FC33D5"/>
    <w:rsid w:val="00FC352A"/>
    <w:rsid w:val="00FC39FD"/>
    <w:rsid w:val="00FC3A81"/>
    <w:rsid w:val="00FC3B7B"/>
    <w:rsid w:val="00FC3BCC"/>
    <w:rsid w:val="00FC3C6C"/>
    <w:rsid w:val="00FC3CD0"/>
    <w:rsid w:val="00FC3E01"/>
    <w:rsid w:val="00FC4089"/>
    <w:rsid w:val="00FC4115"/>
    <w:rsid w:val="00FC41D9"/>
    <w:rsid w:val="00FC430A"/>
    <w:rsid w:val="00FC4316"/>
    <w:rsid w:val="00FC452C"/>
    <w:rsid w:val="00FC45F8"/>
    <w:rsid w:val="00FC460B"/>
    <w:rsid w:val="00FC4A23"/>
    <w:rsid w:val="00FC4F19"/>
    <w:rsid w:val="00FC508D"/>
    <w:rsid w:val="00FC5318"/>
    <w:rsid w:val="00FC5378"/>
    <w:rsid w:val="00FC544E"/>
    <w:rsid w:val="00FC55BC"/>
    <w:rsid w:val="00FC6036"/>
    <w:rsid w:val="00FC63BE"/>
    <w:rsid w:val="00FC64C9"/>
    <w:rsid w:val="00FC6524"/>
    <w:rsid w:val="00FC72F9"/>
    <w:rsid w:val="00FC782A"/>
    <w:rsid w:val="00FC79F5"/>
    <w:rsid w:val="00FC7B1A"/>
    <w:rsid w:val="00FC7CBF"/>
    <w:rsid w:val="00FC7CC0"/>
    <w:rsid w:val="00FD0089"/>
    <w:rsid w:val="00FD0218"/>
    <w:rsid w:val="00FD0326"/>
    <w:rsid w:val="00FD0800"/>
    <w:rsid w:val="00FD0A75"/>
    <w:rsid w:val="00FD0B2B"/>
    <w:rsid w:val="00FD0EFB"/>
    <w:rsid w:val="00FD1018"/>
    <w:rsid w:val="00FD132B"/>
    <w:rsid w:val="00FD135B"/>
    <w:rsid w:val="00FD15C6"/>
    <w:rsid w:val="00FD16B6"/>
    <w:rsid w:val="00FD1714"/>
    <w:rsid w:val="00FD1784"/>
    <w:rsid w:val="00FD1A19"/>
    <w:rsid w:val="00FD1ED0"/>
    <w:rsid w:val="00FD2199"/>
    <w:rsid w:val="00FD2502"/>
    <w:rsid w:val="00FD2B76"/>
    <w:rsid w:val="00FD2FE0"/>
    <w:rsid w:val="00FD3054"/>
    <w:rsid w:val="00FD37BA"/>
    <w:rsid w:val="00FD3B8E"/>
    <w:rsid w:val="00FD3C71"/>
    <w:rsid w:val="00FD3D1D"/>
    <w:rsid w:val="00FD3F21"/>
    <w:rsid w:val="00FD441B"/>
    <w:rsid w:val="00FD44BA"/>
    <w:rsid w:val="00FD49ED"/>
    <w:rsid w:val="00FD4ACD"/>
    <w:rsid w:val="00FD4EA7"/>
    <w:rsid w:val="00FD4F05"/>
    <w:rsid w:val="00FD4FA8"/>
    <w:rsid w:val="00FD5075"/>
    <w:rsid w:val="00FD51FF"/>
    <w:rsid w:val="00FD5643"/>
    <w:rsid w:val="00FD564D"/>
    <w:rsid w:val="00FD5C0C"/>
    <w:rsid w:val="00FD5D0F"/>
    <w:rsid w:val="00FD5D5F"/>
    <w:rsid w:val="00FD5D6D"/>
    <w:rsid w:val="00FD601C"/>
    <w:rsid w:val="00FD666E"/>
    <w:rsid w:val="00FD6903"/>
    <w:rsid w:val="00FD6A28"/>
    <w:rsid w:val="00FD6AA3"/>
    <w:rsid w:val="00FD6B83"/>
    <w:rsid w:val="00FD6CFD"/>
    <w:rsid w:val="00FD6FCD"/>
    <w:rsid w:val="00FD715F"/>
    <w:rsid w:val="00FD728F"/>
    <w:rsid w:val="00FD72D7"/>
    <w:rsid w:val="00FD73ED"/>
    <w:rsid w:val="00FD76E4"/>
    <w:rsid w:val="00FD7D9A"/>
    <w:rsid w:val="00FE0254"/>
    <w:rsid w:val="00FE033A"/>
    <w:rsid w:val="00FE03F3"/>
    <w:rsid w:val="00FE0781"/>
    <w:rsid w:val="00FE0D29"/>
    <w:rsid w:val="00FE0EDE"/>
    <w:rsid w:val="00FE0F3D"/>
    <w:rsid w:val="00FE0FBD"/>
    <w:rsid w:val="00FE116F"/>
    <w:rsid w:val="00FE12D4"/>
    <w:rsid w:val="00FE12E1"/>
    <w:rsid w:val="00FE13E0"/>
    <w:rsid w:val="00FE1563"/>
    <w:rsid w:val="00FE1CF1"/>
    <w:rsid w:val="00FE1D81"/>
    <w:rsid w:val="00FE1DB4"/>
    <w:rsid w:val="00FE1F7C"/>
    <w:rsid w:val="00FE241B"/>
    <w:rsid w:val="00FE25C3"/>
    <w:rsid w:val="00FE26C8"/>
    <w:rsid w:val="00FE2791"/>
    <w:rsid w:val="00FE27FC"/>
    <w:rsid w:val="00FE29B8"/>
    <w:rsid w:val="00FE2BA4"/>
    <w:rsid w:val="00FE2DBC"/>
    <w:rsid w:val="00FE3082"/>
    <w:rsid w:val="00FE3302"/>
    <w:rsid w:val="00FE36E6"/>
    <w:rsid w:val="00FE3975"/>
    <w:rsid w:val="00FE3A35"/>
    <w:rsid w:val="00FE3C0A"/>
    <w:rsid w:val="00FE3D11"/>
    <w:rsid w:val="00FE3F1B"/>
    <w:rsid w:val="00FE40C4"/>
    <w:rsid w:val="00FE410B"/>
    <w:rsid w:val="00FE43B0"/>
    <w:rsid w:val="00FE4602"/>
    <w:rsid w:val="00FE4621"/>
    <w:rsid w:val="00FE46E3"/>
    <w:rsid w:val="00FE4931"/>
    <w:rsid w:val="00FE499E"/>
    <w:rsid w:val="00FE4E80"/>
    <w:rsid w:val="00FE52E6"/>
    <w:rsid w:val="00FE54A4"/>
    <w:rsid w:val="00FE54FE"/>
    <w:rsid w:val="00FE57AB"/>
    <w:rsid w:val="00FE5C41"/>
    <w:rsid w:val="00FE5CD9"/>
    <w:rsid w:val="00FE6227"/>
    <w:rsid w:val="00FE67BC"/>
    <w:rsid w:val="00FE6905"/>
    <w:rsid w:val="00FE6B2B"/>
    <w:rsid w:val="00FE6B3B"/>
    <w:rsid w:val="00FE6B3C"/>
    <w:rsid w:val="00FE6E83"/>
    <w:rsid w:val="00FE6F20"/>
    <w:rsid w:val="00FE721A"/>
    <w:rsid w:val="00FE7301"/>
    <w:rsid w:val="00FE774D"/>
    <w:rsid w:val="00FE7AB1"/>
    <w:rsid w:val="00FE7B52"/>
    <w:rsid w:val="00FE7BEF"/>
    <w:rsid w:val="00FE7CB3"/>
    <w:rsid w:val="00FE7FE2"/>
    <w:rsid w:val="00FF0074"/>
    <w:rsid w:val="00FF058C"/>
    <w:rsid w:val="00FF058E"/>
    <w:rsid w:val="00FF081D"/>
    <w:rsid w:val="00FF08E0"/>
    <w:rsid w:val="00FF0AE3"/>
    <w:rsid w:val="00FF0B0B"/>
    <w:rsid w:val="00FF0DAC"/>
    <w:rsid w:val="00FF0E7B"/>
    <w:rsid w:val="00FF0F36"/>
    <w:rsid w:val="00FF0FF7"/>
    <w:rsid w:val="00FF12C7"/>
    <w:rsid w:val="00FF1316"/>
    <w:rsid w:val="00FF1599"/>
    <w:rsid w:val="00FF168A"/>
    <w:rsid w:val="00FF19F6"/>
    <w:rsid w:val="00FF1A2A"/>
    <w:rsid w:val="00FF1AB1"/>
    <w:rsid w:val="00FF1B99"/>
    <w:rsid w:val="00FF1D2E"/>
    <w:rsid w:val="00FF1E99"/>
    <w:rsid w:val="00FF2217"/>
    <w:rsid w:val="00FF27C4"/>
    <w:rsid w:val="00FF27C5"/>
    <w:rsid w:val="00FF2A15"/>
    <w:rsid w:val="00FF2BC6"/>
    <w:rsid w:val="00FF2BF0"/>
    <w:rsid w:val="00FF2F24"/>
    <w:rsid w:val="00FF2F29"/>
    <w:rsid w:val="00FF30E6"/>
    <w:rsid w:val="00FF3145"/>
    <w:rsid w:val="00FF3333"/>
    <w:rsid w:val="00FF33FF"/>
    <w:rsid w:val="00FF3814"/>
    <w:rsid w:val="00FF4036"/>
    <w:rsid w:val="00FF4077"/>
    <w:rsid w:val="00FF465F"/>
    <w:rsid w:val="00FF493B"/>
    <w:rsid w:val="00FF4B63"/>
    <w:rsid w:val="00FF4D02"/>
    <w:rsid w:val="00FF5905"/>
    <w:rsid w:val="00FF6061"/>
    <w:rsid w:val="00FF6364"/>
    <w:rsid w:val="00FF66DE"/>
    <w:rsid w:val="00FF69FA"/>
    <w:rsid w:val="00FF74A7"/>
    <w:rsid w:val="00FF79A1"/>
    <w:rsid w:val="00FF7CBB"/>
    <w:rsid w:val="00FF7CCB"/>
    <w:rsid w:val="00FF7D09"/>
    <w:rsid w:val="06085845"/>
    <w:rsid w:val="07316365"/>
    <w:rsid w:val="0747322A"/>
    <w:rsid w:val="07793A60"/>
    <w:rsid w:val="12FC66FF"/>
    <w:rsid w:val="13793A98"/>
    <w:rsid w:val="25211A9E"/>
    <w:rsid w:val="2715639F"/>
    <w:rsid w:val="3DDB30AE"/>
    <w:rsid w:val="46B20EE7"/>
    <w:rsid w:val="49CF0907"/>
    <w:rsid w:val="5DF16427"/>
    <w:rsid w:val="62636C0F"/>
    <w:rsid w:val="76AF62C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qFormat="1" w:unhideWhenUsed="0" w:uiPriority="0" w:semiHidden="0" w:name="line number"/>
    <w:lsdException w:qFormat="1" w:unhideWhenUsed="0" w:uiPriority="99" w:semiHidden="0" w:name="page number"/>
    <w:lsdException w:qFormat="1" w:unhideWhenUsed="0" w:uiPriority="0" w:semiHidden="0" w:name="endnote reference"/>
    <w:lsdException w:uiPriority="99" w:name="endnote text"/>
    <w:lsdException w:uiPriority="99" w:name="table of authorities"/>
    <w:lsdException w:qFormat="1" w:unhideWhenUsed="0" w:uiPriority="0"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qFormat="1" w:unhideWhenUsed="0" w:uiPriority="99"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qFormat="1" w:uiPriority="99"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68"/>
    <w:qFormat/>
    <w:uiPriority w:val="9"/>
    <w:pPr>
      <w:keepNext/>
      <w:keepLines/>
      <w:numPr>
        <w:ilvl w:val="0"/>
        <w:numId w:val="1"/>
      </w:numPr>
      <w:spacing w:before="156" w:beforeLines="50" w:after="156" w:afterLines="50" w:line="360" w:lineRule="auto"/>
      <w:jc w:val="left"/>
      <w:outlineLvl w:val="0"/>
    </w:pPr>
    <w:rPr>
      <w:rFonts w:ascii="楷体" w:hAnsi="楷体" w:eastAsia="楷体"/>
      <w:b/>
      <w:kern w:val="44"/>
      <w:sz w:val="44"/>
      <w:szCs w:val="44"/>
      <w:lang w:val="zh-CN"/>
    </w:rPr>
  </w:style>
  <w:style w:type="paragraph" w:styleId="4">
    <w:name w:val="heading 2"/>
    <w:basedOn w:val="3"/>
    <w:next w:val="5"/>
    <w:link w:val="70"/>
    <w:qFormat/>
    <w:uiPriority w:val="9"/>
    <w:pPr>
      <w:numPr>
        <w:ilvl w:val="1"/>
      </w:numPr>
      <w:outlineLvl w:val="1"/>
    </w:pPr>
    <w:rPr>
      <w:rFonts w:eastAsia="Times New Roman"/>
      <w:sz w:val="36"/>
      <w:szCs w:val="36"/>
    </w:rPr>
  </w:style>
  <w:style w:type="paragraph" w:styleId="6">
    <w:name w:val="heading 3"/>
    <w:basedOn w:val="4"/>
    <w:next w:val="1"/>
    <w:link w:val="71"/>
    <w:qFormat/>
    <w:uiPriority w:val="9"/>
    <w:pPr>
      <w:numPr>
        <w:ilvl w:val="2"/>
      </w:numPr>
      <w:jc w:val="both"/>
      <w:outlineLvl w:val="2"/>
    </w:pPr>
    <w:rPr>
      <w:rFonts w:ascii="Times New Roman" w:hAnsi="Times New Roman" w:eastAsia="华文楷体"/>
      <w:kern w:val="0"/>
      <w:sz w:val="32"/>
      <w:szCs w:val="32"/>
    </w:rPr>
  </w:style>
  <w:style w:type="paragraph" w:styleId="7">
    <w:name w:val="heading 4"/>
    <w:basedOn w:val="6"/>
    <w:next w:val="5"/>
    <w:link w:val="72"/>
    <w:qFormat/>
    <w:uiPriority w:val="9"/>
    <w:pPr>
      <w:widowControl/>
      <w:numPr>
        <w:ilvl w:val="3"/>
      </w:numPr>
      <w:adjustRightInd w:val="0"/>
      <w:snapToGrid w:val="0"/>
      <w:spacing w:after="0" w:afterLines="0"/>
      <w:outlineLvl w:val="3"/>
    </w:pPr>
    <w:rPr>
      <w:rFonts w:eastAsia="宋体"/>
      <w:sz w:val="28"/>
      <w:szCs w:val="28"/>
    </w:rPr>
  </w:style>
  <w:style w:type="paragraph" w:styleId="8">
    <w:name w:val="heading 5"/>
    <w:basedOn w:val="1"/>
    <w:next w:val="1"/>
    <w:link w:val="73"/>
    <w:qFormat/>
    <w:uiPriority w:val="9"/>
    <w:pPr>
      <w:keepNext/>
      <w:keepLines/>
      <w:widowControl/>
      <w:tabs>
        <w:tab w:val="left" w:pos="1008"/>
      </w:tabs>
      <w:spacing w:line="360" w:lineRule="auto"/>
      <w:jc w:val="left"/>
      <w:outlineLvl w:val="4"/>
    </w:pPr>
    <w:rPr>
      <w:b/>
      <w:bCs/>
      <w:sz w:val="24"/>
      <w:szCs w:val="24"/>
      <w:lang w:val="zh-CN"/>
    </w:rPr>
  </w:style>
  <w:style w:type="paragraph" w:styleId="9">
    <w:name w:val="heading 6"/>
    <w:basedOn w:val="1"/>
    <w:next w:val="1"/>
    <w:link w:val="74"/>
    <w:qFormat/>
    <w:uiPriority w:val="9"/>
    <w:pPr>
      <w:keepNext/>
      <w:keepLines/>
      <w:widowControl/>
      <w:tabs>
        <w:tab w:val="left" w:pos="1152"/>
      </w:tabs>
      <w:spacing w:before="240" w:after="64" w:line="317" w:lineRule="auto"/>
      <w:ind w:left="1134" w:hanging="1134"/>
      <w:jc w:val="left"/>
      <w:outlineLvl w:val="5"/>
    </w:pPr>
    <w:rPr>
      <w:rFonts w:ascii="Arial" w:hAnsi="Arial" w:eastAsia="黑体"/>
      <w:b/>
      <w:bCs/>
      <w:sz w:val="24"/>
      <w:szCs w:val="24"/>
      <w:lang w:val="zh-CN"/>
    </w:rPr>
  </w:style>
  <w:style w:type="paragraph" w:styleId="10">
    <w:name w:val="heading 7"/>
    <w:basedOn w:val="1"/>
    <w:next w:val="1"/>
    <w:link w:val="75"/>
    <w:qFormat/>
    <w:uiPriority w:val="9"/>
    <w:pPr>
      <w:keepNext/>
      <w:keepLines/>
      <w:widowControl/>
      <w:tabs>
        <w:tab w:val="left" w:pos="1296"/>
      </w:tabs>
      <w:spacing w:before="240" w:after="64" w:line="317" w:lineRule="auto"/>
      <w:ind w:left="1276" w:hanging="1276"/>
      <w:jc w:val="left"/>
      <w:outlineLvl w:val="6"/>
    </w:pPr>
    <w:rPr>
      <w:b/>
      <w:bCs/>
      <w:sz w:val="24"/>
      <w:szCs w:val="24"/>
      <w:lang w:val="zh-CN"/>
    </w:rPr>
  </w:style>
  <w:style w:type="paragraph" w:styleId="11">
    <w:name w:val="heading 8"/>
    <w:basedOn w:val="1"/>
    <w:next w:val="1"/>
    <w:link w:val="76"/>
    <w:qFormat/>
    <w:uiPriority w:val="9"/>
    <w:pPr>
      <w:keepNext/>
      <w:keepLines/>
      <w:widowControl/>
      <w:tabs>
        <w:tab w:val="left" w:pos="1440"/>
      </w:tabs>
      <w:spacing w:before="240" w:after="64" w:line="317" w:lineRule="auto"/>
      <w:ind w:left="1418" w:hanging="1418"/>
      <w:jc w:val="left"/>
      <w:outlineLvl w:val="7"/>
    </w:pPr>
    <w:rPr>
      <w:rFonts w:ascii="Arial" w:hAnsi="Arial" w:eastAsia="黑体"/>
      <w:sz w:val="24"/>
      <w:szCs w:val="24"/>
      <w:lang w:val="zh-CN"/>
    </w:rPr>
  </w:style>
  <w:style w:type="paragraph" w:styleId="12">
    <w:name w:val="heading 9"/>
    <w:basedOn w:val="1"/>
    <w:next w:val="1"/>
    <w:link w:val="77"/>
    <w:qFormat/>
    <w:uiPriority w:val="9"/>
    <w:pPr>
      <w:keepNext/>
      <w:keepLines/>
      <w:widowControl/>
      <w:tabs>
        <w:tab w:val="left" w:pos="1584"/>
      </w:tabs>
      <w:spacing w:before="240" w:after="64" w:line="317" w:lineRule="auto"/>
      <w:ind w:left="1559" w:hanging="1559"/>
      <w:jc w:val="left"/>
      <w:outlineLvl w:val="8"/>
    </w:pPr>
    <w:rPr>
      <w:rFonts w:ascii="Arial" w:hAnsi="Arial" w:eastAsia="黑体"/>
      <w:sz w:val="24"/>
      <w:szCs w:val="21"/>
      <w:lang w:val="zh-CN"/>
    </w:rPr>
  </w:style>
  <w:style w:type="character" w:default="1" w:styleId="59">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styleId="2">
    <w:name w:val="macro"/>
    <w:link w:val="78"/>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4"/>
      <w:lang w:val="en-US" w:eastAsia="zh-CN" w:bidi="ar-SA"/>
    </w:rPr>
  </w:style>
  <w:style w:type="paragraph" w:styleId="5">
    <w:name w:val="Normal Indent"/>
    <w:basedOn w:val="1"/>
    <w:link w:val="69"/>
    <w:qFormat/>
    <w:uiPriority w:val="0"/>
    <w:pPr>
      <w:ind w:firstLine="420"/>
    </w:pPr>
    <w:rPr>
      <w:szCs w:val="20"/>
      <w:lang w:val="zh-CN"/>
    </w:rPr>
  </w:style>
  <w:style w:type="paragraph" w:styleId="13">
    <w:name w:val="List 3"/>
    <w:basedOn w:val="1"/>
    <w:qFormat/>
    <w:uiPriority w:val="0"/>
    <w:pPr>
      <w:ind w:left="100" w:leftChars="400" w:hanging="200" w:hangingChars="200"/>
    </w:pPr>
    <w:rPr>
      <w:kern w:val="3"/>
      <w:szCs w:val="20"/>
    </w:rPr>
  </w:style>
  <w:style w:type="paragraph" w:styleId="14">
    <w:name w:val="toc 7"/>
    <w:basedOn w:val="1"/>
    <w:next w:val="1"/>
    <w:unhideWhenUsed/>
    <w:qFormat/>
    <w:uiPriority w:val="39"/>
    <w:pPr>
      <w:ind w:left="1260"/>
      <w:jc w:val="left"/>
    </w:pPr>
    <w:rPr>
      <w:rFonts w:asciiTheme="minorHAnsi" w:eastAsiaTheme="minorHAnsi"/>
      <w:sz w:val="18"/>
      <w:szCs w:val="18"/>
    </w:rPr>
  </w:style>
  <w:style w:type="paragraph" w:styleId="15">
    <w:name w:val="Note Heading"/>
    <w:basedOn w:val="1"/>
    <w:next w:val="1"/>
    <w:link w:val="79"/>
    <w:qFormat/>
    <w:uiPriority w:val="0"/>
    <w:pPr>
      <w:jc w:val="center"/>
    </w:pPr>
    <w:rPr>
      <w:szCs w:val="24"/>
      <w:lang w:val="zh-CN"/>
    </w:rPr>
  </w:style>
  <w:style w:type="paragraph" w:styleId="16">
    <w:name w:val="caption"/>
    <w:basedOn w:val="1"/>
    <w:next w:val="1"/>
    <w:link w:val="80"/>
    <w:qFormat/>
    <w:uiPriority w:val="0"/>
    <w:pPr>
      <w:widowControl/>
      <w:jc w:val="left"/>
    </w:pPr>
    <w:rPr>
      <w:rFonts w:ascii="Arial" w:hAnsi="Arial" w:eastAsia="黑体"/>
      <w:sz w:val="18"/>
      <w:szCs w:val="24"/>
      <w:lang w:val="zh-CN"/>
    </w:rPr>
  </w:style>
  <w:style w:type="paragraph" w:styleId="17">
    <w:name w:val="Document Map"/>
    <w:basedOn w:val="1"/>
    <w:link w:val="81"/>
    <w:unhideWhenUsed/>
    <w:qFormat/>
    <w:uiPriority w:val="0"/>
    <w:rPr>
      <w:rFonts w:ascii="宋体"/>
      <w:sz w:val="18"/>
      <w:szCs w:val="18"/>
    </w:rPr>
  </w:style>
  <w:style w:type="paragraph" w:styleId="18">
    <w:name w:val="toa heading"/>
    <w:basedOn w:val="1"/>
    <w:next w:val="1"/>
    <w:qFormat/>
    <w:uiPriority w:val="0"/>
    <w:pPr>
      <w:adjustRightInd w:val="0"/>
      <w:spacing w:before="120" w:line="312" w:lineRule="auto"/>
      <w:textAlignment w:val="baseline"/>
    </w:pPr>
    <w:rPr>
      <w:rFonts w:ascii="Arial" w:hAnsi="Arial" w:cs="Arial"/>
      <w:sz w:val="24"/>
      <w:szCs w:val="24"/>
      <w:u w:color="FFFFFF"/>
    </w:rPr>
  </w:style>
  <w:style w:type="paragraph" w:styleId="19">
    <w:name w:val="annotation text"/>
    <w:basedOn w:val="1"/>
    <w:link w:val="82"/>
    <w:qFormat/>
    <w:uiPriority w:val="99"/>
    <w:pPr>
      <w:spacing w:line="480" w:lineRule="exact"/>
      <w:jc w:val="left"/>
    </w:pPr>
    <w:rPr>
      <w:sz w:val="24"/>
    </w:rPr>
  </w:style>
  <w:style w:type="paragraph" w:styleId="20">
    <w:name w:val="Salutation"/>
    <w:basedOn w:val="1"/>
    <w:next w:val="1"/>
    <w:link w:val="83"/>
    <w:qFormat/>
    <w:uiPriority w:val="0"/>
    <w:rPr>
      <w:szCs w:val="24"/>
      <w:lang w:val="zh-CN"/>
    </w:rPr>
  </w:style>
  <w:style w:type="paragraph" w:styleId="21">
    <w:name w:val="Body Text 3"/>
    <w:basedOn w:val="1"/>
    <w:link w:val="84"/>
    <w:qFormat/>
    <w:uiPriority w:val="0"/>
    <w:pPr>
      <w:widowControl/>
      <w:spacing w:line="720" w:lineRule="auto"/>
      <w:jc w:val="center"/>
    </w:pPr>
    <w:rPr>
      <w:rFonts w:ascii="宋体" w:hAnsi="宋体"/>
      <w:b/>
      <w:bCs/>
      <w:kern w:val="0"/>
      <w:sz w:val="72"/>
      <w:szCs w:val="72"/>
      <w:lang w:val="zh-CN"/>
    </w:rPr>
  </w:style>
  <w:style w:type="paragraph" w:styleId="22">
    <w:name w:val="List Bullet 3"/>
    <w:basedOn w:val="1"/>
    <w:qFormat/>
    <w:uiPriority w:val="99"/>
    <w:pPr>
      <w:widowControl/>
      <w:tabs>
        <w:tab w:val="left" w:pos="1200"/>
      </w:tabs>
      <w:adjustRightInd w:val="0"/>
      <w:spacing w:line="312" w:lineRule="atLeast"/>
      <w:jc w:val="left"/>
      <w:textAlignment w:val="baseline"/>
    </w:pPr>
    <w:rPr>
      <w:rFonts w:ascii="宋体" w:hAnsi="宋体" w:cs="宋体"/>
      <w:kern w:val="0"/>
      <w:sz w:val="24"/>
      <w:szCs w:val="24"/>
    </w:rPr>
  </w:style>
  <w:style w:type="paragraph" w:styleId="23">
    <w:name w:val="Body Text"/>
    <w:basedOn w:val="1"/>
    <w:link w:val="85"/>
    <w:unhideWhenUsed/>
    <w:qFormat/>
    <w:uiPriority w:val="0"/>
    <w:pPr>
      <w:spacing w:after="120"/>
    </w:pPr>
  </w:style>
  <w:style w:type="paragraph" w:styleId="24">
    <w:name w:val="Body Text Indent"/>
    <w:basedOn w:val="1"/>
    <w:link w:val="86"/>
    <w:qFormat/>
    <w:uiPriority w:val="0"/>
    <w:pPr>
      <w:widowControl/>
      <w:spacing w:after="120" w:line="360" w:lineRule="auto"/>
      <w:ind w:left="420" w:leftChars="200" w:firstLine="200" w:firstLineChars="200"/>
      <w:jc w:val="left"/>
    </w:pPr>
    <w:rPr>
      <w:sz w:val="24"/>
      <w:szCs w:val="24"/>
    </w:rPr>
  </w:style>
  <w:style w:type="paragraph" w:styleId="25">
    <w:name w:val="List 2"/>
    <w:basedOn w:val="1"/>
    <w:qFormat/>
    <w:uiPriority w:val="0"/>
    <w:pPr>
      <w:ind w:left="100" w:leftChars="200" w:hanging="200" w:hangingChars="200"/>
    </w:pPr>
    <w:rPr>
      <w:szCs w:val="24"/>
    </w:rPr>
  </w:style>
  <w:style w:type="paragraph" w:styleId="26">
    <w:name w:val="Block Text"/>
    <w:basedOn w:val="1"/>
    <w:qFormat/>
    <w:uiPriority w:val="0"/>
    <w:pPr>
      <w:spacing w:line="340" w:lineRule="exact"/>
      <w:ind w:left="-90" w:leftChars="-43" w:right="-99" w:rightChars="-47"/>
      <w:jc w:val="center"/>
    </w:pPr>
    <w:rPr>
      <w:bCs/>
      <w:szCs w:val="20"/>
    </w:rPr>
  </w:style>
  <w:style w:type="paragraph" w:styleId="27">
    <w:name w:val="toc 5"/>
    <w:basedOn w:val="1"/>
    <w:next w:val="1"/>
    <w:unhideWhenUsed/>
    <w:qFormat/>
    <w:uiPriority w:val="39"/>
    <w:pPr>
      <w:ind w:left="840"/>
      <w:jc w:val="left"/>
    </w:pPr>
    <w:rPr>
      <w:rFonts w:asciiTheme="minorHAnsi" w:eastAsiaTheme="minorHAnsi"/>
      <w:sz w:val="18"/>
      <w:szCs w:val="18"/>
    </w:rPr>
  </w:style>
  <w:style w:type="paragraph" w:styleId="28">
    <w:name w:val="toc 3"/>
    <w:basedOn w:val="1"/>
    <w:next w:val="1"/>
    <w:unhideWhenUsed/>
    <w:qFormat/>
    <w:uiPriority w:val="39"/>
    <w:pPr>
      <w:ind w:left="420"/>
      <w:jc w:val="left"/>
    </w:pPr>
    <w:rPr>
      <w:rFonts w:asciiTheme="minorHAnsi" w:eastAsiaTheme="minorHAnsi"/>
      <w:i/>
      <w:iCs/>
      <w:sz w:val="20"/>
      <w:szCs w:val="20"/>
    </w:rPr>
  </w:style>
  <w:style w:type="paragraph" w:styleId="29">
    <w:name w:val="Plain Text"/>
    <w:basedOn w:val="1"/>
    <w:link w:val="87"/>
    <w:qFormat/>
    <w:uiPriority w:val="0"/>
    <w:pPr>
      <w:widowControl/>
      <w:spacing w:line="360" w:lineRule="auto"/>
      <w:ind w:firstLine="200" w:firstLineChars="200"/>
      <w:jc w:val="left"/>
    </w:pPr>
    <w:rPr>
      <w:rFonts w:ascii="宋体" w:hAnsi="Courier New"/>
      <w:sz w:val="24"/>
      <w:szCs w:val="21"/>
      <w:lang w:val="zh-CN"/>
    </w:rPr>
  </w:style>
  <w:style w:type="paragraph" w:styleId="30">
    <w:name w:val="toc 8"/>
    <w:basedOn w:val="1"/>
    <w:next w:val="1"/>
    <w:unhideWhenUsed/>
    <w:qFormat/>
    <w:uiPriority w:val="39"/>
    <w:pPr>
      <w:ind w:left="1470"/>
      <w:jc w:val="left"/>
    </w:pPr>
    <w:rPr>
      <w:rFonts w:asciiTheme="minorHAnsi" w:eastAsiaTheme="minorHAnsi"/>
      <w:sz w:val="18"/>
      <w:szCs w:val="18"/>
    </w:rPr>
  </w:style>
  <w:style w:type="paragraph" w:styleId="31">
    <w:name w:val="Date"/>
    <w:basedOn w:val="1"/>
    <w:next w:val="1"/>
    <w:link w:val="88"/>
    <w:qFormat/>
    <w:uiPriority w:val="99"/>
    <w:pPr>
      <w:widowControl/>
      <w:adjustRightInd w:val="0"/>
      <w:spacing w:line="312" w:lineRule="atLeast"/>
      <w:jc w:val="right"/>
      <w:textAlignment w:val="baseline"/>
    </w:pPr>
    <w:rPr>
      <w:kern w:val="0"/>
      <w:sz w:val="28"/>
      <w:szCs w:val="20"/>
      <w:lang w:val="zh-CN"/>
    </w:rPr>
  </w:style>
  <w:style w:type="paragraph" w:styleId="32">
    <w:name w:val="Body Text Indent 2"/>
    <w:basedOn w:val="1"/>
    <w:link w:val="89"/>
    <w:qFormat/>
    <w:uiPriority w:val="0"/>
    <w:pPr>
      <w:widowControl/>
      <w:spacing w:after="120" w:line="480" w:lineRule="auto"/>
      <w:ind w:left="420" w:leftChars="200" w:firstLine="200" w:firstLineChars="200"/>
      <w:jc w:val="left"/>
    </w:pPr>
    <w:rPr>
      <w:sz w:val="24"/>
      <w:szCs w:val="24"/>
      <w:lang w:val="zh-CN"/>
    </w:rPr>
  </w:style>
  <w:style w:type="paragraph" w:styleId="33">
    <w:name w:val="Balloon Text"/>
    <w:basedOn w:val="1"/>
    <w:link w:val="90"/>
    <w:unhideWhenUsed/>
    <w:qFormat/>
    <w:uiPriority w:val="0"/>
    <w:rPr>
      <w:sz w:val="18"/>
      <w:szCs w:val="18"/>
    </w:rPr>
  </w:style>
  <w:style w:type="paragraph" w:styleId="34">
    <w:name w:val="footer"/>
    <w:basedOn w:val="1"/>
    <w:link w:val="91"/>
    <w:unhideWhenUsed/>
    <w:qFormat/>
    <w:uiPriority w:val="99"/>
    <w:pPr>
      <w:tabs>
        <w:tab w:val="center" w:pos="4153"/>
        <w:tab w:val="right" w:pos="8306"/>
      </w:tabs>
      <w:snapToGrid w:val="0"/>
      <w:jc w:val="left"/>
    </w:pPr>
    <w:rPr>
      <w:sz w:val="18"/>
      <w:lang w:val="zh-CN"/>
    </w:rPr>
  </w:style>
  <w:style w:type="paragraph" w:styleId="35">
    <w:name w:val="header"/>
    <w:basedOn w:val="1"/>
    <w:link w:val="92"/>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lang w:val="zh-CN"/>
    </w:rPr>
  </w:style>
  <w:style w:type="paragraph" w:styleId="3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37">
    <w:name w:val="toc 4"/>
    <w:basedOn w:val="1"/>
    <w:next w:val="1"/>
    <w:unhideWhenUsed/>
    <w:qFormat/>
    <w:uiPriority w:val="39"/>
    <w:pPr>
      <w:ind w:left="630"/>
      <w:jc w:val="left"/>
    </w:pPr>
    <w:rPr>
      <w:rFonts w:asciiTheme="minorHAnsi" w:eastAsiaTheme="minorHAnsi"/>
      <w:sz w:val="18"/>
      <w:szCs w:val="18"/>
    </w:rPr>
  </w:style>
  <w:style w:type="paragraph" w:styleId="38">
    <w:name w:val="Subtitle"/>
    <w:basedOn w:val="1"/>
    <w:next w:val="1"/>
    <w:link w:val="93"/>
    <w:qFormat/>
    <w:uiPriority w:val="0"/>
    <w:pPr>
      <w:widowControl/>
      <w:spacing w:line="360" w:lineRule="auto"/>
      <w:jc w:val="left"/>
      <w:outlineLvl w:val="2"/>
    </w:pPr>
    <w:rPr>
      <w:rFonts w:ascii="Cambria" w:hAnsi="Cambria"/>
      <w:b/>
      <w:bCs/>
      <w:kern w:val="28"/>
      <w:sz w:val="30"/>
      <w:szCs w:val="32"/>
      <w:lang w:val="zh-CN"/>
    </w:rPr>
  </w:style>
  <w:style w:type="paragraph" w:styleId="39">
    <w:name w:val="List"/>
    <w:basedOn w:val="1"/>
    <w:link w:val="94"/>
    <w:qFormat/>
    <w:uiPriority w:val="0"/>
    <w:pPr>
      <w:widowControl/>
      <w:ind w:left="200" w:hanging="200" w:hangingChars="200"/>
      <w:jc w:val="left"/>
    </w:pPr>
    <w:rPr>
      <w:rFonts w:ascii="宋体" w:hAnsi="宋体" w:cs="宋体"/>
      <w:kern w:val="0"/>
      <w:sz w:val="24"/>
      <w:szCs w:val="24"/>
    </w:rPr>
  </w:style>
  <w:style w:type="paragraph" w:styleId="40">
    <w:name w:val="footnote text"/>
    <w:basedOn w:val="1"/>
    <w:link w:val="95"/>
    <w:qFormat/>
    <w:uiPriority w:val="0"/>
    <w:pPr>
      <w:widowControl/>
      <w:snapToGrid w:val="0"/>
      <w:jc w:val="left"/>
    </w:pPr>
    <w:rPr>
      <w:kern w:val="0"/>
      <w:sz w:val="18"/>
      <w:szCs w:val="20"/>
      <w:lang w:val="zh-CN"/>
    </w:rPr>
  </w:style>
  <w:style w:type="paragraph" w:styleId="41">
    <w:name w:val="toc 6"/>
    <w:basedOn w:val="1"/>
    <w:next w:val="1"/>
    <w:unhideWhenUsed/>
    <w:qFormat/>
    <w:uiPriority w:val="39"/>
    <w:pPr>
      <w:ind w:left="1050"/>
      <w:jc w:val="left"/>
    </w:pPr>
    <w:rPr>
      <w:rFonts w:asciiTheme="minorHAnsi" w:eastAsiaTheme="minorHAnsi"/>
      <w:sz w:val="18"/>
      <w:szCs w:val="18"/>
    </w:rPr>
  </w:style>
  <w:style w:type="paragraph" w:styleId="42">
    <w:name w:val="Body Text Indent 3"/>
    <w:basedOn w:val="1"/>
    <w:link w:val="96"/>
    <w:qFormat/>
    <w:uiPriority w:val="0"/>
    <w:pPr>
      <w:widowControl/>
      <w:spacing w:after="120"/>
      <w:ind w:left="420" w:leftChars="200"/>
      <w:jc w:val="left"/>
    </w:pPr>
    <w:rPr>
      <w:sz w:val="16"/>
      <w:szCs w:val="16"/>
      <w:lang w:val="zh-CN"/>
    </w:rPr>
  </w:style>
  <w:style w:type="paragraph" w:styleId="43">
    <w:name w:val="toc 2"/>
    <w:basedOn w:val="1"/>
    <w:next w:val="1"/>
    <w:unhideWhenUsed/>
    <w:qFormat/>
    <w:uiPriority w:val="39"/>
    <w:pPr>
      <w:ind w:left="210"/>
      <w:jc w:val="left"/>
    </w:pPr>
    <w:rPr>
      <w:rFonts w:asciiTheme="minorHAnsi" w:eastAsiaTheme="minorHAnsi"/>
      <w:smallCaps/>
      <w:sz w:val="20"/>
      <w:szCs w:val="20"/>
    </w:rPr>
  </w:style>
  <w:style w:type="paragraph" w:styleId="44">
    <w:name w:val="toc 9"/>
    <w:basedOn w:val="1"/>
    <w:next w:val="1"/>
    <w:unhideWhenUsed/>
    <w:qFormat/>
    <w:uiPriority w:val="39"/>
    <w:pPr>
      <w:ind w:left="1680"/>
      <w:jc w:val="left"/>
    </w:pPr>
    <w:rPr>
      <w:rFonts w:asciiTheme="minorHAnsi" w:eastAsiaTheme="minorHAnsi"/>
      <w:sz w:val="18"/>
      <w:szCs w:val="18"/>
    </w:rPr>
  </w:style>
  <w:style w:type="paragraph" w:styleId="45">
    <w:name w:val="Body Text 2"/>
    <w:basedOn w:val="1"/>
    <w:link w:val="97"/>
    <w:qFormat/>
    <w:uiPriority w:val="0"/>
    <w:pPr>
      <w:widowControl/>
      <w:spacing w:after="120" w:line="480" w:lineRule="auto"/>
      <w:ind w:firstLine="200" w:firstLineChars="200"/>
      <w:jc w:val="left"/>
    </w:pPr>
    <w:rPr>
      <w:rFonts w:ascii="宋体" w:hAnsi="宋体"/>
      <w:kern w:val="0"/>
      <w:sz w:val="24"/>
      <w:szCs w:val="24"/>
      <w:lang w:val="zh-CN"/>
    </w:rPr>
  </w:style>
  <w:style w:type="paragraph" w:styleId="46">
    <w:name w:val="List 4"/>
    <w:basedOn w:val="1"/>
    <w:qFormat/>
    <w:uiPriority w:val="0"/>
    <w:pPr>
      <w:ind w:left="1680" w:hanging="420"/>
    </w:pPr>
    <w:rPr>
      <w:szCs w:val="20"/>
    </w:rPr>
  </w:style>
  <w:style w:type="paragraph" w:styleId="47">
    <w:name w:val="HTML Preformatted"/>
    <w:basedOn w:val="1"/>
    <w:link w:val="9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Cs w:val="21"/>
      <w:lang w:val="zh-CN"/>
    </w:rPr>
  </w:style>
  <w:style w:type="paragraph" w:styleId="48">
    <w:name w:val="Normal (Web)"/>
    <w:basedOn w:val="1"/>
    <w:link w:val="99"/>
    <w:qFormat/>
    <w:uiPriority w:val="99"/>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styleId="49">
    <w:name w:val="index 1"/>
    <w:basedOn w:val="1"/>
    <w:next w:val="1"/>
    <w:qFormat/>
    <w:uiPriority w:val="99"/>
    <w:pPr>
      <w:widowControl/>
      <w:tabs>
        <w:tab w:val="left" w:pos="1980"/>
        <w:tab w:val="left" w:pos="4680"/>
      </w:tabs>
      <w:snapToGrid w:val="0"/>
      <w:spacing w:line="240" w:lineRule="exact"/>
      <w:jc w:val="center"/>
    </w:pPr>
    <w:rPr>
      <w:rFonts w:ascii="楷体_GB2312" w:hAnsi="宋体" w:eastAsia="楷体_GB2312" w:cs="宋体"/>
      <w:kern w:val="0"/>
      <w:sz w:val="24"/>
      <w:szCs w:val="24"/>
    </w:rPr>
  </w:style>
  <w:style w:type="paragraph" w:styleId="50">
    <w:name w:val="Title"/>
    <w:basedOn w:val="1"/>
    <w:next w:val="1"/>
    <w:link w:val="100"/>
    <w:qFormat/>
    <w:uiPriority w:val="99"/>
    <w:pPr>
      <w:widowControl/>
      <w:spacing w:line="360" w:lineRule="auto"/>
      <w:jc w:val="left"/>
      <w:outlineLvl w:val="1"/>
    </w:pPr>
    <w:rPr>
      <w:rFonts w:ascii="Cambria" w:hAnsi="Cambria"/>
      <w:b/>
      <w:bCs/>
      <w:color w:val="000000"/>
      <w:sz w:val="32"/>
      <w:szCs w:val="32"/>
      <w:lang w:val="zh-CN"/>
    </w:rPr>
  </w:style>
  <w:style w:type="paragraph" w:styleId="51">
    <w:name w:val="annotation subject"/>
    <w:basedOn w:val="19"/>
    <w:next w:val="19"/>
    <w:link w:val="101"/>
    <w:unhideWhenUsed/>
    <w:qFormat/>
    <w:uiPriority w:val="0"/>
    <w:pPr>
      <w:spacing w:line="240" w:lineRule="auto"/>
    </w:pPr>
    <w:rPr>
      <w:b/>
      <w:bCs/>
      <w:sz w:val="21"/>
    </w:rPr>
  </w:style>
  <w:style w:type="paragraph" w:styleId="52">
    <w:name w:val="Body Text First Indent"/>
    <w:basedOn w:val="53"/>
    <w:link w:val="102"/>
    <w:qFormat/>
    <w:uiPriority w:val="99"/>
    <w:pPr>
      <w:ind w:firstLine="480"/>
    </w:pPr>
    <w:rPr>
      <w:bCs w:val="0"/>
    </w:rPr>
  </w:style>
  <w:style w:type="paragraph" w:customStyle="1" w:styleId="53">
    <w:name w:val="正文（小四）"/>
    <w:link w:val="116"/>
    <w:qFormat/>
    <w:uiPriority w:val="0"/>
    <w:pPr>
      <w:spacing w:line="360" w:lineRule="auto"/>
      <w:ind w:firstLine="200" w:firstLineChars="200"/>
      <w:jc w:val="both"/>
    </w:pPr>
    <w:rPr>
      <w:rFonts w:ascii="Times New Roman" w:hAnsi="Times New Roman" w:eastAsia="宋体" w:cs="Times New Roman"/>
      <w:bCs/>
      <w:kern w:val="2"/>
      <w:sz w:val="24"/>
      <w:szCs w:val="32"/>
      <w:lang w:val="en-US" w:eastAsia="zh-CN" w:bidi="ar-SA"/>
    </w:rPr>
  </w:style>
  <w:style w:type="paragraph" w:styleId="54">
    <w:name w:val="Body Text First Indent 2"/>
    <w:basedOn w:val="24"/>
    <w:link w:val="103"/>
    <w:unhideWhenUsed/>
    <w:qFormat/>
    <w:uiPriority w:val="0"/>
    <w:pPr>
      <w:widowControl w:val="0"/>
      <w:spacing w:line="240" w:lineRule="auto"/>
      <w:ind w:firstLine="420"/>
      <w:jc w:val="both"/>
    </w:pPr>
    <w:rPr>
      <w:sz w:val="21"/>
      <w:szCs w:val="22"/>
    </w:rPr>
  </w:style>
  <w:style w:type="table" w:styleId="56">
    <w:name w:val="Table Grid"/>
    <w:basedOn w:val="5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7">
    <w:name w:val="Table Grid 1"/>
    <w:basedOn w:val="55"/>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58">
    <w:name w:val="Table Grid 5"/>
    <w:basedOn w:val="55"/>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60">
    <w:name w:val="Strong"/>
    <w:qFormat/>
    <w:uiPriority w:val="0"/>
    <w:rPr>
      <w:b/>
      <w:bCs/>
    </w:rPr>
  </w:style>
  <w:style w:type="character" w:styleId="61">
    <w:name w:val="endnote reference"/>
    <w:qFormat/>
    <w:uiPriority w:val="0"/>
    <w:rPr>
      <w:vertAlign w:val="superscript"/>
    </w:rPr>
  </w:style>
  <w:style w:type="character" w:styleId="62">
    <w:name w:val="page number"/>
    <w:qFormat/>
    <w:uiPriority w:val="99"/>
  </w:style>
  <w:style w:type="character" w:styleId="63">
    <w:name w:val="FollowedHyperlink"/>
    <w:qFormat/>
    <w:uiPriority w:val="99"/>
    <w:rPr>
      <w:color w:val="800080"/>
      <w:u w:val="single"/>
    </w:rPr>
  </w:style>
  <w:style w:type="character" w:styleId="64">
    <w:name w:val="Emphasis"/>
    <w:qFormat/>
    <w:uiPriority w:val="0"/>
    <w:rPr>
      <w:color w:val="CC0000"/>
    </w:rPr>
  </w:style>
  <w:style w:type="character" w:styleId="65">
    <w:name w:val="line number"/>
    <w:basedOn w:val="59"/>
    <w:qFormat/>
    <w:uiPriority w:val="0"/>
  </w:style>
  <w:style w:type="character" w:styleId="66">
    <w:name w:val="Hyperlink"/>
    <w:unhideWhenUsed/>
    <w:qFormat/>
    <w:uiPriority w:val="99"/>
    <w:rPr>
      <w:color w:val="0000FF"/>
      <w:u w:val="single"/>
    </w:rPr>
  </w:style>
  <w:style w:type="character" w:styleId="67">
    <w:name w:val="annotation reference"/>
    <w:unhideWhenUsed/>
    <w:qFormat/>
    <w:uiPriority w:val="0"/>
    <w:rPr>
      <w:sz w:val="21"/>
      <w:szCs w:val="21"/>
    </w:rPr>
  </w:style>
  <w:style w:type="character" w:customStyle="1" w:styleId="68">
    <w:name w:val="标题 1 字符"/>
    <w:link w:val="3"/>
    <w:qFormat/>
    <w:uiPriority w:val="9"/>
    <w:rPr>
      <w:rFonts w:ascii="楷体" w:hAnsi="楷体" w:eastAsia="楷体"/>
      <w:b/>
      <w:kern w:val="44"/>
      <w:sz w:val="44"/>
      <w:szCs w:val="44"/>
      <w:lang w:val="zh-CN" w:eastAsia="zh-CN"/>
    </w:rPr>
  </w:style>
  <w:style w:type="character" w:customStyle="1" w:styleId="69">
    <w:name w:val="正文缩进 字符1"/>
    <w:link w:val="5"/>
    <w:qFormat/>
    <w:uiPriority w:val="0"/>
    <w:rPr>
      <w:kern w:val="2"/>
      <w:sz w:val="21"/>
    </w:rPr>
  </w:style>
  <w:style w:type="character" w:customStyle="1" w:styleId="70">
    <w:name w:val="标题 2 字符"/>
    <w:link w:val="4"/>
    <w:qFormat/>
    <w:uiPriority w:val="9"/>
    <w:rPr>
      <w:rFonts w:ascii="楷体" w:hAnsi="楷体" w:eastAsia="Times New Roman"/>
      <w:b/>
      <w:kern w:val="44"/>
      <w:sz w:val="36"/>
      <w:szCs w:val="36"/>
      <w:lang w:val="zh-CN" w:eastAsia="zh-CN"/>
    </w:rPr>
  </w:style>
  <w:style w:type="character" w:customStyle="1" w:styleId="71">
    <w:name w:val="标题 3 字符"/>
    <w:link w:val="6"/>
    <w:qFormat/>
    <w:uiPriority w:val="9"/>
    <w:rPr>
      <w:rFonts w:eastAsia="华文楷体"/>
      <w:b/>
      <w:sz w:val="32"/>
      <w:szCs w:val="32"/>
      <w:lang w:val="zh-CN"/>
    </w:rPr>
  </w:style>
  <w:style w:type="character" w:customStyle="1" w:styleId="72">
    <w:name w:val="标题 4 字符"/>
    <w:link w:val="7"/>
    <w:qFormat/>
    <w:uiPriority w:val="9"/>
    <w:rPr>
      <w:b/>
      <w:sz w:val="28"/>
      <w:szCs w:val="28"/>
      <w:lang w:val="zh-CN" w:eastAsia="zh-CN"/>
    </w:rPr>
  </w:style>
  <w:style w:type="character" w:customStyle="1" w:styleId="73">
    <w:name w:val="标题 5 字符1"/>
    <w:link w:val="8"/>
    <w:qFormat/>
    <w:uiPriority w:val="0"/>
    <w:rPr>
      <w:b/>
      <w:bCs/>
      <w:kern w:val="2"/>
      <w:sz w:val="24"/>
      <w:szCs w:val="24"/>
      <w:lang w:val="zh-CN" w:eastAsia="zh-CN"/>
    </w:rPr>
  </w:style>
  <w:style w:type="character" w:customStyle="1" w:styleId="74">
    <w:name w:val="标题 6 字符1"/>
    <w:link w:val="9"/>
    <w:qFormat/>
    <w:uiPriority w:val="0"/>
    <w:rPr>
      <w:rFonts w:ascii="Arial" w:hAnsi="Arial" w:eastAsia="黑体"/>
      <w:b/>
      <w:bCs/>
      <w:kern w:val="2"/>
      <w:sz w:val="24"/>
      <w:szCs w:val="24"/>
      <w:lang w:val="zh-CN" w:eastAsia="zh-CN"/>
    </w:rPr>
  </w:style>
  <w:style w:type="character" w:customStyle="1" w:styleId="75">
    <w:name w:val="标题 7 字符1"/>
    <w:link w:val="10"/>
    <w:qFormat/>
    <w:uiPriority w:val="99"/>
    <w:rPr>
      <w:b/>
      <w:bCs/>
      <w:kern w:val="2"/>
      <w:sz w:val="24"/>
      <w:szCs w:val="24"/>
      <w:lang w:val="zh-CN" w:eastAsia="zh-CN"/>
    </w:rPr>
  </w:style>
  <w:style w:type="character" w:customStyle="1" w:styleId="76">
    <w:name w:val="标题 8 字符1"/>
    <w:link w:val="11"/>
    <w:qFormat/>
    <w:uiPriority w:val="99"/>
    <w:rPr>
      <w:rFonts w:ascii="Arial" w:hAnsi="Arial" w:eastAsia="黑体"/>
      <w:kern w:val="2"/>
      <w:sz w:val="24"/>
      <w:szCs w:val="24"/>
      <w:lang w:val="zh-CN" w:eastAsia="zh-CN"/>
    </w:rPr>
  </w:style>
  <w:style w:type="character" w:customStyle="1" w:styleId="77">
    <w:name w:val="标题 9 字符1"/>
    <w:link w:val="12"/>
    <w:qFormat/>
    <w:uiPriority w:val="99"/>
    <w:rPr>
      <w:rFonts w:ascii="Arial" w:hAnsi="Arial" w:eastAsia="黑体"/>
      <w:kern w:val="2"/>
      <w:sz w:val="24"/>
      <w:szCs w:val="21"/>
      <w:lang w:val="zh-CN" w:eastAsia="zh-CN"/>
    </w:rPr>
  </w:style>
  <w:style w:type="character" w:customStyle="1" w:styleId="78">
    <w:name w:val="宏文本 字符2"/>
    <w:link w:val="2"/>
    <w:semiHidden/>
    <w:qFormat/>
    <w:uiPriority w:val="0"/>
    <w:rPr>
      <w:rFonts w:ascii="Courier New" w:hAnsi="Courier New"/>
      <w:kern w:val="2"/>
      <w:sz w:val="24"/>
      <w:szCs w:val="24"/>
    </w:rPr>
  </w:style>
  <w:style w:type="character" w:customStyle="1" w:styleId="79">
    <w:name w:val="注释标题 字符2"/>
    <w:link w:val="15"/>
    <w:qFormat/>
    <w:uiPriority w:val="0"/>
    <w:rPr>
      <w:kern w:val="2"/>
      <w:sz w:val="21"/>
      <w:szCs w:val="24"/>
      <w:lang w:val="zh-CN" w:eastAsia="zh-CN"/>
    </w:rPr>
  </w:style>
  <w:style w:type="character" w:customStyle="1" w:styleId="80">
    <w:name w:val="题注 字符2"/>
    <w:link w:val="16"/>
    <w:qFormat/>
    <w:uiPriority w:val="0"/>
    <w:rPr>
      <w:rFonts w:ascii="Arial" w:hAnsi="Arial" w:eastAsia="黑体" w:cs="Arial"/>
      <w:kern w:val="2"/>
      <w:sz w:val="18"/>
      <w:szCs w:val="24"/>
    </w:rPr>
  </w:style>
  <w:style w:type="character" w:customStyle="1" w:styleId="81">
    <w:name w:val="文档结构图 字符1"/>
    <w:link w:val="17"/>
    <w:qFormat/>
    <w:uiPriority w:val="0"/>
    <w:rPr>
      <w:rFonts w:ascii="宋体"/>
      <w:kern w:val="2"/>
      <w:sz w:val="18"/>
      <w:szCs w:val="18"/>
    </w:rPr>
  </w:style>
  <w:style w:type="character" w:customStyle="1" w:styleId="82">
    <w:name w:val="批注文字 字符3"/>
    <w:link w:val="19"/>
    <w:qFormat/>
    <w:uiPriority w:val="0"/>
    <w:rPr>
      <w:kern w:val="2"/>
      <w:sz w:val="24"/>
      <w:szCs w:val="22"/>
    </w:rPr>
  </w:style>
  <w:style w:type="character" w:customStyle="1" w:styleId="83">
    <w:name w:val="称呼 字符2"/>
    <w:link w:val="20"/>
    <w:qFormat/>
    <w:uiPriority w:val="0"/>
    <w:rPr>
      <w:kern w:val="2"/>
      <w:sz w:val="21"/>
      <w:szCs w:val="24"/>
      <w:lang w:val="zh-CN" w:eastAsia="zh-CN"/>
    </w:rPr>
  </w:style>
  <w:style w:type="character" w:customStyle="1" w:styleId="84">
    <w:name w:val="正文文本 3 字符1"/>
    <w:link w:val="21"/>
    <w:qFormat/>
    <w:uiPriority w:val="0"/>
    <w:rPr>
      <w:rFonts w:ascii="宋体" w:hAnsi="宋体"/>
      <w:b/>
      <w:bCs/>
      <w:sz w:val="72"/>
      <w:szCs w:val="72"/>
      <w:lang w:val="zh-CN" w:eastAsia="zh-CN"/>
    </w:rPr>
  </w:style>
  <w:style w:type="character" w:customStyle="1" w:styleId="85">
    <w:name w:val="正文文本 字符1"/>
    <w:link w:val="23"/>
    <w:qFormat/>
    <w:uiPriority w:val="0"/>
    <w:rPr>
      <w:kern w:val="2"/>
      <w:sz w:val="21"/>
      <w:szCs w:val="22"/>
    </w:rPr>
  </w:style>
  <w:style w:type="character" w:customStyle="1" w:styleId="86">
    <w:name w:val="正文文本缩进 字符1"/>
    <w:link w:val="24"/>
    <w:qFormat/>
    <w:uiPriority w:val="0"/>
    <w:rPr>
      <w:kern w:val="2"/>
      <w:sz w:val="24"/>
      <w:szCs w:val="24"/>
    </w:rPr>
  </w:style>
  <w:style w:type="character" w:customStyle="1" w:styleId="87">
    <w:name w:val="纯文本 字符1"/>
    <w:link w:val="29"/>
    <w:qFormat/>
    <w:uiPriority w:val="99"/>
    <w:rPr>
      <w:rFonts w:ascii="宋体" w:hAnsi="Courier New" w:cs="Courier New"/>
      <w:kern w:val="2"/>
      <w:sz w:val="24"/>
      <w:szCs w:val="21"/>
    </w:rPr>
  </w:style>
  <w:style w:type="character" w:customStyle="1" w:styleId="88">
    <w:name w:val="日期 字符1"/>
    <w:link w:val="31"/>
    <w:qFormat/>
    <w:uiPriority w:val="0"/>
    <w:rPr>
      <w:sz w:val="28"/>
      <w:lang w:val="zh-CN" w:eastAsia="zh-CN"/>
    </w:rPr>
  </w:style>
  <w:style w:type="character" w:customStyle="1" w:styleId="89">
    <w:name w:val="正文文本缩进 2 字符2"/>
    <w:link w:val="32"/>
    <w:qFormat/>
    <w:uiPriority w:val="0"/>
    <w:rPr>
      <w:kern w:val="2"/>
      <w:sz w:val="24"/>
      <w:szCs w:val="24"/>
    </w:rPr>
  </w:style>
  <w:style w:type="character" w:customStyle="1" w:styleId="90">
    <w:name w:val="批注框文本 字符2"/>
    <w:link w:val="33"/>
    <w:qFormat/>
    <w:uiPriority w:val="99"/>
    <w:rPr>
      <w:kern w:val="2"/>
      <w:sz w:val="18"/>
      <w:szCs w:val="18"/>
    </w:rPr>
  </w:style>
  <w:style w:type="character" w:customStyle="1" w:styleId="91">
    <w:name w:val="页脚 字符2"/>
    <w:link w:val="34"/>
    <w:qFormat/>
    <w:uiPriority w:val="99"/>
    <w:rPr>
      <w:kern w:val="2"/>
      <w:sz w:val="18"/>
      <w:szCs w:val="22"/>
    </w:rPr>
  </w:style>
  <w:style w:type="character" w:customStyle="1" w:styleId="92">
    <w:name w:val="页眉 字符2"/>
    <w:link w:val="35"/>
    <w:qFormat/>
    <w:uiPriority w:val="0"/>
    <w:rPr>
      <w:kern w:val="2"/>
      <w:sz w:val="18"/>
      <w:szCs w:val="22"/>
    </w:rPr>
  </w:style>
  <w:style w:type="character" w:customStyle="1" w:styleId="93">
    <w:name w:val="副标题 字符1"/>
    <w:link w:val="38"/>
    <w:qFormat/>
    <w:uiPriority w:val="0"/>
    <w:rPr>
      <w:rFonts w:ascii="Cambria" w:hAnsi="Cambria"/>
      <w:b/>
      <w:bCs/>
      <w:kern w:val="28"/>
      <w:sz w:val="30"/>
      <w:szCs w:val="32"/>
    </w:rPr>
  </w:style>
  <w:style w:type="character" w:customStyle="1" w:styleId="94">
    <w:name w:val="列表 字符1"/>
    <w:link w:val="39"/>
    <w:qFormat/>
    <w:uiPriority w:val="0"/>
    <w:rPr>
      <w:rFonts w:ascii="宋体" w:hAnsi="宋体" w:cs="宋体"/>
      <w:sz w:val="24"/>
      <w:szCs w:val="24"/>
    </w:rPr>
  </w:style>
  <w:style w:type="character" w:customStyle="1" w:styleId="95">
    <w:name w:val="脚注文本 字符1"/>
    <w:link w:val="40"/>
    <w:qFormat/>
    <w:locked/>
    <w:uiPriority w:val="0"/>
    <w:rPr>
      <w:sz w:val="18"/>
    </w:rPr>
  </w:style>
  <w:style w:type="character" w:customStyle="1" w:styleId="96">
    <w:name w:val="正文文本缩进 3 字符1"/>
    <w:link w:val="42"/>
    <w:qFormat/>
    <w:uiPriority w:val="0"/>
    <w:rPr>
      <w:kern w:val="2"/>
      <w:sz w:val="16"/>
      <w:szCs w:val="16"/>
      <w:lang w:val="zh-CN" w:eastAsia="zh-CN"/>
    </w:rPr>
  </w:style>
  <w:style w:type="character" w:customStyle="1" w:styleId="97">
    <w:name w:val="正文文本 2 字符1"/>
    <w:link w:val="45"/>
    <w:qFormat/>
    <w:uiPriority w:val="0"/>
    <w:rPr>
      <w:rFonts w:ascii="宋体" w:hAnsi="宋体"/>
      <w:sz w:val="24"/>
      <w:szCs w:val="24"/>
      <w:lang w:val="zh-CN" w:eastAsia="zh-CN"/>
    </w:rPr>
  </w:style>
  <w:style w:type="character" w:customStyle="1" w:styleId="98">
    <w:name w:val="HTML 预设格式 字符1"/>
    <w:link w:val="47"/>
    <w:qFormat/>
    <w:uiPriority w:val="99"/>
    <w:rPr>
      <w:rFonts w:ascii="Arial" w:hAnsi="Arial"/>
      <w:sz w:val="21"/>
      <w:szCs w:val="21"/>
      <w:lang w:val="zh-CN" w:eastAsia="zh-CN"/>
    </w:rPr>
  </w:style>
  <w:style w:type="character" w:customStyle="1" w:styleId="99">
    <w:name w:val="普通(网站) 字符"/>
    <w:link w:val="48"/>
    <w:qFormat/>
    <w:locked/>
    <w:uiPriority w:val="0"/>
    <w:rPr>
      <w:rFonts w:ascii="Arial Unicode MS" w:hAnsi="Arial Unicode MS" w:eastAsia="Arial Unicode MS" w:cs="Arial Unicode MS"/>
      <w:sz w:val="24"/>
      <w:szCs w:val="24"/>
    </w:rPr>
  </w:style>
  <w:style w:type="character" w:customStyle="1" w:styleId="100">
    <w:name w:val="标题 字符1"/>
    <w:link w:val="50"/>
    <w:qFormat/>
    <w:uiPriority w:val="0"/>
    <w:rPr>
      <w:rFonts w:ascii="Cambria" w:hAnsi="Cambria"/>
      <w:b/>
      <w:bCs/>
      <w:color w:val="000000"/>
      <w:kern w:val="2"/>
      <w:sz w:val="32"/>
      <w:szCs w:val="32"/>
      <w:lang w:val="zh-CN" w:eastAsia="zh-CN"/>
    </w:rPr>
  </w:style>
  <w:style w:type="character" w:customStyle="1" w:styleId="101">
    <w:name w:val="批注主题 字符"/>
    <w:link w:val="51"/>
    <w:qFormat/>
    <w:uiPriority w:val="0"/>
    <w:rPr>
      <w:b/>
      <w:bCs/>
      <w:kern w:val="2"/>
      <w:sz w:val="21"/>
      <w:szCs w:val="22"/>
    </w:rPr>
  </w:style>
  <w:style w:type="character" w:customStyle="1" w:styleId="102">
    <w:name w:val="正文文本首行缩进 字符1"/>
    <w:link w:val="52"/>
    <w:qFormat/>
    <w:uiPriority w:val="99"/>
    <w:rPr>
      <w:kern w:val="2"/>
      <w:sz w:val="24"/>
      <w:szCs w:val="32"/>
    </w:rPr>
  </w:style>
  <w:style w:type="character" w:customStyle="1" w:styleId="103">
    <w:name w:val="正文文本首行缩进 2 字符"/>
    <w:link w:val="54"/>
    <w:semiHidden/>
    <w:qFormat/>
    <w:uiPriority w:val="99"/>
    <w:rPr>
      <w:kern w:val="2"/>
      <w:sz w:val="21"/>
      <w:szCs w:val="22"/>
    </w:rPr>
  </w:style>
  <w:style w:type="paragraph" w:customStyle="1" w:styleId="10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05">
    <w:name w:val="fontstyle01"/>
    <w:qFormat/>
    <w:uiPriority w:val="0"/>
    <w:rPr>
      <w:rFonts w:hint="eastAsia" w:ascii="宋体" w:hAnsi="宋体" w:eastAsia="宋体"/>
      <w:color w:val="000000"/>
      <w:sz w:val="24"/>
      <w:szCs w:val="24"/>
    </w:rPr>
  </w:style>
  <w:style w:type="character" w:customStyle="1" w:styleId="106">
    <w:name w:val="批注文字 字符1"/>
    <w:qFormat/>
    <w:uiPriority w:val="0"/>
    <w:rPr>
      <w:kern w:val="2"/>
      <w:sz w:val="24"/>
      <w:szCs w:val="22"/>
    </w:rPr>
  </w:style>
  <w:style w:type="character" w:customStyle="1" w:styleId="107">
    <w:name w:val="批注主题 Char"/>
    <w:basedOn w:val="82"/>
    <w:qFormat/>
    <w:uiPriority w:val="0"/>
    <w:rPr>
      <w:kern w:val="2"/>
      <w:sz w:val="24"/>
      <w:szCs w:val="22"/>
    </w:rPr>
  </w:style>
  <w:style w:type="character" w:customStyle="1" w:styleId="108">
    <w:name w:val="fontstyle21"/>
    <w:qFormat/>
    <w:uiPriority w:val="0"/>
    <w:rPr>
      <w:rFonts w:hint="default" w:ascii="TimesNewRomanPSMT" w:hAnsi="TimesNewRomanPSMT"/>
      <w:color w:val="000000"/>
      <w:sz w:val="28"/>
      <w:szCs w:val="28"/>
    </w:rPr>
  </w:style>
  <w:style w:type="paragraph" w:customStyle="1" w:styleId="109">
    <w:name w:val="李标题4"/>
    <w:basedOn w:val="1"/>
    <w:next w:val="1"/>
    <w:qFormat/>
    <w:uiPriority w:val="0"/>
    <w:pPr>
      <w:widowControl/>
      <w:snapToGrid w:val="0"/>
      <w:spacing w:line="360" w:lineRule="auto"/>
    </w:pPr>
    <w:rPr>
      <w:b/>
      <w:sz w:val="28"/>
      <w:szCs w:val="20"/>
    </w:rPr>
  </w:style>
  <w:style w:type="character" w:customStyle="1" w:styleId="110">
    <w:name w:val="fontstyle11"/>
    <w:qFormat/>
    <w:uiPriority w:val="0"/>
    <w:rPr>
      <w:rFonts w:hint="default" w:ascii="TimesNewRomanPSMT" w:hAnsi="TimesNewRomanPSMT"/>
      <w:color w:val="000000"/>
      <w:sz w:val="28"/>
      <w:szCs w:val="28"/>
    </w:rPr>
  </w:style>
  <w:style w:type="paragraph" w:customStyle="1" w:styleId="111">
    <w:name w:val="样式 7表格(治) + 首行缩进:  0.74 厘米"/>
    <w:basedOn w:val="1"/>
    <w:qFormat/>
    <w:uiPriority w:val="0"/>
    <w:pPr>
      <w:tabs>
        <w:tab w:val="center" w:pos="4153"/>
        <w:tab w:val="right" w:pos="8306"/>
      </w:tabs>
      <w:snapToGrid w:val="0"/>
      <w:spacing w:line="360" w:lineRule="auto"/>
      <w:jc w:val="left"/>
    </w:pPr>
    <w:rPr>
      <w:rFonts w:eastAsia="楷体_GB2312" w:cs="宋体"/>
      <w:kern w:val="0"/>
      <w:szCs w:val="20"/>
    </w:rPr>
  </w:style>
  <w:style w:type="paragraph" w:customStyle="1" w:styleId="112">
    <w:name w:val="5文章(治)"/>
    <w:basedOn w:val="1"/>
    <w:link w:val="113"/>
    <w:qFormat/>
    <w:uiPriority w:val="0"/>
    <w:pPr>
      <w:spacing w:line="360" w:lineRule="auto"/>
      <w:ind w:firstLine="480" w:firstLineChars="200"/>
    </w:pPr>
    <w:rPr>
      <w:rFonts w:hAnsi="宋体"/>
      <w:snapToGrid w:val="0"/>
      <w:kern w:val="0"/>
      <w:sz w:val="24"/>
      <w:szCs w:val="20"/>
      <w:lang w:val="en-GB"/>
    </w:rPr>
  </w:style>
  <w:style w:type="character" w:customStyle="1" w:styleId="113">
    <w:name w:val="5文章(治) Char1"/>
    <w:link w:val="112"/>
    <w:qFormat/>
    <w:uiPriority w:val="0"/>
    <w:rPr>
      <w:rFonts w:hAnsi="宋体"/>
      <w:snapToGrid w:val="0"/>
      <w:sz w:val="24"/>
      <w:lang w:val="en-GB" w:eastAsia="zh-CN"/>
    </w:rPr>
  </w:style>
  <w:style w:type="paragraph" w:customStyle="1" w:styleId="114">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15">
    <w:name w:val="表格内文字小间距"/>
    <w:basedOn w:val="1"/>
    <w:qFormat/>
    <w:uiPriority w:val="0"/>
    <w:pPr>
      <w:jc w:val="center"/>
      <w:textAlignment w:val="center"/>
    </w:pPr>
    <w:rPr>
      <w:rFonts w:cs="宋体"/>
      <w:szCs w:val="20"/>
    </w:rPr>
  </w:style>
  <w:style w:type="character" w:customStyle="1" w:styleId="116">
    <w:name w:val="正文（小四） Char"/>
    <w:link w:val="53"/>
    <w:qFormat/>
    <w:uiPriority w:val="0"/>
    <w:rPr>
      <w:bCs/>
      <w:kern w:val="2"/>
      <w:sz w:val="24"/>
      <w:szCs w:val="32"/>
      <w:lang w:val="en-US" w:eastAsia="zh-CN" w:bidi="ar-SA"/>
    </w:rPr>
  </w:style>
  <w:style w:type="character" w:customStyle="1" w:styleId="117">
    <w:name w:val="company-content"/>
    <w:qFormat/>
    <w:uiPriority w:val="0"/>
    <w:rPr>
      <w:sz w:val="24"/>
      <w:szCs w:val="24"/>
    </w:rPr>
  </w:style>
  <w:style w:type="character" w:customStyle="1" w:styleId="118">
    <w:name w:val="表格内容 Char Char"/>
    <w:link w:val="119"/>
    <w:qFormat/>
    <w:uiPriority w:val="0"/>
    <w:rPr>
      <w:rFonts w:cs="宋体"/>
      <w:iCs/>
      <w:kern w:val="2"/>
      <w:sz w:val="21"/>
      <w:szCs w:val="21"/>
    </w:rPr>
  </w:style>
  <w:style w:type="paragraph" w:customStyle="1" w:styleId="119">
    <w:name w:val="表格内容"/>
    <w:basedOn w:val="1"/>
    <w:link w:val="118"/>
    <w:qFormat/>
    <w:uiPriority w:val="0"/>
    <w:pPr>
      <w:widowControl/>
      <w:adjustRightInd w:val="0"/>
      <w:jc w:val="center"/>
    </w:pPr>
    <w:rPr>
      <w:iCs/>
      <w:szCs w:val="21"/>
      <w:lang w:val="zh-CN"/>
    </w:rPr>
  </w:style>
  <w:style w:type="character" w:customStyle="1" w:styleId="120">
    <w:name w:val="文本样式 Char"/>
    <w:link w:val="121"/>
    <w:qFormat/>
    <w:uiPriority w:val="0"/>
    <w:rPr>
      <w:rFonts w:cs="宋体"/>
      <w:kern w:val="2"/>
      <w:sz w:val="24"/>
    </w:rPr>
  </w:style>
  <w:style w:type="paragraph" w:customStyle="1" w:styleId="121">
    <w:name w:val="文本样式"/>
    <w:basedOn w:val="1"/>
    <w:link w:val="120"/>
    <w:qFormat/>
    <w:uiPriority w:val="0"/>
    <w:pPr>
      <w:spacing w:line="360" w:lineRule="auto"/>
      <w:ind w:firstLine="200" w:firstLineChars="200"/>
    </w:pPr>
    <w:rPr>
      <w:rFonts w:cs="宋体"/>
      <w:sz w:val="24"/>
      <w:szCs w:val="20"/>
    </w:rPr>
  </w:style>
  <w:style w:type="character" w:customStyle="1" w:styleId="122">
    <w:name w:val="表格标题 字符"/>
    <w:link w:val="123"/>
    <w:qFormat/>
    <w:uiPriority w:val="0"/>
    <w:rPr>
      <w:rFonts w:hAnsi="宋体"/>
      <w:b/>
      <w:bCs/>
      <w:sz w:val="24"/>
      <w:szCs w:val="24"/>
      <w:lang w:val="zh-CN"/>
    </w:rPr>
  </w:style>
  <w:style w:type="paragraph" w:customStyle="1" w:styleId="123">
    <w:name w:val="表格标题"/>
    <w:basedOn w:val="1"/>
    <w:link w:val="122"/>
    <w:qFormat/>
    <w:uiPriority w:val="0"/>
    <w:pPr>
      <w:spacing w:line="360" w:lineRule="auto"/>
      <w:jc w:val="center"/>
    </w:pPr>
    <w:rPr>
      <w:rFonts w:hAnsi="宋体"/>
      <w:b/>
      <w:bCs/>
      <w:kern w:val="0"/>
      <w:sz w:val="24"/>
      <w:szCs w:val="24"/>
      <w:lang w:val="zh-CN"/>
    </w:rPr>
  </w:style>
  <w:style w:type="paragraph" w:customStyle="1" w:styleId="124">
    <w:name w:val="表格内文字隆"/>
    <w:basedOn w:val="1"/>
    <w:qFormat/>
    <w:uiPriority w:val="0"/>
    <w:pPr>
      <w:widowControl/>
      <w:spacing w:line="400" w:lineRule="exact"/>
      <w:jc w:val="center"/>
      <w:textAlignment w:val="center"/>
    </w:pPr>
    <w:rPr>
      <w:rFonts w:ascii="Calibri" w:hAnsi="Calibri" w:cs="宋体"/>
    </w:rPr>
  </w:style>
  <w:style w:type="character" w:customStyle="1" w:styleId="125">
    <w:name w:val="表头 Char"/>
    <w:link w:val="126"/>
    <w:qFormat/>
    <w:uiPriority w:val="0"/>
    <w:rPr>
      <w:rFonts w:cs="宋体"/>
      <w:b/>
      <w:bCs/>
      <w:kern w:val="2"/>
      <w:sz w:val="24"/>
    </w:rPr>
  </w:style>
  <w:style w:type="paragraph" w:customStyle="1" w:styleId="126">
    <w:name w:val="表头"/>
    <w:basedOn w:val="1"/>
    <w:link w:val="125"/>
    <w:qFormat/>
    <w:uiPriority w:val="0"/>
    <w:pPr>
      <w:spacing w:line="360" w:lineRule="auto"/>
      <w:jc w:val="center"/>
    </w:pPr>
    <w:rPr>
      <w:rFonts w:cs="宋体"/>
      <w:b/>
      <w:bCs/>
      <w:sz w:val="24"/>
      <w:szCs w:val="20"/>
    </w:rPr>
  </w:style>
  <w:style w:type="paragraph" w:customStyle="1" w:styleId="127">
    <w:name w:val="表格内文字大间距"/>
    <w:basedOn w:val="1"/>
    <w:qFormat/>
    <w:uiPriority w:val="0"/>
    <w:pPr>
      <w:spacing w:line="440" w:lineRule="exact"/>
      <w:jc w:val="center"/>
      <w:textAlignment w:val="center"/>
    </w:pPr>
    <w:rPr>
      <w:rFonts w:cs="宋体"/>
      <w:szCs w:val="20"/>
    </w:rPr>
  </w:style>
  <w:style w:type="character" w:customStyle="1" w:styleId="128">
    <w:name w:val="表格（五号） 字符"/>
    <w:link w:val="129"/>
    <w:qFormat/>
    <w:uiPriority w:val="0"/>
    <w:rPr>
      <w:sz w:val="21"/>
      <w:szCs w:val="21"/>
      <w:lang w:val="zh-CN"/>
    </w:rPr>
  </w:style>
  <w:style w:type="paragraph" w:customStyle="1" w:styleId="129">
    <w:name w:val="表格（五号）"/>
    <w:basedOn w:val="1"/>
    <w:link w:val="128"/>
    <w:qFormat/>
    <w:uiPriority w:val="0"/>
    <w:pPr>
      <w:jc w:val="center"/>
    </w:pPr>
    <w:rPr>
      <w:kern w:val="0"/>
      <w:szCs w:val="21"/>
      <w:lang w:val="zh-CN"/>
    </w:rPr>
  </w:style>
  <w:style w:type="character" w:customStyle="1" w:styleId="130">
    <w:name w:val="文本 Char Char"/>
    <w:link w:val="131"/>
    <w:qFormat/>
    <w:uiPriority w:val="0"/>
    <w:rPr>
      <w:rFonts w:hAnsi="宋体"/>
      <w:sz w:val="24"/>
      <w:szCs w:val="24"/>
      <w:lang w:val="zh-CN"/>
    </w:rPr>
  </w:style>
  <w:style w:type="paragraph" w:customStyle="1" w:styleId="131">
    <w:name w:val="文本"/>
    <w:basedOn w:val="1"/>
    <w:link w:val="130"/>
    <w:qFormat/>
    <w:uiPriority w:val="0"/>
    <w:pPr>
      <w:spacing w:line="360" w:lineRule="auto"/>
      <w:ind w:firstLine="480" w:firstLineChars="200"/>
    </w:pPr>
    <w:rPr>
      <w:rFonts w:hAnsi="宋体"/>
      <w:kern w:val="0"/>
      <w:sz w:val="24"/>
      <w:szCs w:val="24"/>
      <w:lang w:val="zh-CN"/>
    </w:rPr>
  </w:style>
  <w:style w:type="character" w:customStyle="1" w:styleId="132">
    <w:name w:val="表格名称 Char"/>
    <w:link w:val="133"/>
    <w:qFormat/>
    <w:uiPriority w:val="0"/>
    <w:rPr>
      <w:rFonts w:cs="宋体"/>
      <w:b/>
      <w:sz w:val="24"/>
      <w:szCs w:val="24"/>
    </w:rPr>
  </w:style>
  <w:style w:type="paragraph" w:customStyle="1" w:styleId="133">
    <w:name w:val="表格名称"/>
    <w:basedOn w:val="1"/>
    <w:link w:val="132"/>
    <w:qFormat/>
    <w:uiPriority w:val="0"/>
    <w:pPr>
      <w:widowControl/>
      <w:spacing w:line="360" w:lineRule="auto"/>
      <w:jc w:val="center"/>
    </w:pPr>
    <w:rPr>
      <w:b/>
      <w:kern w:val="0"/>
      <w:sz w:val="24"/>
      <w:szCs w:val="24"/>
      <w:lang w:val="zh-CN"/>
    </w:rPr>
  </w:style>
  <w:style w:type="paragraph" w:customStyle="1" w:styleId="134">
    <w:name w:val="Char Char Char Char Char Char Char Char Char"/>
    <w:basedOn w:val="1"/>
    <w:qFormat/>
    <w:uiPriority w:val="0"/>
    <w:pPr>
      <w:widowControl/>
      <w:numPr>
        <w:ilvl w:val="0"/>
        <w:numId w:val="2"/>
      </w:numPr>
      <w:ind w:firstLine="0"/>
      <w:jc w:val="left"/>
    </w:pPr>
    <w:rPr>
      <w:rFonts w:ascii="宋体" w:hAnsi="宋体" w:cs="宋体"/>
      <w:kern w:val="0"/>
      <w:sz w:val="24"/>
      <w:szCs w:val="24"/>
    </w:rPr>
  </w:style>
  <w:style w:type="character" w:customStyle="1" w:styleId="135">
    <w:name w:val="图件 Char"/>
    <w:link w:val="136"/>
    <w:qFormat/>
    <w:uiPriority w:val="0"/>
    <w:rPr>
      <w:rFonts w:cs="宋体"/>
      <w:b/>
      <w:bCs/>
      <w:color w:val="000000"/>
      <w:kern w:val="2"/>
      <w:sz w:val="21"/>
    </w:rPr>
  </w:style>
  <w:style w:type="paragraph" w:customStyle="1" w:styleId="136">
    <w:name w:val="李图名"/>
    <w:basedOn w:val="1"/>
    <w:link w:val="135"/>
    <w:qFormat/>
    <w:uiPriority w:val="0"/>
    <w:pPr>
      <w:widowControl/>
      <w:spacing w:after="50" w:afterLines="50" w:line="360" w:lineRule="auto"/>
      <w:jc w:val="center"/>
    </w:pPr>
    <w:rPr>
      <w:b/>
      <w:bCs/>
      <w:color w:val="000000"/>
      <w:szCs w:val="20"/>
      <w:lang w:val="zh-CN"/>
    </w:rPr>
  </w:style>
  <w:style w:type="paragraph" w:customStyle="1" w:styleId="137">
    <w:name w:val="文"/>
    <w:qFormat/>
    <w:uiPriority w:val="0"/>
    <w:pPr>
      <w:spacing w:line="360" w:lineRule="auto"/>
      <w:ind w:firstLine="200" w:firstLineChars="200"/>
      <w:jc w:val="both"/>
    </w:pPr>
    <w:rPr>
      <w:rFonts w:ascii="Calibri" w:hAnsi="Calibri" w:eastAsia="宋体" w:cs="Times New Roman"/>
      <w:bCs/>
      <w:sz w:val="24"/>
      <w:szCs w:val="28"/>
      <w:lang w:val="en-US" w:eastAsia="zh-CN" w:bidi="ar-SA"/>
    </w:rPr>
  </w:style>
  <w:style w:type="character" w:customStyle="1" w:styleId="138">
    <w:name w:val="表格 Char2"/>
    <w:link w:val="139"/>
    <w:qFormat/>
    <w:uiPriority w:val="0"/>
    <w:rPr>
      <w:rFonts w:ascii="宋体"/>
      <w:iCs/>
      <w:sz w:val="21"/>
      <w:lang w:val="en-US" w:eastAsia="zh-CN" w:bidi="ar-SA"/>
    </w:rPr>
  </w:style>
  <w:style w:type="paragraph" w:customStyle="1" w:styleId="139">
    <w:name w:val="表格"/>
    <w:next w:val="5"/>
    <w:link w:val="138"/>
    <w:qFormat/>
    <w:uiPriority w:val="0"/>
    <w:pPr>
      <w:spacing w:line="0" w:lineRule="atLeast"/>
      <w:jc w:val="center"/>
    </w:pPr>
    <w:rPr>
      <w:rFonts w:ascii="宋体" w:hAnsi="Times New Roman" w:eastAsia="宋体" w:cs="Times New Roman"/>
      <w:iCs/>
      <w:sz w:val="21"/>
      <w:lang w:val="en-US" w:eastAsia="zh-CN" w:bidi="ar-SA"/>
    </w:rPr>
  </w:style>
  <w:style w:type="paragraph" w:customStyle="1" w:styleId="140">
    <w:name w:val="表内大文字"/>
    <w:basedOn w:val="1"/>
    <w:qFormat/>
    <w:uiPriority w:val="0"/>
    <w:pPr>
      <w:adjustRightInd w:val="0"/>
      <w:snapToGrid w:val="0"/>
      <w:spacing w:line="240" w:lineRule="atLeast"/>
      <w:jc w:val="center"/>
    </w:pPr>
    <w:rPr>
      <w:szCs w:val="24"/>
    </w:rPr>
  </w:style>
  <w:style w:type="character" w:customStyle="1" w:styleId="141">
    <w:name w:val="热电厂正文 Char"/>
    <w:link w:val="142"/>
    <w:qFormat/>
    <w:locked/>
    <w:uiPriority w:val="0"/>
    <w:rPr>
      <w:rFonts w:ascii="宋体" w:hAnsi="宋体"/>
      <w:kern w:val="2"/>
      <w:sz w:val="24"/>
    </w:rPr>
  </w:style>
  <w:style w:type="paragraph" w:customStyle="1" w:styleId="142">
    <w:name w:val="热电厂正文"/>
    <w:basedOn w:val="1"/>
    <w:link w:val="141"/>
    <w:qFormat/>
    <w:uiPriority w:val="0"/>
    <w:pPr>
      <w:spacing w:line="440" w:lineRule="exact"/>
      <w:ind w:firstLine="480" w:firstLineChars="200"/>
    </w:pPr>
    <w:rPr>
      <w:rFonts w:ascii="宋体" w:hAnsi="宋体"/>
      <w:sz w:val="24"/>
      <w:szCs w:val="20"/>
      <w:lang w:val="zh-CN"/>
    </w:rPr>
  </w:style>
  <w:style w:type="paragraph" w:customStyle="1" w:styleId="143">
    <w:name w:val="表格1"/>
    <w:basedOn w:val="1"/>
    <w:qFormat/>
    <w:uiPriority w:val="0"/>
    <w:pPr>
      <w:adjustRightInd w:val="0"/>
      <w:spacing w:line="400" w:lineRule="atLeast"/>
      <w:jc w:val="center"/>
    </w:pPr>
    <w:rPr>
      <w:kern w:val="0"/>
      <w:szCs w:val="20"/>
    </w:rPr>
  </w:style>
  <w:style w:type="character" w:customStyle="1" w:styleId="144">
    <w:name w:val="李表名 Char"/>
    <w:link w:val="145"/>
    <w:qFormat/>
    <w:uiPriority w:val="0"/>
    <w:rPr>
      <w:b/>
      <w:sz w:val="21"/>
      <w:szCs w:val="21"/>
    </w:rPr>
  </w:style>
  <w:style w:type="paragraph" w:customStyle="1" w:styleId="145">
    <w:name w:val="李表名"/>
    <w:basedOn w:val="1"/>
    <w:link w:val="144"/>
    <w:qFormat/>
    <w:uiPriority w:val="0"/>
    <w:pPr>
      <w:spacing w:before="50" w:beforeLines="50" w:line="360" w:lineRule="auto"/>
      <w:jc w:val="center"/>
    </w:pPr>
    <w:rPr>
      <w:b/>
      <w:kern w:val="0"/>
      <w:szCs w:val="21"/>
      <w:lang w:val="zh-CN"/>
    </w:rPr>
  </w:style>
  <w:style w:type="character" w:customStyle="1" w:styleId="146">
    <w:name w:val="表题 Char Char"/>
    <w:link w:val="147"/>
    <w:qFormat/>
    <w:uiPriority w:val="0"/>
    <w:rPr>
      <w:rFonts w:cs="宋体"/>
      <w:b/>
      <w:kern w:val="2"/>
      <w:sz w:val="24"/>
      <w:szCs w:val="24"/>
    </w:rPr>
  </w:style>
  <w:style w:type="paragraph" w:customStyle="1" w:styleId="147">
    <w:name w:val="表题"/>
    <w:basedOn w:val="1"/>
    <w:link w:val="146"/>
    <w:qFormat/>
    <w:uiPriority w:val="0"/>
    <w:pPr>
      <w:widowControl/>
      <w:spacing w:line="400" w:lineRule="exact"/>
      <w:ind w:firstLine="200" w:firstLineChars="200"/>
      <w:jc w:val="center"/>
    </w:pPr>
    <w:rPr>
      <w:b/>
      <w:sz w:val="24"/>
      <w:szCs w:val="24"/>
      <w:lang w:val="zh-CN"/>
    </w:rPr>
  </w:style>
  <w:style w:type="character" w:customStyle="1" w:styleId="148">
    <w:name w:val="正文(首行缩进) Char Char"/>
    <w:link w:val="149"/>
    <w:qFormat/>
    <w:uiPriority w:val="0"/>
    <w:rPr>
      <w:rFonts w:ascii="Plotter" w:hAnsi="Plotter" w:cs="Plotter"/>
      <w:kern w:val="24"/>
      <w:sz w:val="24"/>
      <w:szCs w:val="24"/>
    </w:rPr>
  </w:style>
  <w:style w:type="paragraph" w:customStyle="1" w:styleId="149">
    <w:name w:val="正文(首行缩进)"/>
    <w:basedOn w:val="1"/>
    <w:link w:val="148"/>
    <w:qFormat/>
    <w:uiPriority w:val="0"/>
    <w:pPr>
      <w:widowControl/>
      <w:adjustRightInd w:val="0"/>
      <w:snapToGrid w:val="0"/>
      <w:spacing w:line="360" w:lineRule="auto"/>
      <w:ind w:firstLine="200" w:firstLineChars="200"/>
      <w:jc w:val="left"/>
    </w:pPr>
    <w:rPr>
      <w:rFonts w:ascii="Plotter" w:hAnsi="Plotter"/>
      <w:kern w:val="24"/>
      <w:sz w:val="24"/>
      <w:szCs w:val="24"/>
      <w:lang w:val="zh-CN"/>
    </w:rPr>
  </w:style>
  <w:style w:type="character" w:customStyle="1" w:styleId="150">
    <w:name w:val="6表(图)头 Char"/>
    <w:link w:val="151"/>
    <w:qFormat/>
    <w:uiPriority w:val="0"/>
    <w:rPr>
      <w:rFonts w:eastAsia="黑体"/>
      <w:b/>
      <w:bCs/>
      <w:sz w:val="28"/>
      <w:lang w:val="en-US" w:eastAsia="zh-CN" w:bidi="ar-SA"/>
    </w:rPr>
  </w:style>
  <w:style w:type="paragraph" w:customStyle="1" w:styleId="151">
    <w:name w:val="6表(图)头"/>
    <w:next w:val="1"/>
    <w:link w:val="150"/>
    <w:qFormat/>
    <w:uiPriority w:val="0"/>
    <w:pPr>
      <w:widowControl w:val="0"/>
      <w:spacing w:line="360" w:lineRule="auto"/>
      <w:jc w:val="center"/>
    </w:pPr>
    <w:rPr>
      <w:rFonts w:ascii="Times New Roman" w:hAnsi="Times New Roman" w:eastAsia="黑体" w:cs="Times New Roman"/>
      <w:b/>
      <w:bCs/>
      <w:sz w:val="28"/>
      <w:lang w:val="en-US" w:eastAsia="zh-CN" w:bidi="ar-SA"/>
    </w:rPr>
  </w:style>
  <w:style w:type="character" w:customStyle="1" w:styleId="152">
    <w:name w:val="表、图名 Char Char"/>
    <w:link w:val="153"/>
    <w:qFormat/>
    <w:uiPriority w:val="0"/>
    <w:rPr>
      <w:rFonts w:eastAsia="Times New Roman"/>
      <w:b/>
      <w:kern w:val="2"/>
      <w:sz w:val="21"/>
      <w:szCs w:val="24"/>
      <w:lang w:val="en-US" w:eastAsia="zh-CN" w:bidi="ar-SA"/>
    </w:rPr>
  </w:style>
  <w:style w:type="paragraph" w:customStyle="1" w:styleId="153">
    <w:name w:val="表、图名"/>
    <w:link w:val="152"/>
    <w:qFormat/>
    <w:uiPriority w:val="0"/>
    <w:pPr>
      <w:spacing w:before="120" w:line="360" w:lineRule="auto"/>
      <w:jc w:val="center"/>
    </w:pPr>
    <w:rPr>
      <w:rFonts w:ascii="Times New Roman" w:hAnsi="Times New Roman" w:eastAsia="Times New Roman" w:cs="Times New Roman"/>
      <w:b/>
      <w:kern w:val="2"/>
      <w:sz w:val="21"/>
      <w:szCs w:val="24"/>
      <w:lang w:val="en-US" w:eastAsia="zh-CN" w:bidi="ar-SA"/>
    </w:rPr>
  </w:style>
  <w:style w:type="character" w:customStyle="1" w:styleId="154">
    <w:name w:val="文本正文 Char"/>
    <w:link w:val="155"/>
    <w:qFormat/>
    <w:uiPriority w:val="0"/>
    <w:rPr>
      <w:kern w:val="2"/>
      <w:sz w:val="24"/>
      <w:szCs w:val="24"/>
    </w:rPr>
  </w:style>
  <w:style w:type="paragraph" w:customStyle="1" w:styleId="155">
    <w:name w:val="文本正文"/>
    <w:basedOn w:val="1"/>
    <w:link w:val="154"/>
    <w:qFormat/>
    <w:uiPriority w:val="0"/>
    <w:pPr>
      <w:widowControl/>
      <w:adjustRightInd w:val="0"/>
      <w:snapToGrid w:val="0"/>
      <w:spacing w:afterLines="50" w:line="300" w:lineRule="auto"/>
      <w:ind w:firstLine="480" w:firstLineChars="200"/>
      <w:jc w:val="left"/>
    </w:pPr>
    <w:rPr>
      <w:sz w:val="24"/>
      <w:szCs w:val="24"/>
      <w:lang w:val="zh-CN"/>
    </w:rPr>
  </w:style>
  <w:style w:type="character" w:customStyle="1" w:styleId="156">
    <w:name w:val="我的正文 Char Char Char"/>
    <w:qFormat/>
    <w:uiPriority w:val="0"/>
    <w:rPr>
      <w:kern w:val="2"/>
      <w:sz w:val="24"/>
      <w:szCs w:val="24"/>
      <w:lang w:val="en-US" w:eastAsia="zh-CN" w:bidi="ar-SA"/>
    </w:rPr>
  </w:style>
  <w:style w:type="paragraph" w:customStyle="1" w:styleId="157">
    <w:name w:val="表格表头"/>
    <w:basedOn w:val="133"/>
    <w:link w:val="158"/>
    <w:qFormat/>
    <w:uiPriority w:val="0"/>
    <w:rPr>
      <w:bCs/>
    </w:rPr>
  </w:style>
  <w:style w:type="character" w:customStyle="1" w:styleId="158">
    <w:name w:val="表格表头 字符"/>
    <w:basedOn w:val="59"/>
    <w:link w:val="157"/>
    <w:qFormat/>
    <w:uiPriority w:val="0"/>
    <w:rPr>
      <w:b/>
      <w:bCs/>
      <w:sz w:val="24"/>
      <w:szCs w:val="24"/>
      <w:lang w:val="zh-CN"/>
    </w:rPr>
  </w:style>
  <w:style w:type="character" w:customStyle="1" w:styleId="159">
    <w:name w:val="陈正文和符号 Char"/>
    <w:link w:val="160"/>
    <w:qFormat/>
    <w:uiPriority w:val="0"/>
    <w:rPr>
      <w:color w:val="000000"/>
      <w:sz w:val="24"/>
      <w:szCs w:val="28"/>
    </w:rPr>
  </w:style>
  <w:style w:type="paragraph" w:customStyle="1" w:styleId="160">
    <w:name w:val="陈正文和符号"/>
    <w:basedOn w:val="1"/>
    <w:next w:val="1"/>
    <w:link w:val="159"/>
    <w:qFormat/>
    <w:uiPriority w:val="0"/>
    <w:pPr>
      <w:widowControl/>
      <w:spacing w:line="360" w:lineRule="auto"/>
      <w:ind w:firstLine="480" w:firstLineChars="200"/>
      <w:jc w:val="left"/>
    </w:pPr>
    <w:rPr>
      <w:color w:val="000000"/>
      <w:kern w:val="0"/>
      <w:sz w:val="24"/>
      <w:szCs w:val="28"/>
      <w:lang w:val="zh-CN"/>
    </w:rPr>
  </w:style>
  <w:style w:type="character" w:customStyle="1" w:styleId="161">
    <w:name w:val="表名 Char Char"/>
    <w:qFormat/>
    <w:uiPriority w:val="0"/>
    <w:rPr>
      <w:rFonts w:eastAsia="宋体" w:cs="宋体"/>
      <w:b/>
      <w:kern w:val="2"/>
      <w:sz w:val="24"/>
      <w:szCs w:val="24"/>
      <w:lang w:val="en-US" w:eastAsia="zh-CN" w:bidi="ar-SA"/>
    </w:rPr>
  </w:style>
  <w:style w:type="character" w:customStyle="1" w:styleId="162">
    <w:name w:val="identication Char1"/>
    <w:qFormat/>
    <w:uiPriority w:val="0"/>
    <w:rPr>
      <w:rFonts w:eastAsia="宋体"/>
      <w:kern w:val="2"/>
      <w:sz w:val="28"/>
      <w:szCs w:val="28"/>
      <w:lang w:val="en-US" w:eastAsia="zh-CN" w:bidi="ar-SA"/>
    </w:rPr>
  </w:style>
  <w:style w:type="character" w:customStyle="1" w:styleId="163">
    <w:name w:val="表名 Char"/>
    <w:link w:val="164"/>
    <w:qFormat/>
    <w:uiPriority w:val="0"/>
    <w:rPr>
      <w:rFonts w:cs="宋体"/>
      <w:b/>
      <w:kern w:val="2"/>
      <w:sz w:val="24"/>
      <w:szCs w:val="24"/>
    </w:rPr>
  </w:style>
  <w:style w:type="paragraph" w:customStyle="1" w:styleId="164">
    <w:name w:val="表名"/>
    <w:basedOn w:val="1"/>
    <w:link w:val="163"/>
    <w:qFormat/>
    <w:uiPriority w:val="0"/>
    <w:pPr>
      <w:widowControl/>
      <w:spacing w:line="360" w:lineRule="auto"/>
      <w:jc w:val="center"/>
    </w:pPr>
    <w:rPr>
      <w:b/>
      <w:sz w:val="24"/>
      <w:szCs w:val="24"/>
      <w:lang w:val="zh-CN"/>
    </w:rPr>
  </w:style>
  <w:style w:type="character" w:customStyle="1" w:styleId="165">
    <w:name w:val="4标题 Char Char"/>
    <w:link w:val="166"/>
    <w:qFormat/>
    <w:uiPriority w:val="0"/>
    <w:rPr>
      <w:rFonts w:eastAsia="黑体"/>
      <w:sz w:val="28"/>
    </w:rPr>
  </w:style>
  <w:style w:type="paragraph" w:customStyle="1" w:styleId="166">
    <w:name w:val="4标题"/>
    <w:basedOn w:val="1"/>
    <w:next w:val="1"/>
    <w:link w:val="165"/>
    <w:qFormat/>
    <w:uiPriority w:val="0"/>
    <w:pPr>
      <w:widowControl/>
      <w:adjustRightInd w:val="0"/>
      <w:snapToGrid w:val="0"/>
      <w:spacing w:line="360" w:lineRule="auto"/>
      <w:jc w:val="left"/>
      <w:textAlignment w:val="baseline"/>
      <w:outlineLvl w:val="2"/>
    </w:pPr>
    <w:rPr>
      <w:rFonts w:eastAsia="黑体"/>
      <w:kern w:val="0"/>
      <w:sz w:val="28"/>
      <w:szCs w:val="20"/>
      <w:lang w:val="zh-CN"/>
    </w:rPr>
  </w:style>
  <w:style w:type="character" w:customStyle="1" w:styleId="167">
    <w:name w:val="表格文字nana Char Char"/>
    <w:link w:val="168"/>
    <w:qFormat/>
    <w:uiPriority w:val="0"/>
    <w:rPr>
      <w:rFonts w:ascii="宋体" w:hAnsi="宋体" w:eastAsia="仿宋_GB2312" w:cs="宋体"/>
      <w:snapToGrid w:val="0"/>
      <w:color w:val="000000"/>
      <w:kern w:val="2"/>
      <w:sz w:val="21"/>
      <w:szCs w:val="21"/>
      <w:lang w:bidi="en-US"/>
    </w:rPr>
  </w:style>
  <w:style w:type="paragraph" w:customStyle="1" w:styleId="168">
    <w:name w:val="表格文字nana"/>
    <w:basedOn w:val="1"/>
    <w:link w:val="167"/>
    <w:qFormat/>
    <w:uiPriority w:val="0"/>
    <w:pPr>
      <w:widowControl/>
      <w:spacing w:line="300" w:lineRule="auto"/>
      <w:jc w:val="center"/>
    </w:pPr>
    <w:rPr>
      <w:rFonts w:ascii="宋体" w:hAnsi="宋体" w:eastAsia="仿宋_GB2312" w:cs="宋体"/>
      <w:snapToGrid w:val="0"/>
      <w:color w:val="000000"/>
      <w:szCs w:val="21"/>
      <w:lang w:val="zh-CN" w:bidi="en-US"/>
    </w:rPr>
  </w:style>
  <w:style w:type="character" w:customStyle="1" w:styleId="169">
    <w:name w:val="表格内文字 Char"/>
    <w:link w:val="170"/>
    <w:qFormat/>
    <w:uiPriority w:val="0"/>
    <w:rPr>
      <w:rFonts w:cs="宋体"/>
      <w:color w:val="000000"/>
      <w:sz w:val="21"/>
      <w:szCs w:val="21"/>
    </w:rPr>
  </w:style>
  <w:style w:type="paragraph" w:customStyle="1" w:styleId="170">
    <w:name w:val="表格内文字"/>
    <w:basedOn w:val="1"/>
    <w:link w:val="169"/>
    <w:qFormat/>
    <w:uiPriority w:val="0"/>
    <w:pPr>
      <w:widowControl/>
      <w:tabs>
        <w:tab w:val="left" w:pos="1980"/>
        <w:tab w:val="left" w:pos="3825"/>
        <w:tab w:val="left" w:pos="4680"/>
      </w:tabs>
      <w:jc w:val="center"/>
    </w:pPr>
    <w:rPr>
      <w:color w:val="000000"/>
      <w:kern w:val="0"/>
      <w:szCs w:val="21"/>
      <w:lang w:val="zh-CN"/>
    </w:rPr>
  </w:style>
  <w:style w:type="character" w:customStyle="1" w:styleId="171">
    <w:name w:val="公式编号 Char Char"/>
    <w:qFormat/>
    <w:uiPriority w:val="0"/>
    <w:rPr>
      <w:rFonts w:eastAsia="宋体" w:cs="宋体"/>
      <w:kern w:val="2"/>
      <w:sz w:val="21"/>
      <w:szCs w:val="24"/>
      <w:lang w:val="en-US" w:eastAsia="zh-CN" w:bidi="ar-SA"/>
    </w:rPr>
  </w:style>
  <w:style w:type="character" w:customStyle="1" w:styleId="172">
    <w:name w:val="标题 2 Char"/>
    <w:qFormat/>
    <w:uiPriority w:val="9"/>
    <w:rPr>
      <w:rFonts w:eastAsia="宋体"/>
      <w:b/>
      <w:kern w:val="2"/>
      <w:sz w:val="30"/>
      <w:szCs w:val="24"/>
      <w:lang w:val="en-US" w:eastAsia="zh-CN" w:bidi="ar-SA"/>
    </w:rPr>
  </w:style>
  <w:style w:type="character" w:customStyle="1" w:styleId="173">
    <w:name w:val="文本 Char"/>
    <w:qFormat/>
    <w:uiPriority w:val="0"/>
    <w:rPr>
      <w:rFonts w:eastAsia="宋体" w:cs="宋体"/>
      <w:sz w:val="24"/>
      <w:szCs w:val="24"/>
      <w:lang w:val="en-US" w:eastAsia="zh-CN" w:bidi="ar-SA"/>
    </w:rPr>
  </w:style>
  <w:style w:type="character" w:customStyle="1" w:styleId="174">
    <w:name w:val="正文首行缩进 Char1"/>
    <w:basedOn w:val="85"/>
    <w:semiHidden/>
    <w:qFormat/>
    <w:uiPriority w:val="99"/>
    <w:rPr>
      <w:kern w:val="2"/>
      <w:sz w:val="21"/>
      <w:szCs w:val="22"/>
    </w:rPr>
  </w:style>
  <w:style w:type="character" w:customStyle="1" w:styleId="175">
    <w:name w:val="表格头 Char"/>
    <w:qFormat/>
    <w:uiPriority w:val="0"/>
    <w:rPr>
      <w:rFonts w:eastAsia="宋体"/>
      <w:b/>
      <w:bCs/>
      <w:kern w:val="44"/>
      <w:position w:val="-28"/>
      <w:sz w:val="24"/>
      <w:szCs w:val="24"/>
      <w:lang w:val="en-US" w:eastAsia="zh-CN" w:bidi="ar-SA"/>
    </w:rPr>
  </w:style>
  <w:style w:type="character" w:customStyle="1" w:styleId="176">
    <w:name w:val="样式 标题 3条标题1.1.13h33rd levelH3l3CT + 黑色 Char Char"/>
    <w:link w:val="177"/>
    <w:qFormat/>
    <w:uiPriority w:val="0"/>
    <w:rPr>
      <w:rFonts w:ascii="宋体" w:hAnsi="宋体"/>
      <w:b/>
      <w:bCs/>
      <w:kern w:val="2"/>
      <w:sz w:val="28"/>
      <w:szCs w:val="28"/>
    </w:rPr>
  </w:style>
  <w:style w:type="paragraph" w:customStyle="1" w:styleId="177">
    <w:name w:val="样式 标题 3条标题1.1.13h33rd levelH3l3CT + 黑色"/>
    <w:basedOn w:val="6"/>
    <w:link w:val="176"/>
    <w:qFormat/>
    <w:uiPriority w:val="0"/>
    <w:pPr>
      <w:widowControl/>
      <w:numPr>
        <w:numId w:val="0"/>
      </w:numPr>
      <w:spacing w:before="0" w:beforeLines="0" w:after="0" w:afterLines="0"/>
    </w:pPr>
    <w:rPr>
      <w:rFonts w:ascii="宋体" w:hAnsi="宋体" w:eastAsia="宋体"/>
      <w:bCs/>
      <w:kern w:val="2"/>
      <w:sz w:val="28"/>
      <w:szCs w:val="28"/>
    </w:rPr>
  </w:style>
  <w:style w:type="character" w:customStyle="1" w:styleId="178">
    <w:name w:val="2 二级标题 Char"/>
    <w:link w:val="179"/>
    <w:qFormat/>
    <w:uiPriority w:val="0"/>
    <w:rPr>
      <w:b/>
      <w:bCs/>
      <w:kern w:val="2"/>
      <w:sz w:val="30"/>
      <w:szCs w:val="30"/>
    </w:rPr>
  </w:style>
  <w:style w:type="paragraph" w:customStyle="1" w:styleId="179">
    <w:name w:val="2 二级标题"/>
    <w:basedOn w:val="4"/>
    <w:link w:val="178"/>
    <w:qFormat/>
    <w:uiPriority w:val="0"/>
    <w:pPr>
      <w:widowControl/>
      <w:numPr>
        <w:numId w:val="0"/>
      </w:numPr>
      <w:spacing w:before="10" w:beforeLines="0" w:after="10" w:afterLines="0"/>
    </w:pPr>
    <w:rPr>
      <w:rFonts w:ascii="Times New Roman" w:hAnsi="Times New Roman" w:eastAsia="宋体"/>
      <w:bCs/>
      <w:kern w:val="2"/>
      <w:sz w:val="30"/>
      <w:szCs w:val="30"/>
    </w:rPr>
  </w:style>
  <w:style w:type="character" w:customStyle="1" w:styleId="180">
    <w:name w:val="标题三啊啊啊 Char"/>
    <w:link w:val="181"/>
    <w:qFormat/>
    <w:uiPriority w:val="0"/>
    <w:rPr>
      <w:b/>
      <w:bCs/>
      <w:color w:val="000000"/>
      <w:kern w:val="2"/>
      <w:sz w:val="24"/>
      <w:szCs w:val="24"/>
    </w:rPr>
  </w:style>
  <w:style w:type="paragraph" w:customStyle="1" w:styleId="181">
    <w:name w:val="标题三啊啊啊"/>
    <w:basedOn w:val="6"/>
    <w:link w:val="180"/>
    <w:qFormat/>
    <w:uiPriority w:val="0"/>
    <w:pPr>
      <w:widowControl/>
      <w:numPr>
        <w:numId w:val="0"/>
      </w:numPr>
      <w:spacing w:before="0" w:beforeLines="0"/>
    </w:pPr>
    <w:rPr>
      <w:rFonts w:eastAsia="宋体"/>
      <w:bCs/>
      <w:color w:val="000000"/>
      <w:kern w:val="2"/>
      <w:sz w:val="24"/>
      <w:szCs w:val="24"/>
    </w:rPr>
  </w:style>
  <w:style w:type="character" w:customStyle="1" w:styleId="182">
    <w:name w:val="5表头 Char Char"/>
    <w:link w:val="183"/>
    <w:qFormat/>
    <w:uiPriority w:val="0"/>
    <w:rPr>
      <w:rFonts w:eastAsia="黑体" w:cs="宋体"/>
      <w:kern w:val="2"/>
      <w:sz w:val="24"/>
    </w:rPr>
  </w:style>
  <w:style w:type="paragraph" w:customStyle="1" w:styleId="183">
    <w:name w:val="5表头"/>
    <w:basedOn w:val="1"/>
    <w:link w:val="182"/>
    <w:qFormat/>
    <w:uiPriority w:val="0"/>
    <w:pPr>
      <w:widowControl/>
      <w:spacing w:before="156" w:beforeLines="50" w:line="360" w:lineRule="auto"/>
      <w:jc w:val="center"/>
    </w:pPr>
    <w:rPr>
      <w:rFonts w:eastAsia="黑体"/>
      <w:sz w:val="24"/>
      <w:szCs w:val="20"/>
      <w:lang w:val="zh-CN"/>
    </w:rPr>
  </w:style>
  <w:style w:type="character" w:customStyle="1" w:styleId="184">
    <w:name w:val="font31"/>
    <w:qFormat/>
    <w:uiPriority w:val="0"/>
    <w:rPr>
      <w:rFonts w:hint="default" w:ascii="Times New Roman" w:hAnsi="Times New Roman" w:cs="Times New Roman"/>
      <w:color w:val="000000"/>
      <w:sz w:val="20"/>
      <w:szCs w:val="20"/>
      <w:u w:val="none"/>
      <w:vertAlign w:val="superscript"/>
    </w:rPr>
  </w:style>
  <w:style w:type="character" w:customStyle="1" w:styleId="185">
    <w:name w:val="7表格(治) Char"/>
    <w:link w:val="186"/>
    <w:qFormat/>
    <w:uiPriority w:val="0"/>
    <w:rPr>
      <w:rFonts w:eastAsia="楷体_GB2312" w:cs="宋体"/>
      <w:kern w:val="2"/>
      <w:sz w:val="21"/>
      <w:szCs w:val="36"/>
      <w:lang w:val="en-US" w:eastAsia="zh-CN" w:bidi="ar-SA"/>
    </w:rPr>
  </w:style>
  <w:style w:type="paragraph" w:customStyle="1" w:styleId="186">
    <w:name w:val="7表格(治)"/>
    <w:link w:val="185"/>
    <w:qFormat/>
    <w:uiPriority w:val="0"/>
    <w:pPr>
      <w:widowControl w:val="0"/>
      <w:tabs>
        <w:tab w:val="center" w:pos="4153"/>
        <w:tab w:val="right" w:pos="8306"/>
      </w:tabs>
      <w:suppressAutoHyphens/>
      <w:snapToGrid w:val="0"/>
      <w:jc w:val="center"/>
    </w:pPr>
    <w:rPr>
      <w:rFonts w:ascii="Times New Roman" w:hAnsi="Times New Roman" w:eastAsia="楷体_GB2312" w:cs="宋体"/>
      <w:kern w:val="2"/>
      <w:sz w:val="21"/>
      <w:szCs w:val="36"/>
      <w:lang w:val="en-US" w:eastAsia="zh-CN" w:bidi="ar-SA"/>
    </w:rPr>
  </w:style>
  <w:style w:type="character" w:customStyle="1" w:styleId="187">
    <w:name w:val="普通文字 Char Char Char Char1"/>
    <w:qFormat/>
    <w:uiPriority w:val="0"/>
    <w:rPr>
      <w:rFonts w:ascii="宋体" w:hAnsi="Courier New" w:cs="Courier New"/>
      <w:kern w:val="2"/>
      <w:sz w:val="24"/>
      <w:szCs w:val="21"/>
    </w:rPr>
  </w:style>
  <w:style w:type="character" w:customStyle="1" w:styleId="188">
    <w:name w:val="content1"/>
    <w:qFormat/>
    <w:uiPriority w:val="0"/>
    <w:rPr>
      <w:rFonts w:hint="default"/>
      <w:sz w:val="18"/>
    </w:rPr>
  </w:style>
  <w:style w:type="character" w:customStyle="1" w:styleId="189">
    <w:name w:val="小表格名称 Char"/>
    <w:link w:val="190"/>
    <w:qFormat/>
    <w:uiPriority w:val="0"/>
    <w:rPr>
      <w:rFonts w:cs="宋体"/>
      <w:kern w:val="2"/>
      <w:sz w:val="21"/>
      <w:szCs w:val="24"/>
    </w:rPr>
  </w:style>
  <w:style w:type="paragraph" w:customStyle="1" w:styleId="190">
    <w:name w:val="小表格名称"/>
    <w:basedOn w:val="131"/>
    <w:link w:val="189"/>
    <w:qFormat/>
    <w:uiPriority w:val="0"/>
    <w:pPr>
      <w:ind w:firstLine="0" w:firstLineChars="0"/>
      <w:jc w:val="center"/>
    </w:pPr>
    <w:rPr>
      <w:sz w:val="21"/>
    </w:rPr>
  </w:style>
  <w:style w:type="character" w:customStyle="1" w:styleId="191">
    <w:name w:val="表格标注 Char Char"/>
    <w:link w:val="192"/>
    <w:qFormat/>
    <w:uiPriority w:val="0"/>
    <w:rPr>
      <w:kern w:val="2"/>
      <w:sz w:val="21"/>
      <w:szCs w:val="21"/>
    </w:rPr>
  </w:style>
  <w:style w:type="paragraph" w:customStyle="1" w:styleId="192">
    <w:name w:val="表格标注"/>
    <w:basedOn w:val="1"/>
    <w:link w:val="191"/>
    <w:qFormat/>
    <w:uiPriority w:val="0"/>
    <w:pPr>
      <w:widowControl/>
      <w:tabs>
        <w:tab w:val="left" w:pos="3825"/>
        <w:tab w:val="left" w:pos="4680"/>
      </w:tabs>
      <w:ind w:firstLine="420" w:firstLineChars="200"/>
      <w:jc w:val="left"/>
    </w:pPr>
    <w:rPr>
      <w:szCs w:val="21"/>
      <w:lang w:val="zh-CN"/>
    </w:rPr>
  </w:style>
  <w:style w:type="character" w:customStyle="1" w:styleId="193">
    <w:name w:val="副标题 Char1"/>
    <w:qFormat/>
    <w:uiPriority w:val="99"/>
    <w:rPr>
      <w:rFonts w:ascii="Cambria" w:hAnsi="Cambria" w:cs="Times New Roman"/>
      <w:b/>
      <w:bCs/>
      <w:kern w:val="28"/>
      <w:sz w:val="32"/>
      <w:szCs w:val="32"/>
    </w:rPr>
  </w:style>
  <w:style w:type="character" w:customStyle="1" w:styleId="194">
    <w:name w:val="大纲正文 Char"/>
    <w:link w:val="195"/>
    <w:qFormat/>
    <w:uiPriority w:val="0"/>
    <w:rPr>
      <w:sz w:val="24"/>
    </w:rPr>
  </w:style>
  <w:style w:type="paragraph" w:customStyle="1" w:styleId="195">
    <w:name w:val="大纲正文"/>
    <w:basedOn w:val="1"/>
    <w:link w:val="194"/>
    <w:qFormat/>
    <w:uiPriority w:val="0"/>
    <w:pPr>
      <w:widowControl/>
      <w:adjustRightInd w:val="0"/>
      <w:snapToGrid w:val="0"/>
      <w:spacing w:line="300" w:lineRule="auto"/>
      <w:jc w:val="left"/>
    </w:pPr>
    <w:rPr>
      <w:kern w:val="0"/>
      <w:sz w:val="24"/>
      <w:szCs w:val="20"/>
      <w:lang w:val="zh-CN"/>
    </w:rPr>
  </w:style>
  <w:style w:type="character" w:customStyle="1" w:styleId="196">
    <w:name w:val="普通文字 Char Char2"/>
    <w:qFormat/>
    <w:uiPriority w:val="0"/>
    <w:rPr>
      <w:rFonts w:ascii="宋体" w:hAnsi="Courier New" w:eastAsia="宋体"/>
      <w:kern w:val="2"/>
      <w:sz w:val="21"/>
      <w:lang w:val="en-US" w:eastAsia="zh-CN" w:bidi="ar-SA"/>
    </w:rPr>
  </w:style>
  <w:style w:type="character" w:customStyle="1" w:styleId="197">
    <w:name w:val="表头 小四 加粗 Char Char"/>
    <w:qFormat/>
    <w:uiPriority w:val="0"/>
    <w:rPr>
      <w:rFonts w:eastAsia="宋体"/>
      <w:b/>
      <w:kern w:val="2"/>
      <w:sz w:val="24"/>
      <w:szCs w:val="24"/>
      <w:lang w:val="en-US" w:eastAsia="zh-CN" w:bidi="ar-SA"/>
    </w:rPr>
  </w:style>
  <w:style w:type="character" w:customStyle="1" w:styleId="198">
    <w:name w:val="标题1.1.1 Char"/>
    <w:link w:val="199"/>
    <w:qFormat/>
    <w:uiPriority w:val="0"/>
    <w:rPr>
      <w:rFonts w:eastAsia="仿宋"/>
      <w:b/>
      <w:bCs/>
      <w:kern w:val="2"/>
      <w:sz w:val="28"/>
      <w:szCs w:val="28"/>
    </w:rPr>
  </w:style>
  <w:style w:type="paragraph" w:customStyle="1" w:styleId="199">
    <w:name w:val="标题1.1.1"/>
    <w:basedOn w:val="6"/>
    <w:next w:val="6"/>
    <w:link w:val="198"/>
    <w:qFormat/>
    <w:uiPriority w:val="0"/>
    <w:pPr>
      <w:widowControl/>
      <w:numPr>
        <w:numId w:val="0"/>
      </w:numPr>
      <w:spacing w:before="0" w:beforeLines="0" w:after="0" w:afterLines="0"/>
      <w:ind w:firstLine="100" w:firstLineChars="100"/>
    </w:pPr>
    <w:rPr>
      <w:rFonts w:eastAsia="仿宋"/>
      <w:bCs/>
      <w:kern w:val="2"/>
      <w:sz w:val="28"/>
      <w:szCs w:val="28"/>
    </w:rPr>
  </w:style>
  <w:style w:type="character" w:customStyle="1" w:styleId="200">
    <w:name w:val="纯文本 Char1"/>
    <w:qFormat/>
    <w:uiPriority w:val="0"/>
    <w:rPr>
      <w:rFonts w:ascii="宋体" w:hAnsi="Courier New" w:cs="Courier New"/>
      <w:kern w:val="2"/>
      <w:sz w:val="21"/>
      <w:szCs w:val="21"/>
    </w:rPr>
  </w:style>
  <w:style w:type="character" w:customStyle="1" w:styleId="201">
    <w:name w:val="123YJ Char Char"/>
    <w:qFormat/>
    <w:uiPriority w:val="0"/>
    <w:rPr>
      <w:rFonts w:eastAsia="宋体"/>
      <w:kern w:val="2"/>
      <w:sz w:val="18"/>
      <w:szCs w:val="18"/>
      <w:lang w:bidi="ar-SA"/>
    </w:rPr>
  </w:style>
  <w:style w:type="character" w:customStyle="1" w:styleId="202">
    <w:name w:val="题注2 Char Char"/>
    <w:link w:val="203"/>
    <w:qFormat/>
    <w:uiPriority w:val="0"/>
    <w:rPr>
      <w:rFonts w:ascii="Arial" w:hAnsi="Arial" w:cs="宋体"/>
      <w:kern w:val="2"/>
      <w:sz w:val="18"/>
      <w:szCs w:val="21"/>
    </w:rPr>
  </w:style>
  <w:style w:type="paragraph" w:customStyle="1" w:styleId="203">
    <w:name w:val="题注2"/>
    <w:basedOn w:val="16"/>
    <w:link w:val="202"/>
    <w:qFormat/>
    <w:uiPriority w:val="0"/>
    <w:rPr>
      <w:rFonts w:eastAsia="宋体"/>
      <w:szCs w:val="21"/>
    </w:rPr>
  </w:style>
  <w:style w:type="character" w:customStyle="1" w:styleId="204">
    <w:name w:val="标题1 Char"/>
    <w:qFormat/>
    <w:uiPriority w:val="0"/>
    <w:rPr>
      <w:rFonts w:ascii="Calibri" w:hAnsi="Calibri" w:eastAsia="宋体"/>
      <w:b/>
      <w:bCs/>
      <w:kern w:val="44"/>
      <w:sz w:val="44"/>
      <w:szCs w:val="44"/>
      <w:lang w:val="en-US" w:eastAsia="zh-CN" w:bidi="ar-SA"/>
    </w:rPr>
  </w:style>
  <w:style w:type="character" w:customStyle="1" w:styleId="205">
    <w:name w:val="4正文 Char Char"/>
    <w:link w:val="206"/>
    <w:qFormat/>
    <w:uiPriority w:val="0"/>
    <w:rPr>
      <w:rFonts w:cs="宋体"/>
      <w:kern w:val="2"/>
      <w:sz w:val="24"/>
    </w:rPr>
  </w:style>
  <w:style w:type="paragraph" w:customStyle="1" w:styleId="206">
    <w:name w:val="4正文"/>
    <w:basedOn w:val="1"/>
    <w:link w:val="205"/>
    <w:qFormat/>
    <w:uiPriority w:val="0"/>
    <w:pPr>
      <w:widowControl/>
      <w:spacing w:line="360" w:lineRule="auto"/>
      <w:ind w:firstLine="480" w:firstLineChars="200"/>
      <w:jc w:val="left"/>
    </w:pPr>
    <w:rPr>
      <w:sz w:val="24"/>
      <w:szCs w:val="20"/>
      <w:lang w:val="zh-CN"/>
    </w:rPr>
  </w:style>
  <w:style w:type="character" w:customStyle="1" w:styleId="207">
    <w:name w:val="样式1 Char2"/>
    <w:qFormat/>
    <w:uiPriority w:val="0"/>
    <w:rPr>
      <w:rFonts w:ascii="宋体" w:hAnsi="宋体" w:eastAsia="宋体"/>
      <w:color w:val="000000"/>
      <w:kern w:val="2"/>
      <w:sz w:val="24"/>
      <w:szCs w:val="24"/>
      <w:lang w:val="en-US" w:eastAsia="zh-CN" w:bidi="ar-SA"/>
    </w:rPr>
  </w:style>
  <w:style w:type="character" w:customStyle="1" w:styleId="208">
    <w:name w:val="表与图题 题注 Char Char"/>
    <w:qFormat/>
    <w:uiPriority w:val="0"/>
    <w:rPr>
      <w:rFonts w:ascii="Arial" w:hAnsi="Arial" w:eastAsia="宋体" w:cs="宋体"/>
      <w:kern w:val="2"/>
      <w:sz w:val="18"/>
      <w:szCs w:val="21"/>
      <w:lang w:val="en-US" w:eastAsia="zh-CN" w:bidi="ar-SA"/>
    </w:rPr>
  </w:style>
  <w:style w:type="character" w:customStyle="1" w:styleId="209">
    <w:name w:val="图 Char1"/>
    <w:link w:val="210"/>
    <w:qFormat/>
    <w:uiPriority w:val="0"/>
    <w:rPr>
      <w:rFonts w:cs="宋体"/>
      <w:kern w:val="2"/>
      <w:sz w:val="21"/>
    </w:rPr>
  </w:style>
  <w:style w:type="paragraph" w:customStyle="1" w:styleId="210">
    <w:name w:val="图"/>
    <w:basedOn w:val="1"/>
    <w:link w:val="209"/>
    <w:qFormat/>
    <w:uiPriority w:val="0"/>
    <w:pPr>
      <w:widowControl/>
      <w:adjustRightInd w:val="0"/>
      <w:jc w:val="center"/>
    </w:pPr>
    <w:rPr>
      <w:szCs w:val="20"/>
      <w:lang w:val="zh-CN"/>
    </w:rPr>
  </w:style>
  <w:style w:type="character" w:customStyle="1" w:styleId="211">
    <w:name w:val="表格名称 Char Char"/>
    <w:qFormat/>
    <w:uiPriority w:val="0"/>
    <w:rPr>
      <w:rFonts w:eastAsia="宋体"/>
      <w:b/>
      <w:sz w:val="24"/>
      <w:szCs w:val="21"/>
      <w:lang w:val="en-US" w:eastAsia="zh-CN" w:bidi="ar-SA"/>
    </w:rPr>
  </w:style>
  <w:style w:type="character" w:customStyle="1" w:styleId="212">
    <w:name w:val="表格头 Char Char"/>
    <w:link w:val="213"/>
    <w:qFormat/>
    <w:uiPriority w:val="0"/>
    <w:rPr>
      <w:b/>
      <w:bCs/>
      <w:kern w:val="44"/>
      <w:position w:val="-28"/>
      <w:sz w:val="24"/>
      <w:szCs w:val="24"/>
      <w:lang w:val="en-US" w:eastAsia="zh-CN" w:bidi="ar-SA"/>
    </w:rPr>
  </w:style>
  <w:style w:type="paragraph" w:customStyle="1" w:styleId="213">
    <w:name w:val="表格头"/>
    <w:link w:val="212"/>
    <w:qFormat/>
    <w:uiPriority w:val="0"/>
    <w:pPr>
      <w:spacing w:line="360" w:lineRule="auto"/>
      <w:jc w:val="center"/>
    </w:pPr>
    <w:rPr>
      <w:rFonts w:ascii="Times New Roman" w:hAnsi="Times New Roman" w:eastAsia="宋体" w:cs="Times New Roman"/>
      <w:b/>
      <w:bCs/>
      <w:kern w:val="44"/>
      <w:position w:val="-28"/>
      <w:sz w:val="24"/>
      <w:szCs w:val="24"/>
      <w:lang w:val="en-US" w:eastAsia="zh-CN" w:bidi="ar-SA"/>
    </w:rPr>
  </w:style>
  <w:style w:type="character" w:customStyle="1" w:styleId="214">
    <w:name w:val="hps"/>
    <w:basedOn w:val="59"/>
    <w:qFormat/>
    <w:uiPriority w:val="0"/>
  </w:style>
  <w:style w:type="character" w:customStyle="1" w:styleId="215">
    <w:name w:val="表头格式1 Char"/>
    <w:link w:val="216"/>
    <w:semiHidden/>
    <w:qFormat/>
    <w:uiPriority w:val="0"/>
    <w:rPr>
      <w:rFonts w:hAnsi="宋体"/>
      <w:b/>
      <w:kern w:val="2"/>
      <w:sz w:val="24"/>
      <w:szCs w:val="24"/>
    </w:rPr>
  </w:style>
  <w:style w:type="paragraph" w:customStyle="1" w:styleId="216">
    <w:name w:val="表头格式1"/>
    <w:basedOn w:val="1"/>
    <w:link w:val="215"/>
    <w:semiHidden/>
    <w:qFormat/>
    <w:uiPriority w:val="0"/>
    <w:pPr>
      <w:widowControl/>
      <w:spacing w:line="360" w:lineRule="auto"/>
      <w:ind w:firstLine="420"/>
      <w:jc w:val="center"/>
    </w:pPr>
    <w:rPr>
      <w:rFonts w:hAnsi="宋体"/>
      <w:b/>
      <w:sz w:val="24"/>
      <w:szCs w:val="24"/>
      <w:lang w:val="zh-CN"/>
    </w:rPr>
  </w:style>
  <w:style w:type="character" w:customStyle="1" w:styleId="217">
    <w:name w:val="标题三啊啊啊 Char Char"/>
    <w:qFormat/>
    <w:uiPriority w:val="0"/>
    <w:rPr>
      <w:rFonts w:eastAsia="宋体"/>
      <w:b/>
      <w:bCs/>
      <w:color w:val="000000"/>
      <w:kern w:val="2"/>
      <w:sz w:val="24"/>
      <w:szCs w:val="24"/>
      <w:lang w:val="en-US" w:eastAsia="zh-CN" w:bidi="ar-SA"/>
    </w:rPr>
  </w:style>
  <w:style w:type="character" w:customStyle="1" w:styleId="218">
    <w:name w:val="正文文字缩进 Char Char"/>
    <w:qFormat/>
    <w:uiPriority w:val="0"/>
    <w:rPr>
      <w:rFonts w:eastAsia="宋体"/>
      <w:kern w:val="2"/>
      <w:sz w:val="21"/>
      <w:szCs w:val="24"/>
      <w:lang w:val="en-US" w:eastAsia="zh-CN" w:bidi="ar-SA"/>
    </w:rPr>
  </w:style>
  <w:style w:type="character" w:customStyle="1" w:styleId="219">
    <w:name w:val="我的正文 Char"/>
    <w:qFormat/>
    <w:uiPriority w:val="0"/>
    <w:rPr>
      <w:kern w:val="2"/>
      <w:sz w:val="24"/>
      <w:szCs w:val="24"/>
      <w:lang w:val="en-US" w:eastAsia="zh-CN" w:bidi="ar-SA"/>
    </w:rPr>
  </w:style>
  <w:style w:type="character" w:customStyle="1" w:styleId="220">
    <w:name w:val="表头 小四 加粗 Char"/>
    <w:link w:val="221"/>
    <w:qFormat/>
    <w:uiPriority w:val="0"/>
    <w:rPr>
      <w:b/>
      <w:kern w:val="2"/>
      <w:sz w:val="24"/>
      <w:szCs w:val="24"/>
    </w:rPr>
  </w:style>
  <w:style w:type="paragraph" w:customStyle="1" w:styleId="221">
    <w:name w:val="表头 小四 加粗"/>
    <w:basedOn w:val="1"/>
    <w:link w:val="220"/>
    <w:qFormat/>
    <w:uiPriority w:val="0"/>
    <w:pPr>
      <w:widowControl/>
      <w:spacing w:line="360" w:lineRule="auto"/>
      <w:jc w:val="center"/>
    </w:pPr>
    <w:rPr>
      <w:b/>
      <w:sz w:val="24"/>
      <w:szCs w:val="24"/>
      <w:lang w:val="zh-CN"/>
    </w:rPr>
  </w:style>
  <w:style w:type="character" w:customStyle="1" w:styleId="222">
    <w:name w:val="def"/>
    <w:basedOn w:val="59"/>
    <w:qFormat/>
    <w:uiPriority w:val="0"/>
  </w:style>
  <w:style w:type="character" w:customStyle="1" w:styleId="223">
    <w:name w:val="正文文本缩进 2 Char1"/>
    <w:semiHidden/>
    <w:qFormat/>
    <w:uiPriority w:val="0"/>
    <w:rPr>
      <w:kern w:val="2"/>
      <w:sz w:val="21"/>
      <w:szCs w:val="22"/>
    </w:rPr>
  </w:style>
  <w:style w:type="character" w:customStyle="1" w:styleId="224">
    <w:name w:val="正文首行缩进 2 + Times New Roman Char"/>
    <w:qFormat/>
    <w:uiPriority w:val="0"/>
    <w:rPr>
      <w:rFonts w:ascii="Arial" w:hAnsi="Arial" w:eastAsia="宋体" w:cs="Arial"/>
      <w:bCs/>
      <w:spacing w:val="6"/>
      <w:sz w:val="24"/>
      <w:szCs w:val="24"/>
      <w:lang w:val="en-US" w:eastAsia="zh-CN" w:bidi="ar-SA"/>
    </w:rPr>
  </w:style>
  <w:style w:type="character" w:customStyle="1" w:styleId="225">
    <w:name w:val="font201"/>
    <w:qFormat/>
    <w:uiPriority w:val="0"/>
  </w:style>
  <w:style w:type="character" w:customStyle="1" w:styleId="226">
    <w:name w:val="表格内文字（两端对齐） Char"/>
    <w:basedOn w:val="169"/>
    <w:qFormat/>
    <w:uiPriority w:val="0"/>
    <w:rPr>
      <w:rFonts w:cs="宋体"/>
      <w:color w:val="000000"/>
      <w:sz w:val="21"/>
      <w:szCs w:val="21"/>
    </w:rPr>
  </w:style>
  <w:style w:type="character" w:customStyle="1" w:styleId="227">
    <w:name w:val="样式 标题 3 + (中文) 宋体 首行缩进:  2 字符 Char"/>
    <w:link w:val="228"/>
    <w:qFormat/>
    <w:uiPriority w:val="0"/>
    <w:rPr>
      <w:rFonts w:cs="宋体"/>
      <w:b/>
      <w:bCs/>
      <w:kern w:val="2"/>
      <w:sz w:val="28"/>
      <w:szCs w:val="28"/>
    </w:rPr>
  </w:style>
  <w:style w:type="paragraph" w:customStyle="1" w:styleId="228">
    <w:name w:val="样式 标题 3 + (中文) 宋体 首行缩进:  2 字符"/>
    <w:basedOn w:val="6"/>
    <w:link w:val="227"/>
    <w:qFormat/>
    <w:uiPriority w:val="0"/>
    <w:pPr>
      <w:widowControl/>
      <w:numPr>
        <w:numId w:val="0"/>
      </w:numPr>
      <w:spacing w:after="0" w:afterLines="0" w:line="240" w:lineRule="auto"/>
    </w:pPr>
    <w:rPr>
      <w:rFonts w:eastAsia="宋体"/>
      <w:bCs/>
      <w:kern w:val="2"/>
      <w:sz w:val="28"/>
      <w:szCs w:val="28"/>
    </w:rPr>
  </w:style>
  <w:style w:type="character" w:customStyle="1" w:styleId="229">
    <w:name w:val="grame"/>
    <w:basedOn w:val="59"/>
    <w:qFormat/>
    <w:uiPriority w:val="0"/>
  </w:style>
  <w:style w:type="character" w:customStyle="1" w:styleId="230">
    <w:name w:val="apple-style-span"/>
    <w:basedOn w:val="59"/>
    <w:qFormat/>
    <w:uiPriority w:val="0"/>
  </w:style>
  <w:style w:type="character" w:customStyle="1" w:styleId="231">
    <w:name w:val="standard 3 Char"/>
    <w:qFormat/>
    <w:uiPriority w:val="0"/>
    <w:rPr>
      <w:rFonts w:eastAsia="宋体"/>
      <w:b/>
      <w:bCs/>
      <w:kern w:val="2"/>
      <w:sz w:val="24"/>
      <w:szCs w:val="32"/>
      <w:lang w:val="en-US" w:eastAsia="zh-CN" w:bidi="ar-SA"/>
    </w:rPr>
  </w:style>
  <w:style w:type="character" w:customStyle="1" w:styleId="232">
    <w:name w:val="我的正文 Char Char"/>
    <w:link w:val="233"/>
    <w:qFormat/>
    <w:uiPriority w:val="0"/>
    <w:rPr>
      <w:rFonts w:eastAsia="Times New Roman"/>
      <w:kern w:val="2"/>
      <w:sz w:val="24"/>
      <w:szCs w:val="24"/>
      <w:lang w:val="en-US" w:eastAsia="zh-CN" w:bidi="ar-SA"/>
    </w:rPr>
  </w:style>
  <w:style w:type="paragraph" w:customStyle="1" w:styleId="233">
    <w:name w:val="我的正文"/>
    <w:link w:val="232"/>
    <w:qFormat/>
    <w:uiPriority w:val="0"/>
    <w:pPr>
      <w:spacing w:line="360" w:lineRule="auto"/>
      <w:ind w:firstLine="200" w:firstLineChars="200"/>
      <w:jc w:val="both"/>
    </w:pPr>
    <w:rPr>
      <w:rFonts w:ascii="Times New Roman" w:hAnsi="Times New Roman" w:eastAsia="Times New Roman" w:cs="Times New Roman"/>
      <w:kern w:val="2"/>
      <w:sz w:val="24"/>
      <w:szCs w:val="24"/>
      <w:lang w:val="en-US" w:eastAsia="zh-CN" w:bidi="ar-SA"/>
    </w:rPr>
  </w:style>
  <w:style w:type="character" w:customStyle="1" w:styleId="234">
    <w:name w:val="Standard 2 Char"/>
    <w:qFormat/>
    <w:uiPriority w:val="0"/>
    <w:rPr>
      <w:rFonts w:eastAsia="宋体"/>
      <w:b/>
      <w:bCs/>
      <w:kern w:val="2"/>
      <w:sz w:val="30"/>
      <w:szCs w:val="32"/>
      <w:lang w:val="en-US" w:eastAsia="zh-CN" w:bidi="ar-SA"/>
    </w:rPr>
  </w:style>
  <w:style w:type="character" w:customStyle="1" w:styleId="235">
    <w:name w:val="段落 Char Char"/>
    <w:link w:val="236"/>
    <w:qFormat/>
    <w:uiPriority w:val="0"/>
    <w:rPr>
      <w:rFonts w:ascii="宋体" w:hAnsi="宋体"/>
      <w:kern w:val="2"/>
      <w:sz w:val="24"/>
      <w:szCs w:val="24"/>
    </w:rPr>
  </w:style>
  <w:style w:type="paragraph" w:customStyle="1" w:styleId="236">
    <w:name w:val="段落"/>
    <w:basedOn w:val="1"/>
    <w:link w:val="235"/>
    <w:qFormat/>
    <w:uiPriority w:val="0"/>
    <w:pPr>
      <w:widowControl/>
      <w:spacing w:line="360" w:lineRule="auto"/>
      <w:ind w:firstLine="480" w:firstLineChars="200"/>
      <w:jc w:val="left"/>
    </w:pPr>
    <w:rPr>
      <w:rFonts w:ascii="宋体" w:hAnsi="宋体"/>
      <w:sz w:val="24"/>
      <w:szCs w:val="24"/>
      <w:lang w:val="zh-CN"/>
    </w:rPr>
  </w:style>
  <w:style w:type="character" w:customStyle="1" w:styleId="237">
    <w:name w:val="zhang正文 Char Char"/>
    <w:link w:val="238"/>
    <w:qFormat/>
    <w:uiPriority w:val="0"/>
    <w:rPr>
      <w:rFonts w:ascii="Calibri" w:hAnsi="Calibri" w:eastAsia="楷体_GB2312"/>
      <w:sz w:val="28"/>
    </w:rPr>
  </w:style>
  <w:style w:type="paragraph" w:customStyle="1" w:styleId="238">
    <w:name w:val="zhang正文"/>
    <w:basedOn w:val="24"/>
    <w:link w:val="237"/>
    <w:qFormat/>
    <w:uiPriority w:val="0"/>
    <w:pPr>
      <w:autoSpaceDE w:val="0"/>
      <w:autoSpaceDN w:val="0"/>
      <w:adjustRightInd w:val="0"/>
      <w:snapToGrid w:val="0"/>
      <w:spacing w:after="0" w:line="500" w:lineRule="exact"/>
      <w:ind w:left="0" w:leftChars="0" w:firstLine="539" w:firstLineChars="0"/>
      <w:textAlignment w:val="baseline"/>
    </w:pPr>
    <w:rPr>
      <w:rFonts w:ascii="Calibri" w:hAnsi="Calibri" w:eastAsia="楷体_GB2312"/>
      <w:kern w:val="0"/>
      <w:sz w:val="28"/>
      <w:szCs w:val="20"/>
      <w:lang w:val="zh-CN"/>
    </w:rPr>
  </w:style>
  <w:style w:type="character" w:customStyle="1" w:styleId="239">
    <w:name w:val="图表注 Char"/>
    <w:qFormat/>
    <w:uiPriority w:val="0"/>
    <w:rPr>
      <w:rFonts w:ascii="Arial" w:hAnsi="Arial" w:eastAsia="黑体" w:cs="Arial"/>
      <w:kern w:val="2"/>
      <w:lang w:val="en-US" w:eastAsia="zh-CN" w:bidi="ar-SA"/>
    </w:rPr>
  </w:style>
  <w:style w:type="character" w:customStyle="1" w:styleId="240">
    <w:name w:val="标题1 Char1"/>
    <w:qFormat/>
    <w:uiPriority w:val="0"/>
    <w:rPr>
      <w:rFonts w:ascii="Calibri" w:hAnsi="Calibri" w:eastAsia="宋体"/>
      <w:b/>
      <w:bCs/>
      <w:kern w:val="44"/>
      <w:sz w:val="44"/>
      <w:szCs w:val="44"/>
      <w:lang w:val="en-US" w:eastAsia="zh-CN" w:bidi="ar-SA"/>
    </w:rPr>
  </w:style>
  <w:style w:type="character" w:customStyle="1" w:styleId="241">
    <w:name w:val="3 三级标题 Char"/>
    <w:link w:val="242"/>
    <w:qFormat/>
    <w:uiPriority w:val="0"/>
    <w:rPr>
      <w:b/>
      <w:kern w:val="2"/>
      <w:sz w:val="24"/>
      <w:szCs w:val="24"/>
    </w:rPr>
  </w:style>
  <w:style w:type="paragraph" w:customStyle="1" w:styleId="242">
    <w:name w:val="3 三级标题"/>
    <w:basedOn w:val="1"/>
    <w:link w:val="241"/>
    <w:qFormat/>
    <w:uiPriority w:val="0"/>
    <w:pPr>
      <w:widowControl/>
      <w:tabs>
        <w:tab w:val="left" w:pos="1980"/>
        <w:tab w:val="left" w:pos="3825"/>
        <w:tab w:val="left" w:pos="4680"/>
      </w:tabs>
      <w:spacing w:before="50" w:beforeLines="50" w:after="50" w:afterLines="50" w:line="360" w:lineRule="auto"/>
      <w:jc w:val="left"/>
      <w:outlineLvl w:val="2"/>
    </w:pPr>
    <w:rPr>
      <w:b/>
      <w:sz w:val="24"/>
      <w:szCs w:val="24"/>
      <w:lang w:val="zh-CN"/>
    </w:rPr>
  </w:style>
  <w:style w:type="character" w:customStyle="1" w:styleId="243">
    <w:name w:val="表格 Char Char1"/>
    <w:link w:val="244"/>
    <w:qFormat/>
    <w:uiPriority w:val="0"/>
    <w:rPr>
      <w:snapToGrid w:val="0"/>
      <w:sz w:val="24"/>
      <w:szCs w:val="24"/>
    </w:rPr>
  </w:style>
  <w:style w:type="paragraph" w:customStyle="1" w:styleId="244">
    <w:name w:val="表格 Char"/>
    <w:basedOn w:val="1"/>
    <w:link w:val="243"/>
    <w:qFormat/>
    <w:uiPriority w:val="0"/>
    <w:pPr>
      <w:widowControl/>
      <w:adjustRightInd w:val="0"/>
      <w:snapToGrid w:val="0"/>
      <w:jc w:val="center"/>
    </w:pPr>
    <w:rPr>
      <w:snapToGrid w:val="0"/>
      <w:kern w:val="0"/>
      <w:sz w:val="24"/>
      <w:szCs w:val="24"/>
      <w:lang w:val="zh-CN"/>
    </w:rPr>
  </w:style>
  <w:style w:type="character" w:customStyle="1" w:styleId="245">
    <w:name w:val="四级章节 Char"/>
    <w:link w:val="246"/>
    <w:qFormat/>
    <w:uiPriority w:val="0"/>
    <w:rPr>
      <w:rFonts w:ascii="宋体" w:hAnsi="宋体"/>
      <w:b/>
      <w:kern w:val="2"/>
      <w:sz w:val="24"/>
      <w:szCs w:val="24"/>
    </w:rPr>
  </w:style>
  <w:style w:type="paragraph" w:customStyle="1" w:styleId="246">
    <w:name w:val="四级章节"/>
    <w:basedOn w:val="1"/>
    <w:link w:val="245"/>
    <w:qFormat/>
    <w:uiPriority w:val="0"/>
    <w:pPr>
      <w:widowControl/>
      <w:spacing w:line="360" w:lineRule="auto"/>
      <w:jc w:val="left"/>
      <w:outlineLvl w:val="3"/>
    </w:pPr>
    <w:rPr>
      <w:rFonts w:ascii="宋体" w:hAnsi="宋体"/>
      <w:b/>
      <w:sz w:val="24"/>
      <w:szCs w:val="24"/>
      <w:lang w:val="zh-CN"/>
    </w:rPr>
  </w:style>
  <w:style w:type="character" w:customStyle="1" w:styleId="247">
    <w:name w:val="font21"/>
    <w:qFormat/>
    <w:uiPriority w:val="0"/>
    <w:rPr>
      <w:rFonts w:hint="default" w:ascii="Times New Roman" w:hAnsi="Times New Roman" w:cs="Times New Roman"/>
      <w:color w:val="FF0000"/>
      <w:sz w:val="24"/>
      <w:szCs w:val="24"/>
      <w:u w:val="none"/>
      <w:vertAlign w:val="superscript"/>
    </w:rPr>
  </w:style>
  <w:style w:type="character" w:customStyle="1" w:styleId="248">
    <w:name w:val="样式 四号 首行缩进:  1.06 厘米 行距: 固定值 30 磅 Char"/>
    <w:link w:val="249"/>
    <w:qFormat/>
    <w:uiPriority w:val="0"/>
    <w:rPr>
      <w:rFonts w:cs="宋体"/>
      <w:kern w:val="2"/>
      <w:sz w:val="28"/>
    </w:rPr>
  </w:style>
  <w:style w:type="paragraph" w:customStyle="1" w:styleId="249">
    <w:name w:val="样式 四号 首行缩进:  1.06 厘米 行距: 固定值 30 磅"/>
    <w:basedOn w:val="1"/>
    <w:link w:val="248"/>
    <w:qFormat/>
    <w:uiPriority w:val="0"/>
    <w:pPr>
      <w:widowControl/>
      <w:spacing w:line="600" w:lineRule="exact"/>
      <w:ind w:firstLine="601"/>
      <w:jc w:val="left"/>
    </w:pPr>
    <w:rPr>
      <w:sz w:val="28"/>
      <w:szCs w:val="20"/>
      <w:lang w:val="zh-CN"/>
    </w:rPr>
  </w:style>
  <w:style w:type="character" w:customStyle="1" w:styleId="250">
    <w:name w:val="正文（首行缩进两字） Char2"/>
    <w:qFormat/>
    <w:uiPriority w:val="0"/>
    <w:rPr>
      <w:rFonts w:ascii="宋体" w:hAnsi="宋体" w:eastAsia="宋体"/>
      <w:color w:val="000000"/>
      <w:kern w:val="2"/>
      <w:sz w:val="21"/>
      <w:lang w:val="en-US" w:eastAsia="zh-CN" w:bidi="ar-SA"/>
    </w:rPr>
  </w:style>
  <w:style w:type="character" w:customStyle="1" w:styleId="251">
    <w:name w:val="表格内文字 Char Char"/>
    <w:qFormat/>
    <w:uiPriority w:val="0"/>
    <w:rPr>
      <w:rFonts w:hAnsi="宋体" w:eastAsia="宋体"/>
      <w:color w:val="000000"/>
      <w:sz w:val="21"/>
      <w:szCs w:val="21"/>
      <w:lang w:val="en-US" w:eastAsia="zh-CN" w:bidi="ar-SA"/>
    </w:rPr>
  </w:style>
  <w:style w:type="character" w:customStyle="1" w:styleId="252">
    <w:name w:val="表 Char Char"/>
    <w:link w:val="253"/>
    <w:qFormat/>
    <w:uiPriority w:val="99"/>
    <w:rPr>
      <w:kern w:val="2"/>
      <w:sz w:val="21"/>
      <w:szCs w:val="24"/>
    </w:rPr>
  </w:style>
  <w:style w:type="paragraph" w:customStyle="1" w:styleId="253">
    <w:name w:val="表"/>
    <w:basedOn w:val="39"/>
    <w:link w:val="252"/>
    <w:qFormat/>
    <w:uiPriority w:val="99"/>
    <w:pPr>
      <w:keepNext/>
      <w:keepLines/>
      <w:spacing w:before="60" w:after="60" w:line="240" w:lineRule="exact"/>
      <w:ind w:left="0" w:firstLine="0" w:firstLineChars="0"/>
      <w:jc w:val="center"/>
    </w:pPr>
    <w:rPr>
      <w:rFonts w:ascii="Times New Roman" w:hAnsi="Times New Roman" w:cs="Times New Roman"/>
      <w:kern w:val="2"/>
      <w:sz w:val="21"/>
      <w:lang w:val="zh-CN"/>
    </w:rPr>
  </w:style>
  <w:style w:type="character" w:customStyle="1" w:styleId="254">
    <w:name w:val="正文首行缩进 2 + Times New Roman Char Char"/>
    <w:link w:val="255"/>
    <w:qFormat/>
    <w:uiPriority w:val="0"/>
    <w:rPr>
      <w:rFonts w:ascii="Arial" w:hAnsi="Arial" w:cs="Arial"/>
      <w:bCs/>
      <w:spacing w:val="6"/>
      <w:sz w:val="21"/>
      <w:szCs w:val="21"/>
    </w:rPr>
  </w:style>
  <w:style w:type="paragraph" w:customStyle="1" w:styleId="255">
    <w:name w:val="正文首行缩进 2 + Times New Roman"/>
    <w:basedOn w:val="1"/>
    <w:link w:val="254"/>
    <w:qFormat/>
    <w:uiPriority w:val="0"/>
    <w:pPr>
      <w:widowControl/>
      <w:tabs>
        <w:tab w:val="left" w:pos="0"/>
        <w:tab w:val="left" w:pos="720"/>
        <w:tab w:val="left" w:pos="870"/>
        <w:tab w:val="left" w:pos="3150"/>
      </w:tabs>
      <w:autoSpaceDE w:val="0"/>
      <w:autoSpaceDN w:val="0"/>
      <w:spacing w:line="360" w:lineRule="auto"/>
      <w:ind w:firstLine="444" w:firstLineChars="200"/>
      <w:jc w:val="left"/>
    </w:pPr>
    <w:rPr>
      <w:rFonts w:ascii="Arial" w:hAnsi="Arial"/>
      <w:bCs/>
      <w:spacing w:val="6"/>
      <w:kern w:val="0"/>
      <w:szCs w:val="21"/>
      <w:lang w:val="zh-CN"/>
    </w:rPr>
  </w:style>
  <w:style w:type="character" w:customStyle="1" w:styleId="256">
    <w:name w:val="样式1 Char"/>
    <w:link w:val="257"/>
    <w:qFormat/>
    <w:uiPriority w:val="0"/>
    <w:rPr>
      <w:rFonts w:ascii="Arial" w:hAnsi="Arial"/>
      <w:kern w:val="2"/>
      <w:sz w:val="24"/>
      <w:szCs w:val="24"/>
    </w:rPr>
  </w:style>
  <w:style w:type="paragraph" w:customStyle="1" w:styleId="257">
    <w:name w:val="样式1"/>
    <w:basedOn w:val="1"/>
    <w:link w:val="256"/>
    <w:qFormat/>
    <w:uiPriority w:val="0"/>
    <w:pPr>
      <w:widowControl/>
      <w:spacing w:line="500" w:lineRule="exact"/>
      <w:ind w:firstLine="200" w:firstLineChars="200"/>
      <w:jc w:val="left"/>
    </w:pPr>
    <w:rPr>
      <w:rFonts w:ascii="Arial" w:hAnsi="Arial"/>
      <w:sz w:val="24"/>
      <w:szCs w:val="24"/>
      <w:lang w:val="zh-CN"/>
    </w:rPr>
  </w:style>
  <w:style w:type="character" w:customStyle="1" w:styleId="258">
    <w:name w:val="表头[858D7CFB-ED40-4347-BF05-701D383B685F]"/>
    <w:qFormat/>
    <w:uiPriority w:val="0"/>
    <w:rPr>
      <w:rFonts w:ascii="黑体" w:hAnsi="黑体" w:eastAsia="黑体"/>
      <w:lang w:bidi="ar-SA"/>
    </w:rPr>
  </w:style>
  <w:style w:type="character" w:customStyle="1" w:styleId="259">
    <w:name w:val="段落 Char"/>
    <w:qFormat/>
    <w:uiPriority w:val="0"/>
    <w:rPr>
      <w:rFonts w:ascii="宋体" w:hAnsi="宋体" w:eastAsia="宋体"/>
      <w:kern w:val="2"/>
      <w:sz w:val="24"/>
      <w:szCs w:val="24"/>
      <w:lang w:val="en-US" w:eastAsia="zh-CN" w:bidi="ar-SA"/>
    </w:rPr>
  </w:style>
  <w:style w:type="character" w:customStyle="1" w:styleId="260">
    <w:name w:val="font11"/>
    <w:qFormat/>
    <w:uiPriority w:val="0"/>
    <w:rPr>
      <w:rFonts w:hint="default" w:ascii="Times New Roman" w:hAnsi="Times New Roman" w:cs="Times New Roman"/>
      <w:color w:val="FF0000"/>
      <w:sz w:val="24"/>
      <w:szCs w:val="24"/>
      <w:u w:val="none"/>
    </w:rPr>
  </w:style>
  <w:style w:type="character" w:customStyle="1" w:styleId="261">
    <w:name w:val="样式 加宽量  0.4 磅"/>
    <w:qFormat/>
    <w:uiPriority w:val="0"/>
    <w:rPr>
      <w:spacing w:val="8"/>
      <w:sz w:val="24"/>
    </w:rPr>
  </w:style>
  <w:style w:type="character" w:customStyle="1" w:styleId="262">
    <w:name w:val="公式编号 Char"/>
    <w:link w:val="263"/>
    <w:qFormat/>
    <w:uiPriority w:val="0"/>
    <w:rPr>
      <w:rFonts w:cs="宋体"/>
      <w:kern w:val="2"/>
      <w:sz w:val="21"/>
      <w:szCs w:val="24"/>
    </w:rPr>
  </w:style>
  <w:style w:type="paragraph" w:customStyle="1" w:styleId="263">
    <w:name w:val="公式编号"/>
    <w:basedOn w:val="1"/>
    <w:link w:val="262"/>
    <w:qFormat/>
    <w:uiPriority w:val="0"/>
    <w:pPr>
      <w:widowControl/>
      <w:ind w:firstLine="200"/>
      <w:jc w:val="right"/>
    </w:pPr>
    <w:rPr>
      <w:szCs w:val="24"/>
      <w:lang w:val="zh-CN"/>
    </w:rPr>
  </w:style>
  <w:style w:type="character" w:customStyle="1" w:styleId="264">
    <w:name w:val="style61"/>
    <w:qFormat/>
    <w:uiPriority w:val="0"/>
    <w:rPr>
      <w:sz w:val="20"/>
      <w:szCs w:val="20"/>
    </w:rPr>
  </w:style>
  <w:style w:type="character" w:customStyle="1" w:styleId="265">
    <w:name w:val="报告书正文 Char Char Char Char Char Char Char Char Char Char"/>
    <w:link w:val="266"/>
    <w:qFormat/>
    <w:uiPriority w:val="0"/>
    <w:rPr>
      <w:color w:val="000000"/>
      <w:kern w:val="2"/>
      <w:sz w:val="24"/>
      <w:szCs w:val="24"/>
    </w:rPr>
  </w:style>
  <w:style w:type="paragraph" w:customStyle="1" w:styleId="266">
    <w:name w:val="报告书正文"/>
    <w:basedOn w:val="1"/>
    <w:link w:val="265"/>
    <w:qFormat/>
    <w:uiPriority w:val="0"/>
    <w:pPr>
      <w:widowControl/>
      <w:spacing w:line="300" w:lineRule="auto"/>
      <w:ind w:firstLine="480" w:firstLineChars="200"/>
      <w:jc w:val="left"/>
    </w:pPr>
    <w:rPr>
      <w:color w:val="000000"/>
      <w:sz w:val="24"/>
      <w:szCs w:val="24"/>
      <w:lang w:val="zh-CN"/>
    </w:rPr>
  </w:style>
  <w:style w:type="character" w:customStyle="1" w:styleId="267">
    <w:name w:val="style11"/>
    <w:qFormat/>
    <w:uiPriority w:val="0"/>
    <w:rPr>
      <w:color w:val="000000"/>
    </w:rPr>
  </w:style>
  <w:style w:type="character" w:customStyle="1" w:styleId="268">
    <w:name w:val="T正文 Char Char"/>
    <w:link w:val="269"/>
    <w:qFormat/>
    <w:uiPriority w:val="0"/>
    <w:rPr>
      <w:rFonts w:eastAsia="仿宋_GB2312"/>
      <w:sz w:val="28"/>
      <w:lang w:val="en-US" w:eastAsia="zh-CN" w:bidi="ar-SA"/>
    </w:rPr>
  </w:style>
  <w:style w:type="paragraph" w:customStyle="1" w:styleId="269">
    <w:name w:val="T正文"/>
    <w:link w:val="268"/>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character" w:customStyle="1" w:styleId="270">
    <w:name w:val="1 一级标题 Char"/>
    <w:link w:val="271"/>
    <w:qFormat/>
    <w:uiPriority w:val="0"/>
    <w:rPr>
      <w:b/>
      <w:kern w:val="2"/>
      <w:sz w:val="36"/>
      <w:szCs w:val="36"/>
    </w:rPr>
  </w:style>
  <w:style w:type="paragraph" w:customStyle="1" w:styleId="271">
    <w:name w:val="1 一级标题"/>
    <w:basedOn w:val="1"/>
    <w:link w:val="270"/>
    <w:qFormat/>
    <w:uiPriority w:val="0"/>
    <w:pPr>
      <w:widowControl/>
      <w:spacing w:before="300" w:after="300" w:line="360" w:lineRule="auto"/>
      <w:ind w:firstLine="200" w:firstLineChars="200"/>
      <w:jc w:val="center"/>
    </w:pPr>
    <w:rPr>
      <w:b/>
      <w:sz w:val="36"/>
      <w:szCs w:val="36"/>
      <w:lang w:val="zh-CN"/>
    </w:rPr>
  </w:style>
  <w:style w:type="character" w:customStyle="1" w:styleId="272">
    <w:name w:val="审批登记表 Char"/>
    <w:link w:val="273"/>
    <w:qFormat/>
    <w:uiPriority w:val="0"/>
    <w:rPr>
      <w:rFonts w:ascii="宋体" w:hAnsi="宋体" w:cs="宋体"/>
      <w:kern w:val="2"/>
      <w:sz w:val="18"/>
    </w:rPr>
  </w:style>
  <w:style w:type="paragraph" w:customStyle="1" w:styleId="273">
    <w:name w:val="审批登记表"/>
    <w:basedOn w:val="1"/>
    <w:link w:val="272"/>
    <w:qFormat/>
    <w:uiPriority w:val="0"/>
    <w:pPr>
      <w:widowControl/>
      <w:spacing w:line="240" w:lineRule="exact"/>
      <w:jc w:val="center"/>
    </w:pPr>
    <w:rPr>
      <w:rFonts w:ascii="宋体" w:hAnsi="宋体"/>
      <w:sz w:val="18"/>
      <w:szCs w:val="20"/>
      <w:lang w:val="zh-CN"/>
    </w:rPr>
  </w:style>
  <w:style w:type="character" w:customStyle="1" w:styleId="274">
    <w:name w:val="正文格式 Char"/>
    <w:link w:val="275"/>
    <w:qFormat/>
    <w:uiPriority w:val="0"/>
    <w:rPr>
      <w:kern w:val="2"/>
      <w:sz w:val="24"/>
      <w:szCs w:val="24"/>
    </w:rPr>
  </w:style>
  <w:style w:type="paragraph" w:customStyle="1" w:styleId="275">
    <w:name w:val="正文格式"/>
    <w:basedOn w:val="1"/>
    <w:link w:val="274"/>
    <w:qFormat/>
    <w:uiPriority w:val="0"/>
    <w:pPr>
      <w:widowControl/>
      <w:spacing w:line="360" w:lineRule="auto"/>
      <w:ind w:firstLine="200" w:firstLineChars="200"/>
      <w:jc w:val="left"/>
    </w:pPr>
    <w:rPr>
      <w:sz w:val="24"/>
      <w:szCs w:val="24"/>
      <w:lang w:val="zh-CN"/>
    </w:rPr>
  </w:style>
  <w:style w:type="character" w:customStyle="1" w:styleId="276">
    <w:name w:val="表格名称 Char Char Char"/>
    <w:qFormat/>
    <w:uiPriority w:val="0"/>
    <w:rPr>
      <w:rFonts w:eastAsia="宋体"/>
      <w:b/>
      <w:sz w:val="21"/>
      <w:szCs w:val="24"/>
      <w:lang w:val="en-US" w:eastAsia="zh-CN" w:bidi="ar-SA"/>
    </w:rPr>
  </w:style>
  <w:style w:type="character" w:customStyle="1" w:styleId="277">
    <w:name w:val="参考文献 Char Char"/>
    <w:qFormat/>
    <w:uiPriority w:val="0"/>
    <w:rPr>
      <w:rFonts w:cs="宋体"/>
      <w:bCs/>
      <w:vanish/>
      <w:sz w:val="21"/>
      <w:szCs w:val="24"/>
      <w:lang w:val="en-US" w:eastAsia="zh-CN" w:bidi="ar-SA"/>
    </w:rPr>
  </w:style>
  <w:style w:type="character" w:customStyle="1" w:styleId="278">
    <w:name w:val="表中正文 Char"/>
    <w:link w:val="279"/>
    <w:qFormat/>
    <w:uiPriority w:val="0"/>
    <w:rPr>
      <w:rFonts w:ascii="宋体"/>
      <w:sz w:val="21"/>
      <w:szCs w:val="21"/>
    </w:rPr>
  </w:style>
  <w:style w:type="paragraph" w:customStyle="1" w:styleId="279">
    <w:name w:val="表中正文"/>
    <w:basedOn w:val="1"/>
    <w:link w:val="278"/>
    <w:qFormat/>
    <w:uiPriority w:val="0"/>
    <w:pPr>
      <w:widowControl/>
      <w:autoSpaceDE w:val="0"/>
      <w:autoSpaceDN w:val="0"/>
      <w:adjustRightInd w:val="0"/>
      <w:snapToGrid w:val="0"/>
      <w:spacing w:line="300" w:lineRule="exact"/>
      <w:jc w:val="center"/>
    </w:pPr>
    <w:rPr>
      <w:rFonts w:ascii="宋体"/>
      <w:kern w:val="0"/>
      <w:szCs w:val="21"/>
      <w:lang w:val="zh-CN"/>
    </w:rPr>
  </w:style>
  <w:style w:type="character" w:customStyle="1" w:styleId="280">
    <w:name w:val="1正文 Char"/>
    <w:link w:val="281"/>
    <w:qFormat/>
    <w:uiPriority w:val="0"/>
    <w:rPr>
      <w:kern w:val="2"/>
      <w:sz w:val="24"/>
      <w:szCs w:val="24"/>
    </w:rPr>
  </w:style>
  <w:style w:type="paragraph" w:customStyle="1" w:styleId="281">
    <w:name w:val="1正文"/>
    <w:basedOn w:val="1"/>
    <w:link w:val="280"/>
    <w:qFormat/>
    <w:uiPriority w:val="0"/>
    <w:pPr>
      <w:widowControl/>
      <w:adjustRightInd w:val="0"/>
      <w:snapToGrid w:val="0"/>
      <w:spacing w:line="360" w:lineRule="auto"/>
      <w:ind w:firstLine="284"/>
      <w:jc w:val="left"/>
    </w:pPr>
    <w:rPr>
      <w:sz w:val="24"/>
      <w:szCs w:val="24"/>
      <w:lang w:val="zh-CN"/>
    </w:rPr>
  </w:style>
  <w:style w:type="character" w:customStyle="1" w:styleId="282">
    <w:name w:val="表格内文字（两端对齐） Char Char"/>
    <w:link w:val="283"/>
    <w:qFormat/>
    <w:uiPriority w:val="0"/>
    <w:rPr>
      <w:rFonts w:cs="宋体"/>
      <w:color w:val="000000"/>
      <w:sz w:val="21"/>
      <w:szCs w:val="21"/>
    </w:rPr>
  </w:style>
  <w:style w:type="paragraph" w:customStyle="1" w:styleId="283">
    <w:name w:val="表格内文字（两端对齐）"/>
    <w:basedOn w:val="1"/>
    <w:link w:val="282"/>
    <w:qFormat/>
    <w:uiPriority w:val="0"/>
    <w:pPr>
      <w:widowControl/>
      <w:tabs>
        <w:tab w:val="left" w:pos="3825"/>
        <w:tab w:val="left" w:pos="4680"/>
      </w:tabs>
      <w:jc w:val="left"/>
    </w:pPr>
    <w:rPr>
      <w:color w:val="000000"/>
      <w:kern w:val="0"/>
      <w:szCs w:val="21"/>
      <w:lang w:val="zh-CN"/>
    </w:rPr>
  </w:style>
  <w:style w:type="character" w:customStyle="1" w:styleId="284">
    <w:name w:val="5 正文 Char Char"/>
    <w:link w:val="285"/>
    <w:qFormat/>
    <w:uiPriority w:val="0"/>
    <w:rPr>
      <w:rFonts w:ascii="宋体" w:hAnsi="宋体"/>
      <w:kern w:val="2"/>
      <w:sz w:val="24"/>
      <w:szCs w:val="24"/>
    </w:rPr>
  </w:style>
  <w:style w:type="paragraph" w:customStyle="1" w:styleId="285">
    <w:name w:val="5 正文"/>
    <w:basedOn w:val="1"/>
    <w:link w:val="284"/>
    <w:qFormat/>
    <w:uiPriority w:val="0"/>
    <w:pPr>
      <w:widowControl/>
      <w:tabs>
        <w:tab w:val="left" w:pos="1980"/>
        <w:tab w:val="left" w:pos="3825"/>
        <w:tab w:val="left" w:pos="4680"/>
      </w:tabs>
      <w:spacing w:line="360" w:lineRule="auto"/>
      <w:ind w:firstLine="480" w:firstLineChars="200"/>
      <w:jc w:val="left"/>
    </w:pPr>
    <w:rPr>
      <w:rFonts w:ascii="宋体" w:hAnsi="宋体"/>
      <w:sz w:val="24"/>
      <w:szCs w:val="24"/>
      <w:lang w:val="zh-CN"/>
    </w:rPr>
  </w:style>
  <w:style w:type="character" w:customStyle="1" w:styleId="286">
    <w:name w:val="审批登记表 Char Char"/>
    <w:qFormat/>
    <w:uiPriority w:val="0"/>
    <w:rPr>
      <w:rFonts w:ascii="宋体" w:hAnsi="宋体" w:eastAsia="宋体" w:cs="宋体"/>
      <w:kern w:val="2"/>
      <w:sz w:val="18"/>
      <w:lang w:val="en-US" w:eastAsia="zh-CN" w:bidi="ar-SA"/>
    </w:rPr>
  </w:style>
  <w:style w:type="character" w:customStyle="1" w:styleId="287">
    <w:name w:val="图表标题 Char"/>
    <w:link w:val="288"/>
    <w:qFormat/>
    <w:uiPriority w:val="0"/>
    <w:rPr>
      <w:rFonts w:ascii="宋体" w:hAnsi="宋体"/>
      <w:b/>
      <w:kern w:val="2"/>
      <w:sz w:val="24"/>
      <w:szCs w:val="24"/>
    </w:rPr>
  </w:style>
  <w:style w:type="paragraph" w:customStyle="1" w:styleId="288">
    <w:name w:val="图表标题"/>
    <w:basedOn w:val="1"/>
    <w:link w:val="287"/>
    <w:qFormat/>
    <w:uiPriority w:val="0"/>
    <w:pPr>
      <w:widowControl/>
      <w:spacing w:line="480" w:lineRule="auto"/>
      <w:jc w:val="center"/>
      <w:outlineLvl w:val="4"/>
    </w:pPr>
    <w:rPr>
      <w:rFonts w:ascii="宋体" w:hAnsi="宋体"/>
      <w:b/>
      <w:sz w:val="24"/>
      <w:szCs w:val="24"/>
      <w:lang w:val="zh-CN"/>
    </w:rPr>
  </w:style>
  <w:style w:type="character" w:customStyle="1" w:styleId="289">
    <w:name w:val="参考文献 Char"/>
    <w:link w:val="290"/>
    <w:qFormat/>
    <w:uiPriority w:val="0"/>
    <w:rPr>
      <w:rFonts w:eastAsia="Times New Roman" w:cs="宋体"/>
      <w:bCs/>
      <w:vanish/>
      <w:sz w:val="21"/>
      <w:szCs w:val="24"/>
      <w:lang w:val="en-US" w:eastAsia="zh-CN" w:bidi="ar-SA"/>
    </w:rPr>
  </w:style>
  <w:style w:type="paragraph" w:customStyle="1" w:styleId="290">
    <w:name w:val="参考文献"/>
    <w:link w:val="289"/>
    <w:qFormat/>
    <w:uiPriority w:val="0"/>
    <w:pPr>
      <w:tabs>
        <w:tab w:val="left" w:pos="550"/>
      </w:tabs>
      <w:spacing w:before="60" w:line="340" w:lineRule="exact"/>
      <w:jc w:val="both"/>
    </w:pPr>
    <w:rPr>
      <w:rFonts w:ascii="Times New Roman" w:hAnsi="Times New Roman" w:eastAsia="Times New Roman" w:cs="宋体"/>
      <w:bCs/>
      <w:vanish/>
      <w:sz w:val="21"/>
      <w:szCs w:val="24"/>
      <w:lang w:val="en-US" w:eastAsia="zh-CN" w:bidi="ar-SA"/>
    </w:rPr>
  </w:style>
  <w:style w:type="character" w:customStyle="1" w:styleId="291">
    <w:name w:val="表头 Char Char"/>
    <w:qFormat/>
    <w:uiPriority w:val="0"/>
    <w:rPr>
      <w:rFonts w:eastAsia="黑体"/>
      <w:spacing w:val="10"/>
      <w:sz w:val="28"/>
      <w:lang w:val="en-US" w:eastAsia="zh-CN" w:bidi="ar-SA"/>
    </w:rPr>
  </w:style>
  <w:style w:type="character" w:customStyle="1" w:styleId="292">
    <w:name w:val="正文 Char"/>
    <w:link w:val="293"/>
    <w:qFormat/>
    <w:uiPriority w:val="0"/>
    <w:rPr>
      <w:rFonts w:hAnsi="宋体"/>
      <w:kern w:val="2"/>
      <w:sz w:val="24"/>
      <w:szCs w:val="24"/>
    </w:rPr>
  </w:style>
  <w:style w:type="paragraph" w:customStyle="1" w:styleId="293">
    <w:name w:val="正文1"/>
    <w:basedOn w:val="1"/>
    <w:link w:val="292"/>
    <w:qFormat/>
    <w:uiPriority w:val="0"/>
    <w:pPr>
      <w:widowControl/>
      <w:spacing w:line="360" w:lineRule="auto"/>
      <w:ind w:firstLine="480" w:firstLineChars="200"/>
      <w:jc w:val="left"/>
    </w:pPr>
    <w:rPr>
      <w:rFonts w:hAnsi="宋体"/>
      <w:sz w:val="24"/>
      <w:szCs w:val="24"/>
      <w:lang w:val="zh-CN"/>
    </w:rPr>
  </w:style>
  <w:style w:type="character" w:customStyle="1" w:styleId="294">
    <w:name w:val="font01"/>
    <w:qFormat/>
    <w:uiPriority w:val="0"/>
    <w:rPr>
      <w:rFonts w:hint="default" w:ascii="Times New Roman" w:hAnsi="Times New Roman" w:cs="Times New Roman"/>
      <w:color w:val="000000"/>
      <w:sz w:val="20"/>
      <w:szCs w:val="20"/>
      <w:u w:val="none"/>
    </w:rPr>
  </w:style>
  <w:style w:type="character" w:customStyle="1" w:styleId="295">
    <w:name w:val="表格文字（241） Char"/>
    <w:link w:val="296"/>
    <w:qFormat/>
    <w:uiPriority w:val="0"/>
    <w:rPr>
      <w:bCs/>
      <w:sz w:val="21"/>
      <w:szCs w:val="21"/>
    </w:rPr>
  </w:style>
  <w:style w:type="paragraph" w:customStyle="1" w:styleId="296">
    <w:name w:val="表格文字（241）"/>
    <w:basedOn w:val="1"/>
    <w:link w:val="295"/>
    <w:qFormat/>
    <w:uiPriority w:val="0"/>
    <w:pPr>
      <w:widowControl/>
      <w:autoSpaceDE w:val="0"/>
      <w:autoSpaceDN w:val="0"/>
      <w:adjustRightInd w:val="0"/>
      <w:jc w:val="center"/>
      <w:textAlignment w:val="baseline"/>
    </w:pPr>
    <w:rPr>
      <w:bCs/>
      <w:kern w:val="0"/>
      <w:szCs w:val="21"/>
      <w:lang w:val="zh-CN"/>
    </w:rPr>
  </w:style>
  <w:style w:type="character" w:customStyle="1" w:styleId="297">
    <w:name w:val="5文章(治) Char"/>
    <w:qFormat/>
    <w:uiPriority w:val="0"/>
    <w:rPr>
      <w:rFonts w:eastAsia="宋体"/>
      <w:kern w:val="2"/>
      <w:sz w:val="24"/>
      <w:lang w:val="en-US" w:eastAsia="zh-CN" w:bidi="ar-SA"/>
    </w:rPr>
  </w:style>
  <w:style w:type="character" w:customStyle="1" w:styleId="298">
    <w:name w:val="5文章 Char"/>
    <w:link w:val="299"/>
    <w:qFormat/>
    <w:uiPriority w:val="0"/>
    <w:rPr>
      <w:rFonts w:ascii="Arial" w:hAnsi="Arial" w:cs="Tahoma"/>
      <w:kern w:val="2"/>
      <w:sz w:val="24"/>
      <w:szCs w:val="21"/>
    </w:rPr>
  </w:style>
  <w:style w:type="paragraph" w:customStyle="1" w:styleId="299">
    <w:name w:val="5文章"/>
    <w:basedOn w:val="1"/>
    <w:link w:val="298"/>
    <w:qFormat/>
    <w:uiPriority w:val="0"/>
    <w:pPr>
      <w:widowControl/>
      <w:spacing w:line="360" w:lineRule="auto"/>
      <w:ind w:firstLine="480" w:firstLineChars="200"/>
      <w:jc w:val="left"/>
    </w:pPr>
    <w:rPr>
      <w:rFonts w:ascii="Arial" w:hAnsi="Arial"/>
      <w:sz w:val="24"/>
      <w:szCs w:val="21"/>
      <w:lang w:val="zh-CN"/>
    </w:rPr>
  </w:style>
  <w:style w:type="character" w:customStyle="1" w:styleId="300">
    <w:name w:val="段落1 Char Char1"/>
    <w:link w:val="301"/>
    <w:qFormat/>
    <w:uiPriority w:val="0"/>
    <w:rPr>
      <w:spacing w:val="8"/>
      <w:kern w:val="2"/>
      <w:sz w:val="24"/>
    </w:rPr>
  </w:style>
  <w:style w:type="paragraph" w:customStyle="1" w:styleId="301">
    <w:name w:val="段落1 Char"/>
    <w:basedOn w:val="1"/>
    <w:link w:val="300"/>
    <w:qFormat/>
    <w:uiPriority w:val="0"/>
    <w:pPr>
      <w:widowControl/>
      <w:adjustRightInd w:val="0"/>
      <w:spacing w:line="440" w:lineRule="exact"/>
      <w:ind w:firstLine="480" w:firstLineChars="200"/>
      <w:jc w:val="left"/>
    </w:pPr>
    <w:rPr>
      <w:spacing w:val="8"/>
      <w:sz w:val="24"/>
      <w:szCs w:val="20"/>
      <w:lang w:val="zh-CN"/>
    </w:rPr>
  </w:style>
  <w:style w:type="character" w:customStyle="1" w:styleId="302">
    <w:name w:val="表格 Char Char"/>
    <w:qFormat/>
    <w:uiPriority w:val="0"/>
    <w:rPr>
      <w:rFonts w:eastAsia="宋体"/>
      <w:snapToGrid w:val="0"/>
      <w:sz w:val="21"/>
      <w:szCs w:val="21"/>
      <w:lang w:val="en-US" w:eastAsia="zh-CN" w:bidi="ar-SA"/>
    </w:rPr>
  </w:style>
  <w:style w:type="character" w:customStyle="1" w:styleId="303">
    <w:name w:val="sssssschar"/>
    <w:qFormat/>
    <w:uiPriority w:val="0"/>
    <w:rPr>
      <w:rFonts w:hint="eastAsia" w:ascii="宋体" w:hAnsi="宋体" w:eastAsia="宋体"/>
    </w:rPr>
  </w:style>
  <w:style w:type="paragraph" w:customStyle="1" w:styleId="304">
    <w:name w:val="样式 标题 1 + (中文) 宋体 首行缩进:  2 字符"/>
    <w:basedOn w:val="3"/>
    <w:qFormat/>
    <w:uiPriority w:val="99"/>
    <w:pPr>
      <w:widowControl/>
      <w:numPr>
        <w:numId w:val="0"/>
      </w:numPr>
      <w:spacing w:before="312" w:beforeLines="100" w:after="312" w:afterLines="100"/>
      <w:jc w:val="center"/>
    </w:pPr>
    <w:rPr>
      <w:rFonts w:ascii="黑体" w:hAnsi="宋体" w:eastAsia="黑体"/>
      <w:bCs/>
      <w:sz w:val="36"/>
      <w:szCs w:val="36"/>
    </w:rPr>
  </w:style>
  <w:style w:type="paragraph" w:customStyle="1" w:styleId="305">
    <w:name w:val="5正文"/>
    <w:basedOn w:val="306"/>
    <w:qFormat/>
    <w:uiPriority w:val="99"/>
    <w:pPr>
      <w:spacing w:line="360" w:lineRule="auto"/>
    </w:pPr>
  </w:style>
  <w:style w:type="paragraph" w:customStyle="1" w:styleId="306">
    <w:name w:val="样式 首行缩进:  2 字符"/>
    <w:basedOn w:val="1"/>
    <w:qFormat/>
    <w:uiPriority w:val="99"/>
    <w:pPr>
      <w:widowControl/>
      <w:spacing w:line="420" w:lineRule="auto"/>
      <w:ind w:firstLine="480" w:firstLineChars="200"/>
      <w:jc w:val="left"/>
    </w:pPr>
    <w:rPr>
      <w:rFonts w:ascii="宋体" w:hAnsi="宋体" w:cs="宋体"/>
      <w:kern w:val="0"/>
      <w:sz w:val="24"/>
      <w:szCs w:val="24"/>
    </w:rPr>
  </w:style>
  <w:style w:type="paragraph" w:customStyle="1" w:styleId="307">
    <w:name w:val="表文"/>
    <w:qFormat/>
    <w:uiPriority w:val="99"/>
    <w:pPr>
      <w:widowControl w:val="0"/>
      <w:adjustRightInd w:val="0"/>
      <w:spacing w:line="0" w:lineRule="atLeast"/>
      <w:jc w:val="center"/>
    </w:pPr>
    <w:rPr>
      <w:rFonts w:ascii="Times" w:hAnsi="Times" w:eastAsia="宋体" w:cs="Times New Roman"/>
      <w:kern w:val="2"/>
      <w:sz w:val="21"/>
      <w:szCs w:val="21"/>
      <w:lang w:val="en-US" w:eastAsia="zh-CN" w:bidi="ar-SA"/>
    </w:rPr>
  </w:style>
  <w:style w:type="paragraph" w:customStyle="1" w:styleId="308">
    <w:name w:val="正文A"/>
    <w:basedOn w:val="1"/>
    <w:qFormat/>
    <w:uiPriority w:val="0"/>
    <w:pPr>
      <w:widowControl/>
      <w:autoSpaceDE w:val="0"/>
      <w:autoSpaceDN w:val="0"/>
      <w:adjustRightInd w:val="0"/>
      <w:snapToGrid w:val="0"/>
      <w:spacing w:line="400" w:lineRule="atLeast"/>
      <w:ind w:firstLine="539"/>
      <w:jc w:val="left"/>
      <w:textAlignment w:val="baseline"/>
    </w:pPr>
    <w:rPr>
      <w:rFonts w:ascii="仿宋_GB2312" w:hAnsi="宋体" w:eastAsia="仿宋_GB2312" w:cs="宋体"/>
      <w:kern w:val="0"/>
      <w:sz w:val="24"/>
      <w:szCs w:val="24"/>
    </w:rPr>
  </w:style>
  <w:style w:type="paragraph" w:customStyle="1" w:styleId="309">
    <w:name w:val="样式 左侧:  0.85 厘米6"/>
    <w:basedOn w:val="1"/>
    <w:qFormat/>
    <w:uiPriority w:val="99"/>
    <w:pPr>
      <w:widowControl/>
      <w:jc w:val="left"/>
    </w:pPr>
    <w:rPr>
      <w:rFonts w:ascii="宋体" w:hAnsi="宋体" w:cs="宋体"/>
      <w:kern w:val="0"/>
      <w:sz w:val="24"/>
      <w:szCs w:val="24"/>
    </w:rPr>
  </w:style>
  <w:style w:type="paragraph" w:customStyle="1" w:styleId="310">
    <w:name w:val="样式 标题 4"/>
    <w:basedOn w:val="7"/>
    <w:qFormat/>
    <w:uiPriority w:val="99"/>
    <w:pPr>
      <w:numPr>
        <w:ilvl w:val="0"/>
        <w:numId w:val="0"/>
      </w:numPr>
      <w:spacing w:before="0" w:beforeLines="0" w:after="120"/>
      <w:ind w:left="108" w:hanging="851"/>
    </w:pPr>
    <w:rPr>
      <w:rFonts w:cs="宋体"/>
      <w:b w:val="0"/>
      <w:kern w:val="2"/>
      <w:sz w:val="24"/>
      <w:szCs w:val="20"/>
    </w:rPr>
  </w:style>
  <w:style w:type="paragraph" w:customStyle="1" w:styleId="311">
    <w:name w:val="环境影响报告书"/>
    <w:basedOn w:val="1"/>
    <w:qFormat/>
    <w:uiPriority w:val="99"/>
    <w:pPr>
      <w:widowControl/>
      <w:spacing w:before="200" w:after="200" w:line="360" w:lineRule="auto"/>
      <w:jc w:val="center"/>
    </w:pPr>
    <w:rPr>
      <w:rFonts w:ascii="宋体" w:hAnsi="宋体" w:eastAsia="黑体" w:cs="宋体"/>
      <w:b/>
      <w:bCs/>
      <w:spacing w:val="40"/>
      <w:kern w:val="0"/>
      <w:sz w:val="84"/>
      <w:szCs w:val="24"/>
    </w:rPr>
  </w:style>
  <w:style w:type="paragraph" w:customStyle="1" w:styleId="312">
    <w:name w:val="表正文"/>
    <w:basedOn w:val="1"/>
    <w:qFormat/>
    <w:uiPriority w:val="99"/>
    <w:pPr>
      <w:widowControl/>
      <w:jc w:val="center"/>
    </w:pPr>
    <w:rPr>
      <w:rFonts w:ascii="宋体" w:hAnsi="宋体" w:cs="宋体"/>
      <w:kern w:val="0"/>
      <w:sz w:val="24"/>
      <w:szCs w:val="21"/>
    </w:rPr>
  </w:style>
  <w:style w:type="paragraph" w:customStyle="1" w:styleId="313">
    <w:name w:val="正文1.0111"/>
    <w:basedOn w:val="314"/>
    <w:qFormat/>
    <w:uiPriority w:val="99"/>
    <w:pPr>
      <w:snapToGrid w:val="0"/>
      <w:ind w:firstLine="200"/>
      <w:textAlignment w:val="baseline"/>
    </w:pPr>
    <w:rPr>
      <w:sz w:val="24"/>
    </w:rPr>
  </w:style>
  <w:style w:type="paragraph" w:customStyle="1" w:styleId="314">
    <w:name w:val="统一正文"/>
    <w:basedOn w:val="1"/>
    <w:qFormat/>
    <w:uiPriority w:val="99"/>
    <w:pPr>
      <w:widowControl/>
      <w:autoSpaceDE w:val="0"/>
      <w:autoSpaceDN w:val="0"/>
      <w:spacing w:line="360" w:lineRule="auto"/>
      <w:ind w:firstLine="567" w:firstLineChars="200"/>
      <w:jc w:val="left"/>
    </w:pPr>
    <w:rPr>
      <w:rFonts w:ascii="宋体" w:hAnsi="宋体" w:cs="宋体"/>
      <w:kern w:val="0"/>
      <w:sz w:val="28"/>
      <w:szCs w:val="24"/>
      <w:lang w:bidi="he-IL"/>
    </w:rPr>
  </w:style>
  <w:style w:type="paragraph" w:customStyle="1" w:styleId="315">
    <w:name w:val="样式2"/>
    <w:basedOn w:val="1"/>
    <w:qFormat/>
    <w:uiPriority w:val="0"/>
    <w:pPr>
      <w:widowControl/>
      <w:ind w:firstLine="964" w:firstLineChars="400"/>
      <w:jc w:val="left"/>
    </w:pPr>
    <w:rPr>
      <w:rFonts w:ascii="黑体" w:hAnsi="宋体" w:eastAsia="黑体" w:cs="Plotter"/>
      <w:b/>
      <w:bCs/>
      <w:color w:val="000000"/>
      <w:kern w:val="0"/>
      <w:sz w:val="24"/>
      <w:szCs w:val="24"/>
    </w:rPr>
  </w:style>
  <w:style w:type="paragraph" w:customStyle="1" w:styleId="316">
    <w:name w:val="样式 环境影响报告书"/>
    <w:basedOn w:val="1"/>
    <w:qFormat/>
    <w:uiPriority w:val="99"/>
    <w:pPr>
      <w:widowControl/>
      <w:spacing w:before="200" w:after="200" w:line="360" w:lineRule="auto"/>
      <w:jc w:val="center"/>
    </w:pPr>
    <w:rPr>
      <w:rFonts w:ascii="宋体" w:hAnsi="宋体" w:eastAsia="黑体" w:cs="宋体"/>
      <w:b/>
      <w:bCs/>
      <w:spacing w:val="40"/>
      <w:kern w:val="0"/>
      <w:sz w:val="52"/>
      <w:szCs w:val="24"/>
    </w:rPr>
  </w:style>
  <w:style w:type="paragraph" w:customStyle="1" w:styleId="317">
    <w:name w:val="表格内容111"/>
    <w:basedOn w:val="139"/>
    <w:qFormat/>
    <w:uiPriority w:val="99"/>
    <w:pPr>
      <w:widowControl w:val="0"/>
      <w:adjustRightInd w:val="0"/>
      <w:snapToGrid w:val="0"/>
      <w:spacing w:line="240" w:lineRule="auto"/>
      <w:textAlignment w:val="center"/>
    </w:pPr>
    <w:rPr>
      <w:rFonts w:ascii="Times New Roman" w:hAnsi="宋体"/>
      <w:iCs w:val="0"/>
      <w:snapToGrid w:val="0"/>
      <w:szCs w:val="21"/>
    </w:rPr>
  </w:style>
  <w:style w:type="paragraph" w:customStyle="1" w:styleId="318">
    <w:name w:val="7表格"/>
    <w:qFormat/>
    <w:uiPriority w:val="0"/>
    <w:pPr>
      <w:widowControl w:val="0"/>
      <w:ind w:firstLine="155" w:firstLineChars="74"/>
      <w:jc w:val="both"/>
    </w:pPr>
    <w:rPr>
      <w:rFonts w:ascii="Times New Roman" w:hAnsi="Times New Roman" w:eastAsia="宋体" w:cs="Times New Roman"/>
      <w:sz w:val="21"/>
      <w:szCs w:val="21"/>
      <w:lang w:val="en-US" w:eastAsia="zh-CN" w:bidi="ar-SA"/>
    </w:rPr>
  </w:style>
  <w:style w:type="paragraph" w:customStyle="1" w:styleId="319">
    <w:name w:val="a表格"/>
    <w:link w:val="320"/>
    <w:qFormat/>
    <w:uiPriority w:val="0"/>
    <w:pPr>
      <w:snapToGrid w:val="0"/>
      <w:jc w:val="center"/>
    </w:pPr>
    <w:rPr>
      <w:rFonts w:ascii="Times New Roman" w:hAnsi="Times New Roman" w:eastAsia="宋体" w:cs="Times New Roman"/>
      <w:kern w:val="2"/>
      <w:szCs w:val="24"/>
      <w:lang w:val="en-US" w:eastAsia="zh-CN" w:bidi="ar-SA"/>
    </w:rPr>
  </w:style>
  <w:style w:type="character" w:customStyle="1" w:styleId="320">
    <w:name w:val="a表格 Char"/>
    <w:link w:val="319"/>
    <w:qFormat/>
    <w:uiPriority w:val="0"/>
    <w:rPr>
      <w:kern w:val="2"/>
      <w:szCs w:val="24"/>
      <w:lang w:bidi="ar-SA"/>
    </w:rPr>
  </w:style>
  <w:style w:type="paragraph" w:customStyle="1" w:styleId="321">
    <w:name w:val="ni正文"/>
    <w:basedOn w:val="1"/>
    <w:qFormat/>
    <w:uiPriority w:val="99"/>
    <w:pPr>
      <w:widowControl/>
      <w:autoSpaceDE w:val="0"/>
      <w:autoSpaceDN w:val="0"/>
      <w:adjustRightInd w:val="0"/>
      <w:snapToGrid w:val="0"/>
      <w:spacing w:line="360" w:lineRule="auto"/>
      <w:ind w:firstLine="560" w:firstLineChars="200"/>
      <w:jc w:val="left"/>
      <w:textAlignment w:val="baseline"/>
    </w:pPr>
    <w:rPr>
      <w:rFonts w:ascii="宋体" w:hAnsi="宋体" w:eastAsia="仿宋_GB2312" w:cs="宋体"/>
      <w:kern w:val="0"/>
      <w:sz w:val="28"/>
      <w:szCs w:val="24"/>
      <w:lang w:bidi="he-IL"/>
    </w:rPr>
  </w:style>
  <w:style w:type="paragraph" w:customStyle="1" w:styleId="322">
    <w:name w:val="二次公示"/>
    <w:basedOn w:val="210"/>
    <w:qFormat/>
    <w:uiPriority w:val="99"/>
    <w:pPr>
      <w:spacing w:line="360" w:lineRule="auto"/>
    </w:pPr>
  </w:style>
  <w:style w:type="paragraph" w:customStyle="1" w:styleId="323">
    <w:name w:val="样式 左侧:  0.85 厘米1"/>
    <w:basedOn w:val="1"/>
    <w:qFormat/>
    <w:uiPriority w:val="99"/>
    <w:pPr>
      <w:widowControl/>
      <w:jc w:val="left"/>
    </w:pPr>
    <w:rPr>
      <w:rFonts w:ascii="宋体" w:hAnsi="宋体" w:cs="宋体"/>
      <w:kern w:val="0"/>
      <w:sz w:val="24"/>
      <w:szCs w:val="21"/>
    </w:rPr>
  </w:style>
  <w:style w:type="paragraph" w:customStyle="1" w:styleId="324">
    <w:name w:val="Default Paragraph Font Para Char Char Char"/>
    <w:basedOn w:val="1"/>
    <w:qFormat/>
    <w:uiPriority w:val="99"/>
    <w:pPr>
      <w:widowControl/>
      <w:spacing w:after="160" w:line="240" w:lineRule="exact"/>
      <w:jc w:val="left"/>
    </w:pPr>
    <w:rPr>
      <w:rFonts w:ascii="宋体" w:hAnsi="宋体" w:cs="宋体"/>
      <w:kern w:val="0"/>
      <w:sz w:val="24"/>
      <w:szCs w:val="24"/>
    </w:rPr>
  </w:style>
  <w:style w:type="paragraph" w:customStyle="1" w:styleId="325">
    <w:name w:val="英文题目"/>
    <w:basedOn w:val="131"/>
    <w:qFormat/>
    <w:uiPriority w:val="99"/>
    <w:pPr>
      <w:spacing w:after="200"/>
      <w:ind w:firstLine="0" w:firstLineChars="0"/>
      <w:jc w:val="center"/>
    </w:pPr>
    <w:rPr>
      <w:rFonts w:ascii="Arial Black" w:hAnsi="Arial Black" w:cs="宋体"/>
      <w:sz w:val="30"/>
      <w:szCs w:val="30"/>
    </w:rPr>
  </w:style>
  <w:style w:type="paragraph" w:customStyle="1" w:styleId="326">
    <w:name w:val="居中正文"/>
    <w:basedOn w:val="52"/>
    <w:qFormat/>
    <w:uiPriority w:val="99"/>
    <w:pPr>
      <w:adjustRightInd w:val="0"/>
      <w:spacing w:before="120"/>
      <w:ind w:firstLine="0" w:firstLineChars="0"/>
      <w:jc w:val="center"/>
      <w:textAlignment w:val="baseline"/>
    </w:pPr>
    <w:rPr>
      <w:rFonts w:ascii="宋体"/>
      <w:kern w:val="28"/>
      <w:szCs w:val="20"/>
    </w:rPr>
  </w:style>
  <w:style w:type="paragraph" w:customStyle="1" w:styleId="327">
    <w:name w:val="我的表格"/>
    <w:qFormat/>
    <w:uiPriority w:val="99"/>
    <w:pPr>
      <w:adjustRightInd w:val="0"/>
      <w:snapToGrid w:val="0"/>
      <w:spacing w:line="300" w:lineRule="exact"/>
      <w:jc w:val="center"/>
    </w:pPr>
    <w:rPr>
      <w:rFonts w:ascii="Times New Roman" w:hAnsi="Times New Roman" w:eastAsia="宋体" w:cs="Times New Roman"/>
      <w:spacing w:val="4"/>
      <w:sz w:val="21"/>
      <w:szCs w:val="24"/>
      <w:lang w:val="en-US" w:eastAsia="zh-CN" w:bidi="th-TH"/>
    </w:rPr>
  </w:style>
  <w:style w:type="paragraph" w:customStyle="1" w:styleId="328">
    <w:name w:val="3标题(治)"/>
    <w:basedOn w:val="6"/>
    <w:link w:val="329"/>
    <w:qFormat/>
    <w:uiPriority w:val="0"/>
    <w:pPr>
      <w:widowControl/>
      <w:numPr>
        <w:numId w:val="0"/>
      </w:numPr>
      <w:adjustRightInd w:val="0"/>
      <w:spacing w:before="0" w:beforeLines="0" w:after="0" w:afterLines="0"/>
      <w:textAlignment w:val="baseline"/>
    </w:pPr>
    <w:rPr>
      <w:rFonts w:eastAsia="黑体"/>
      <w:color w:val="000000"/>
      <w:spacing w:val="6"/>
      <w:sz w:val="28"/>
      <w:szCs w:val="20"/>
    </w:rPr>
  </w:style>
  <w:style w:type="character" w:customStyle="1" w:styleId="329">
    <w:name w:val="3标题(治) Char"/>
    <w:link w:val="328"/>
    <w:qFormat/>
    <w:locked/>
    <w:uiPriority w:val="0"/>
    <w:rPr>
      <w:rFonts w:eastAsia="黑体"/>
      <w:b/>
      <w:color w:val="000000"/>
      <w:spacing w:val="6"/>
      <w:sz w:val="28"/>
      <w:lang w:val="zh-CN" w:eastAsia="zh-CN"/>
    </w:rPr>
  </w:style>
  <w:style w:type="paragraph" w:customStyle="1" w:styleId="330">
    <w:name w:val="封面单位名称"/>
    <w:basedOn w:val="1"/>
    <w:qFormat/>
    <w:uiPriority w:val="99"/>
    <w:pPr>
      <w:widowControl/>
      <w:jc w:val="center"/>
    </w:pPr>
    <w:rPr>
      <w:rFonts w:ascii="宋体" w:hAnsi="宋体" w:cs="宋体"/>
      <w:b/>
      <w:bCs/>
      <w:kern w:val="0"/>
      <w:sz w:val="32"/>
      <w:szCs w:val="24"/>
    </w:rPr>
  </w:style>
  <w:style w:type="paragraph" w:customStyle="1" w:styleId="331">
    <w:name w:val="前言标题"/>
    <w:basedOn w:val="1"/>
    <w:qFormat/>
    <w:uiPriority w:val="99"/>
    <w:pPr>
      <w:widowControl/>
      <w:spacing w:before="120" w:after="120" w:line="360" w:lineRule="auto"/>
      <w:jc w:val="left"/>
    </w:pPr>
    <w:rPr>
      <w:rFonts w:ascii="黑体" w:hAnsi="宋体" w:cs="宋体"/>
      <w:b/>
      <w:bCs/>
      <w:kern w:val="0"/>
      <w:sz w:val="30"/>
      <w:szCs w:val="24"/>
    </w:rPr>
  </w:style>
  <w:style w:type="paragraph" w:customStyle="1" w:styleId="332">
    <w:name w:val="样式9"/>
    <w:basedOn w:val="1"/>
    <w:qFormat/>
    <w:uiPriority w:val="99"/>
    <w:pPr>
      <w:widowControl/>
      <w:adjustRightInd w:val="0"/>
      <w:snapToGrid w:val="0"/>
      <w:spacing w:line="560" w:lineRule="exact"/>
      <w:ind w:firstLine="539"/>
      <w:jc w:val="left"/>
      <w:textAlignment w:val="baseline"/>
    </w:pPr>
    <w:rPr>
      <w:rFonts w:ascii="宋体" w:hAnsi="宋体" w:eastAsia="仿宋_GB2312" w:cs="宋体"/>
      <w:kern w:val="0"/>
      <w:sz w:val="28"/>
      <w:szCs w:val="24"/>
    </w:rPr>
  </w:style>
  <w:style w:type="paragraph" w:customStyle="1" w:styleId="333">
    <w:name w:val="a1"/>
    <w:basedOn w:val="1"/>
    <w:qFormat/>
    <w:uiPriority w:val="99"/>
    <w:pPr>
      <w:widowControl/>
      <w:spacing w:before="50" w:beforeLines="50" w:after="50" w:afterLines="50"/>
      <w:jc w:val="left"/>
      <w:outlineLvl w:val="0"/>
    </w:pPr>
    <w:rPr>
      <w:rFonts w:ascii="宋体" w:hAnsi="宋体" w:eastAsia="黑体" w:cs="宋体"/>
      <w:kern w:val="0"/>
      <w:sz w:val="36"/>
      <w:szCs w:val="24"/>
    </w:rPr>
  </w:style>
  <w:style w:type="paragraph" w:customStyle="1" w:styleId="334">
    <w:name w:val="1表格"/>
    <w:basedOn w:val="1"/>
    <w:qFormat/>
    <w:uiPriority w:val="99"/>
    <w:pPr>
      <w:widowControl/>
      <w:snapToGrid w:val="0"/>
      <w:jc w:val="center"/>
      <w:outlineLvl w:val="4"/>
    </w:pPr>
    <w:rPr>
      <w:rFonts w:ascii="宋体" w:hAnsi="宋体" w:cs="宋体"/>
      <w:spacing w:val="4"/>
      <w:kern w:val="0"/>
      <w:sz w:val="24"/>
      <w:szCs w:val="24"/>
    </w:rPr>
  </w:style>
  <w:style w:type="paragraph" w:customStyle="1" w:styleId="335">
    <w:name w:val="书名"/>
    <w:basedOn w:val="1"/>
    <w:qFormat/>
    <w:uiPriority w:val="99"/>
    <w:pPr>
      <w:widowControl/>
      <w:jc w:val="center"/>
    </w:pPr>
    <w:rPr>
      <w:rFonts w:ascii="宋体" w:hAnsi="宋体" w:cs="宋体"/>
      <w:b/>
      <w:bCs/>
      <w:kern w:val="0"/>
      <w:sz w:val="60"/>
      <w:szCs w:val="24"/>
    </w:rPr>
  </w:style>
  <w:style w:type="paragraph" w:customStyle="1" w:styleId="336">
    <w:name w:val="证书编号"/>
    <w:basedOn w:val="337"/>
    <w:qFormat/>
    <w:uiPriority w:val="99"/>
    <w:pPr>
      <w:jc w:val="left"/>
    </w:pPr>
    <w:rPr>
      <w:sz w:val="28"/>
    </w:rPr>
  </w:style>
  <w:style w:type="paragraph" w:customStyle="1" w:styleId="337">
    <w:name w:val="项目名称"/>
    <w:basedOn w:val="1"/>
    <w:qFormat/>
    <w:uiPriority w:val="99"/>
    <w:pPr>
      <w:widowControl/>
      <w:spacing w:line="360" w:lineRule="auto"/>
      <w:jc w:val="center"/>
    </w:pPr>
    <w:rPr>
      <w:rFonts w:ascii="宋体" w:hAnsi="宋体" w:eastAsia="黑体" w:cs="宋体"/>
      <w:b/>
      <w:kern w:val="0"/>
      <w:sz w:val="44"/>
      <w:szCs w:val="24"/>
    </w:rPr>
  </w:style>
  <w:style w:type="paragraph" w:customStyle="1" w:styleId="338">
    <w:name w:val="a7"/>
    <w:basedOn w:val="1"/>
    <w:qFormat/>
    <w:uiPriority w:val="99"/>
    <w:pPr>
      <w:widowControl/>
      <w:overflowPunct w:val="0"/>
      <w:snapToGrid w:val="0"/>
      <w:spacing w:line="280" w:lineRule="atLeast"/>
      <w:jc w:val="center"/>
    </w:pPr>
    <w:rPr>
      <w:rFonts w:ascii="宋体" w:hAnsi="宋体" w:cs="宋体"/>
      <w:kern w:val="0"/>
      <w:sz w:val="18"/>
      <w:szCs w:val="18"/>
    </w:rPr>
  </w:style>
  <w:style w:type="paragraph" w:customStyle="1" w:styleId="339">
    <w:name w:val="修改"/>
    <w:basedOn w:val="1"/>
    <w:qFormat/>
    <w:uiPriority w:val="99"/>
    <w:pPr>
      <w:widowControl/>
      <w:tabs>
        <w:tab w:val="left" w:pos="2880"/>
      </w:tabs>
      <w:spacing w:line="520" w:lineRule="atLeast"/>
      <w:ind w:firstLine="480" w:firstLineChars="200"/>
      <w:jc w:val="left"/>
    </w:pPr>
    <w:rPr>
      <w:rFonts w:ascii="宋体" w:hAnsi="宋体" w:cs="宋体"/>
      <w:color w:val="FF0000"/>
      <w:kern w:val="0"/>
      <w:sz w:val="24"/>
      <w:szCs w:val="24"/>
      <w:u w:val="double"/>
    </w:rPr>
  </w:style>
  <w:style w:type="paragraph" w:customStyle="1" w:styleId="340">
    <w:name w:val="附表说明"/>
    <w:basedOn w:val="131"/>
    <w:qFormat/>
    <w:uiPriority w:val="99"/>
    <w:pPr>
      <w:ind w:firstLine="0" w:firstLineChars="0"/>
      <w:jc w:val="center"/>
    </w:pPr>
    <w:rPr>
      <w:rFonts w:cs="宋体"/>
      <w:sz w:val="18"/>
      <w:szCs w:val="18"/>
    </w:rPr>
  </w:style>
  <w:style w:type="paragraph" w:customStyle="1" w:styleId="341">
    <w:name w:val="1文章"/>
    <w:basedOn w:val="1"/>
    <w:qFormat/>
    <w:uiPriority w:val="99"/>
    <w:pPr>
      <w:widowControl/>
      <w:snapToGrid w:val="0"/>
      <w:spacing w:line="420" w:lineRule="auto"/>
      <w:ind w:firstLine="454"/>
      <w:jc w:val="left"/>
      <w:outlineLvl w:val="4"/>
    </w:pPr>
    <w:rPr>
      <w:rFonts w:ascii="宋体" w:hAnsi="宋体" w:cs="宋体"/>
      <w:spacing w:val="4"/>
      <w:kern w:val="0"/>
      <w:sz w:val="24"/>
      <w:szCs w:val="24"/>
    </w:rPr>
  </w:style>
  <w:style w:type="paragraph" w:customStyle="1" w:styleId="342">
    <w:name w:val="az"/>
    <w:basedOn w:val="1"/>
    <w:link w:val="343"/>
    <w:qFormat/>
    <w:uiPriority w:val="0"/>
    <w:pPr>
      <w:widowControl/>
      <w:ind w:firstLine="200" w:firstLineChars="200"/>
      <w:jc w:val="left"/>
      <w:outlineLvl w:val="2"/>
    </w:pPr>
    <w:rPr>
      <w:rFonts w:ascii="宋体" w:hAnsi="宋体" w:cs="宋体"/>
      <w:kern w:val="0"/>
      <w:sz w:val="24"/>
      <w:szCs w:val="24"/>
    </w:rPr>
  </w:style>
  <w:style w:type="character" w:customStyle="1" w:styleId="343">
    <w:name w:val="az Char Char1"/>
    <w:link w:val="342"/>
    <w:qFormat/>
    <w:uiPriority w:val="0"/>
    <w:rPr>
      <w:rFonts w:ascii="宋体" w:hAnsi="宋体" w:cs="宋体"/>
      <w:sz w:val="24"/>
      <w:szCs w:val="24"/>
    </w:rPr>
  </w:style>
  <w:style w:type="paragraph" w:customStyle="1" w:styleId="344">
    <w:name w:val="前言"/>
    <w:basedOn w:val="3"/>
    <w:qFormat/>
    <w:uiPriority w:val="99"/>
    <w:pPr>
      <w:widowControl/>
      <w:numPr>
        <w:numId w:val="0"/>
      </w:numPr>
      <w:snapToGrid w:val="0"/>
      <w:spacing w:before="300" w:beforeLines="0" w:after="300" w:afterLines="0"/>
      <w:jc w:val="center"/>
    </w:pPr>
    <w:rPr>
      <w:rFonts w:ascii="宋体" w:hAnsi="宋体" w:eastAsia="宋体"/>
      <w:bCs/>
      <w:sz w:val="36"/>
      <w:szCs w:val="36"/>
    </w:rPr>
  </w:style>
  <w:style w:type="paragraph" w:customStyle="1" w:styleId="345">
    <w:name w:val="1目录"/>
    <w:basedOn w:val="1"/>
    <w:qFormat/>
    <w:uiPriority w:val="99"/>
    <w:pPr>
      <w:widowControl/>
      <w:tabs>
        <w:tab w:val="left" w:leader="middleDot" w:pos="8190"/>
      </w:tabs>
      <w:snapToGrid w:val="0"/>
      <w:spacing w:line="420" w:lineRule="auto"/>
      <w:ind w:left="80" w:leftChars="80"/>
      <w:jc w:val="left"/>
      <w:outlineLvl w:val="2"/>
    </w:pPr>
    <w:rPr>
      <w:rFonts w:ascii="宋体" w:hAnsi="宋体" w:cs="宋体"/>
      <w:bCs/>
      <w:kern w:val="0"/>
      <w:sz w:val="28"/>
      <w:szCs w:val="24"/>
    </w:rPr>
  </w:style>
  <w:style w:type="paragraph" w:customStyle="1" w:styleId="346">
    <w:name w:val="样式4"/>
    <w:basedOn w:val="23"/>
    <w:qFormat/>
    <w:uiPriority w:val="99"/>
    <w:pPr>
      <w:widowControl/>
      <w:spacing w:after="0" w:line="360" w:lineRule="auto"/>
      <w:ind w:firstLine="588" w:firstLineChars="245"/>
      <w:jc w:val="left"/>
    </w:pPr>
    <w:rPr>
      <w:rFonts w:hAnsi="宋体"/>
      <w:snapToGrid w:val="0"/>
      <w:color w:val="000000"/>
      <w:sz w:val="24"/>
      <w:szCs w:val="24"/>
      <w:lang w:val="zh-CN"/>
    </w:rPr>
  </w:style>
  <w:style w:type="paragraph" w:customStyle="1" w:styleId="347">
    <w:name w:val="正文缩进 New"/>
    <w:basedOn w:val="348"/>
    <w:qFormat/>
    <w:uiPriority w:val="99"/>
    <w:pPr>
      <w:ind w:firstLine="420" w:firstLineChars="200"/>
    </w:pPr>
  </w:style>
  <w:style w:type="paragraph" w:customStyle="1" w:styleId="348">
    <w:name w:val="正文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49">
    <w:name w:val="key words"/>
    <w:basedOn w:val="350"/>
    <w:qFormat/>
    <w:uiPriority w:val="99"/>
    <w:pPr>
      <w:snapToGrid w:val="0"/>
    </w:pPr>
    <w:rPr>
      <w:rFonts w:ascii="Arial Black" w:hAnsi="Arial Black" w:eastAsia="宋体"/>
    </w:rPr>
  </w:style>
  <w:style w:type="paragraph" w:customStyle="1" w:styleId="350">
    <w:name w:val="关键词"/>
    <w:basedOn w:val="131"/>
    <w:qFormat/>
    <w:uiPriority w:val="99"/>
    <w:pPr>
      <w:ind w:firstLine="0" w:firstLineChars="0"/>
    </w:pPr>
    <w:rPr>
      <w:rFonts w:eastAsia="黑体" w:cs="宋体"/>
    </w:rPr>
  </w:style>
  <w:style w:type="paragraph" w:customStyle="1" w:styleId="351">
    <w:name w:val="List Paragraph1"/>
    <w:basedOn w:val="1"/>
    <w:qFormat/>
    <w:uiPriority w:val="99"/>
    <w:pPr>
      <w:widowControl/>
      <w:spacing w:line="440" w:lineRule="exact"/>
      <w:ind w:firstLine="420" w:firstLineChars="200"/>
      <w:jc w:val="left"/>
    </w:pPr>
    <w:rPr>
      <w:rFonts w:ascii="Calibri" w:hAnsi="Calibri" w:cs="黑体"/>
      <w:color w:val="000000"/>
      <w:kern w:val="0"/>
      <w:sz w:val="24"/>
    </w:rPr>
  </w:style>
  <w:style w:type="paragraph" w:customStyle="1" w:styleId="352">
    <w:name w:val="表格后段落"/>
    <w:basedOn w:val="1"/>
    <w:qFormat/>
    <w:uiPriority w:val="99"/>
    <w:pPr>
      <w:widowControl/>
      <w:spacing w:before="120" w:beforeLines="50" w:line="360" w:lineRule="auto"/>
      <w:ind w:firstLine="480" w:firstLineChars="200"/>
      <w:jc w:val="left"/>
    </w:pPr>
    <w:rPr>
      <w:rFonts w:ascii="宋体" w:hAnsi="宋体" w:cs="宋体"/>
      <w:kern w:val="0"/>
      <w:sz w:val="24"/>
      <w:szCs w:val="24"/>
    </w:rPr>
  </w:style>
  <w:style w:type="paragraph" w:customStyle="1" w:styleId="353">
    <w:name w:val="封面单位"/>
    <w:basedOn w:val="1"/>
    <w:qFormat/>
    <w:uiPriority w:val="99"/>
    <w:pPr>
      <w:widowControl/>
      <w:spacing w:line="360" w:lineRule="auto"/>
      <w:ind w:firstLine="1687" w:firstLineChars="600"/>
      <w:jc w:val="left"/>
    </w:pPr>
    <w:rPr>
      <w:rFonts w:ascii="宋体" w:hAnsi="宋体" w:eastAsia="黑体" w:cs="宋体"/>
      <w:b/>
      <w:bCs/>
      <w:kern w:val="0"/>
      <w:sz w:val="28"/>
      <w:szCs w:val="24"/>
    </w:rPr>
  </w:style>
  <w:style w:type="paragraph" w:customStyle="1" w:styleId="354">
    <w:name w:val="简单回函地址"/>
    <w:basedOn w:val="1"/>
    <w:qFormat/>
    <w:uiPriority w:val="99"/>
    <w:pPr>
      <w:widowControl/>
      <w:jc w:val="left"/>
    </w:pPr>
    <w:rPr>
      <w:rFonts w:ascii="宋体" w:hAnsi="宋体" w:cs="宋体"/>
      <w:kern w:val="0"/>
      <w:sz w:val="24"/>
      <w:szCs w:val="24"/>
    </w:rPr>
  </w:style>
  <w:style w:type="paragraph" w:customStyle="1" w:styleId="355">
    <w:name w:val="T表格"/>
    <w:qFormat/>
    <w:uiPriority w:val="99"/>
    <w:pPr>
      <w:jc w:val="center"/>
    </w:pPr>
    <w:rPr>
      <w:rFonts w:ascii="Times New Roman" w:hAnsi="Times New Roman" w:eastAsia="宋体" w:cs="Times New Roman"/>
      <w:sz w:val="21"/>
      <w:lang w:val="en-US" w:eastAsia="zh-CN" w:bidi="ar-SA"/>
    </w:rPr>
  </w:style>
  <w:style w:type="paragraph" w:customStyle="1" w:styleId="356">
    <w:name w:val="封面时间"/>
    <w:basedOn w:val="1"/>
    <w:qFormat/>
    <w:uiPriority w:val="99"/>
    <w:pPr>
      <w:widowControl/>
      <w:spacing w:line="360" w:lineRule="auto"/>
      <w:jc w:val="center"/>
    </w:pPr>
    <w:rPr>
      <w:rFonts w:ascii="宋体" w:hAnsi="宋体" w:cs="宋体"/>
      <w:b/>
      <w:bCs/>
      <w:kern w:val="0"/>
      <w:sz w:val="32"/>
      <w:szCs w:val="24"/>
    </w:rPr>
  </w:style>
  <w:style w:type="paragraph" w:customStyle="1" w:styleId="357">
    <w:name w:val="列出段落1"/>
    <w:basedOn w:val="1"/>
    <w:qFormat/>
    <w:uiPriority w:val="34"/>
    <w:pPr>
      <w:widowControl/>
      <w:spacing w:line="440" w:lineRule="exact"/>
      <w:ind w:firstLine="420" w:firstLineChars="200"/>
      <w:jc w:val="left"/>
    </w:pPr>
    <w:rPr>
      <w:rFonts w:ascii="Calibri" w:hAnsi="Calibri" w:cs="黑体"/>
      <w:kern w:val="0"/>
      <w:sz w:val="24"/>
    </w:rPr>
  </w:style>
  <w:style w:type="paragraph" w:customStyle="1" w:styleId="358">
    <w:name w:val="参文献正文"/>
    <w:basedOn w:val="1"/>
    <w:qFormat/>
    <w:uiPriority w:val="99"/>
    <w:pPr>
      <w:widowControl/>
      <w:spacing w:before="60" w:line="340" w:lineRule="exact"/>
      <w:jc w:val="left"/>
    </w:pPr>
    <w:rPr>
      <w:rFonts w:ascii="宋体" w:hAnsi="宋体" w:cs="宋体"/>
      <w:kern w:val="0"/>
      <w:sz w:val="24"/>
      <w:szCs w:val="21"/>
    </w:rPr>
  </w:style>
  <w:style w:type="paragraph" w:customStyle="1" w:styleId="359">
    <w:name w:val="表1"/>
    <w:basedOn w:val="1"/>
    <w:qFormat/>
    <w:uiPriority w:val="0"/>
    <w:pPr>
      <w:widowControl/>
      <w:adjustRightInd w:val="0"/>
      <w:spacing w:before="156" w:beforeLines="50" w:after="156" w:afterLines="50" w:line="400" w:lineRule="exact"/>
      <w:jc w:val="center"/>
    </w:pPr>
    <w:rPr>
      <w:rFonts w:ascii="宋体" w:hAnsi="宋体" w:eastAsia="黑体" w:cs="宋体"/>
      <w:spacing w:val="10"/>
      <w:kern w:val="0"/>
      <w:sz w:val="24"/>
      <w:szCs w:val="24"/>
    </w:rPr>
  </w:style>
  <w:style w:type="paragraph" w:customStyle="1" w:styleId="360">
    <w:name w:val="6表(图)头(治)"/>
    <w:next w:val="1"/>
    <w:link w:val="361"/>
    <w:qFormat/>
    <w:uiPriority w:val="0"/>
    <w:pPr>
      <w:widowControl w:val="0"/>
      <w:jc w:val="center"/>
    </w:pPr>
    <w:rPr>
      <w:rFonts w:ascii="Times New Roman" w:hAnsi="Times New Roman" w:eastAsia="黑体" w:cs="Times New Roman"/>
      <w:b/>
      <w:bCs/>
      <w:sz w:val="28"/>
      <w:lang w:val="en-US" w:eastAsia="zh-CN" w:bidi="ar-SA"/>
    </w:rPr>
  </w:style>
  <w:style w:type="character" w:customStyle="1" w:styleId="361">
    <w:name w:val="6表(图)头(治) Char"/>
    <w:link w:val="360"/>
    <w:qFormat/>
    <w:uiPriority w:val="0"/>
    <w:rPr>
      <w:rFonts w:eastAsia="黑体"/>
      <w:b/>
      <w:bCs/>
      <w:sz w:val="28"/>
      <w:lang w:bidi="ar-SA"/>
    </w:rPr>
  </w:style>
  <w:style w:type="paragraph" w:customStyle="1" w:styleId="362">
    <w:name w:val="前言序号"/>
    <w:qFormat/>
    <w:uiPriority w:val="99"/>
    <w:rPr>
      <w:rFonts w:ascii="Times New Roman" w:hAnsi="Times New Roman" w:eastAsia="黑体" w:cs="Times New Roman"/>
      <w:bCs/>
      <w:kern w:val="2"/>
      <w:sz w:val="30"/>
      <w:szCs w:val="30"/>
      <w:lang w:val="en-US" w:eastAsia="zh-CN" w:bidi="ar-SA"/>
    </w:rPr>
  </w:style>
  <w:style w:type="paragraph" w:customStyle="1" w:styleId="363">
    <w:name w:val="样式 左 行距: 1.5 倍行距"/>
    <w:basedOn w:val="1"/>
    <w:qFormat/>
    <w:uiPriority w:val="99"/>
    <w:pPr>
      <w:widowControl/>
      <w:snapToGrid w:val="0"/>
      <w:spacing w:line="360" w:lineRule="auto"/>
      <w:ind w:firstLine="592" w:firstLineChars="200"/>
      <w:jc w:val="left"/>
    </w:pPr>
    <w:rPr>
      <w:rFonts w:ascii="宋体" w:hAnsi="宋体" w:cs="宋体"/>
      <w:spacing w:val="8"/>
      <w:kern w:val="0"/>
      <w:sz w:val="24"/>
      <w:szCs w:val="24"/>
    </w:rPr>
  </w:style>
  <w:style w:type="paragraph" w:customStyle="1" w:styleId="364">
    <w:name w:val="目录 样式"/>
    <w:basedOn w:val="43"/>
    <w:qFormat/>
    <w:uiPriority w:val="99"/>
    <w:pPr>
      <w:widowControl/>
      <w:tabs>
        <w:tab w:val="right" w:leader="dot" w:pos="9118"/>
      </w:tabs>
      <w:spacing w:before="240"/>
      <w:ind w:left="480" w:right="100" w:rightChars="100"/>
    </w:pPr>
    <w:rPr>
      <w:rFonts w:ascii="Calibri" w:hAnsi="Calibri" w:cs="宋体"/>
      <w:bCs/>
      <w:smallCaps w:val="0"/>
      <w:kern w:val="0"/>
    </w:rPr>
  </w:style>
  <w:style w:type="paragraph" w:customStyle="1" w:styleId="365">
    <w:name w:val="样式5"/>
    <w:basedOn w:val="23"/>
    <w:link w:val="366"/>
    <w:qFormat/>
    <w:uiPriority w:val="0"/>
    <w:pPr>
      <w:widowControl/>
      <w:spacing w:after="0" w:line="360" w:lineRule="auto"/>
      <w:ind w:firstLine="480" w:firstLineChars="200"/>
      <w:jc w:val="left"/>
    </w:pPr>
    <w:rPr>
      <w:color w:val="0000FF"/>
      <w:sz w:val="24"/>
      <w:szCs w:val="24"/>
      <w:lang w:val="zh-CN"/>
    </w:rPr>
  </w:style>
  <w:style w:type="character" w:customStyle="1" w:styleId="366">
    <w:name w:val="样式5 Char2"/>
    <w:link w:val="365"/>
    <w:qFormat/>
    <w:uiPriority w:val="0"/>
    <w:rPr>
      <w:color w:val="0000FF"/>
      <w:kern w:val="2"/>
      <w:sz w:val="24"/>
      <w:szCs w:val="24"/>
      <w:lang w:val="zh-CN" w:eastAsia="zh-CN"/>
    </w:rPr>
  </w:style>
  <w:style w:type="paragraph" w:customStyle="1" w:styleId="367">
    <w:name w:val="正文样式1"/>
    <w:basedOn w:val="1"/>
    <w:qFormat/>
    <w:uiPriority w:val="99"/>
    <w:pPr>
      <w:widowControl/>
      <w:adjustRightInd w:val="0"/>
      <w:spacing w:line="288" w:lineRule="auto"/>
      <w:ind w:firstLine="360" w:firstLineChars="150"/>
      <w:jc w:val="left"/>
      <w:textAlignment w:val="baseline"/>
    </w:pPr>
    <w:rPr>
      <w:rFonts w:ascii="宋体" w:hAnsi="宋体" w:cs="宋体"/>
      <w:kern w:val="0"/>
      <w:sz w:val="24"/>
      <w:szCs w:val="24"/>
    </w:rPr>
  </w:style>
  <w:style w:type="paragraph" w:customStyle="1" w:styleId="368">
    <w:name w:val="表格文字小四字"/>
    <w:basedOn w:val="1"/>
    <w:qFormat/>
    <w:uiPriority w:val="99"/>
    <w:pPr>
      <w:widowControl/>
      <w:snapToGrid w:val="0"/>
      <w:jc w:val="center"/>
    </w:pPr>
    <w:rPr>
      <w:rFonts w:ascii="宋体" w:hAnsi="宋体" w:cs="宋体"/>
      <w:color w:val="FF0000"/>
      <w:spacing w:val="12"/>
      <w:kern w:val="28"/>
      <w:sz w:val="24"/>
      <w:szCs w:val="21"/>
    </w:rPr>
  </w:style>
  <w:style w:type="paragraph" w:customStyle="1" w:styleId="369">
    <w:name w:val="无间隔1"/>
    <w:qFormat/>
    <w:uiPriority w:val="99"/>
    <w:pPr>
      <w:widowControl w:val="0"/>
      <w:jc w:val="both"/>
    </w:pPr>
    <w:rPr>
      <w:rFonts w:ascii="Calibri" w:hAnsi="Calibri" w:eastAsia="宋体" w:cs="黑体"/>
      <w:color w:val="000000"/>
      <w:kern w:val="2"/>
      <w:sz w:val="21"/>
      <w:szCs w:val="22"/>
      <w:lang w:val="en-US" w:eastAsia="zh-CN" w:bidi="ar-SA"/>
    </w:rPr>
  </w:style>
  <w:style w:type="paragraph" w:customStyle="1" w:styleId="370">
    <w:name w:val="目录题目"/>
    <w:basedOn w:val="358"/>
    <w:qFormat/>
    <w:uiPriority w:val="99"/>
    <w:pPr>
      <w:spacing w:after="660"/>
      <w:jc w:val="center"/>
      <w:outlineLvl w:val="0"/>
    </w:pPr>
    <w:rPr>
      <w:rFonts w:eastAsia="黑体"/>
      <w:sz w:val="36"/>
      <w:szCs w:val="36"/>
    </w:rPr>
  </w:style>
  <w:style w:type="paragraph" w:customStyle="1" w:styleId="371">
    <w:name w:val="标准正文"/>
    <w:basedOn w:val="1"/>
    <w:qFormat/>
    <w:uiPriority w:val="99"/>
    <w:pPr>
      <w:widowControl/>
      <w:spacing w:line="360" w:lineRule="auto"/>
      <w:ind w:firstLine="480" w:firstLineChars="200"/>
      <w:jc w:val="left"/>
    </w:pPr>
    <w:rPr>
      <w:rFonts w:ascii="宋体" w:hAnsi="宋体" w:cs="宋体"/>
      <w:kern w:val="0"/>
      <w:sz w:val="24"/>
      <w:szCs w:val="24"/>
    </w:rPr>
  </w:style>
  <w:style w:type="paragraph" w:customStyle="1" w:styleId="372">
    <w:name w:val="样式 [正文格式] + 首行缩进:  2 字符"/>
    <w:basedOn w:val="1"/>
    <w:qFormat/>
    <w:uiPriority w:val="99"/>
    <w:pPr>
      <w:widowControl/>
      <w:spacing w:line="360" w:lineRule="auto"/>
      <w:ind w:firstLine="200" w:firstLineChars="200"/>
      <w:jc w:val="left"/>
    </w:pPr>
    <w:rPr>
      <w:rFonts w:ascii="宋体" w:hAnsi="宋体" w:cs="宋体"/>
      <w:kern w:val="0"/>
      <w:sz w:val="24"/>
      <w:szCs w:val="24"/>
    </w:rPr>
  </w:style>
  <w:style w:type="paragraph" w:customStyle="1" w:styleId="373">
    <w:name w:val="图片"/>
    <w:basedOn w:val="1"/>
    <w:qFormat/>
    <w:uiPriority w:val="99"/>
    <w:pPr>
      <w:widowControl/>
      <w:jc w:val="center"/>
    </w:pPr>
    <w:rPr>
      <w:rFonts w:ascii="宋体" w:hAnsi="宋体" w:cs="宋体"/>
      <w:kern w:val="0"/>
      <w:sz w:val="24"/>
      <w:szCs w:val="24"/>
    </w:rPr>
  </w:style>
  <w:style w:type="paragraph" w:customStyle="1" w:styleId="374">
    <w:name w:val="a3"/>
    <w:basedOn w:val="1"/>
    <w:qFormat/>
    <w:uiPriority w:val="99"/>
    <w:pPr>
      <w:widowControl/>
      <w:spacing w:before="50" w:beforeLines="50"/>
      <w:jc w:val="left"/>
      <w:outlineLvl w:val="2"/>
    </w:pPr>
    <w:rPr>
      <w:rFonts w:ascii="宋体" w:hAnsi="宋体" w:eastAsia="楷体_GB2312" w:cs="宋体"/>
      <w:b/>
      <w:kern w:val="0"/>
      <w:sz w:val="30"/>
      <w:szCs w:val="24"/>
    </w:rPr>
  </w:style>
  <w:style w:type="paragraph" w:customStyle="1" w:styleId="375">
    <w:name w:val="题注 New"/>
    <w:basedOn w:val="348"/>
    <w:next w:val="348"/>
    <w:qFormat/>
    <w:uiPriority w:val="99"/>
    <w:rPr>
      <w:rFonts w:ascii="Arial" w:hAnsi="Arial" w:eastAsia="黑体" w:cs="Arial"/>
    </w:rPr>
  </w:style>
  <w:style w:type="paragraph" w:customStyle="1" w:styleId="376">
    <w:name w:val="插图 居中"/>
    <w:basedOn w:val="1"/>
    <w:qFormat/>
    <w:uiPriority w:val="99"/>
    <w:pPr>
      <w:widowControl/>
      <w:tabs>
        <w:tab w:val="left" w:pos="3825"/>
        <w:tab w:val="left" w:pos="4680"/>
      </w:tabs>
      <w:spacing w:line="360" w:lineRule="auto"/>
      <w:jc w:val="center"/>
    </w:pPr>
    <w:rPr>
      <w:rFonts w:ascii="宋体" w:hAnsi="宋体" w:cs="宋体"/>
      <w:kern w:val="0"/>
      <w:sz w:val="24"/>
      <w:szCs w:val="24"/>
    </w:rPr>
  </w:style>
  <w:style w:type="paragraph" w:customStyle="1" w:styleId="377">
    <w:name w:val="建设单位及评价单位"/>
    <w:basedOn w:val="1"/>
    <w:qFormat/>
    <w:uiPriority w:val="99"/>
    <w:pPr>
      <w:widowControl/>
      <w:spacing w:line="360" w:lineRule="auto"/>
      <w:ind w:firstLine="600" w:firstLineChars="600"/>
      <w:jc w:val="left"/>
    </w:pPr>
    <w:rPr>
      <w:rFonts w:ascii="宋体" w:hAnsi="宋体" w:eastAsia="黑体" w:cs="宋体"/>
      <w:b/>
      <w:bCs/>
      <w:kern w:val="0"/>
      <w:sz w:val="28"/>
      <w:szCs w:val="24"/>
    </w:rPr>
  </w:style>
  <w:style w:type="paragraph" w:customStyle="1" w:styleId="378">
    <w:name w:val="样式 左侧:  0.85 厘米5"/>
    <w:basedOn w:val="1"/>
    <w:qFormat/>
    <w:uiPriority w:val="99"/>
    <w:pPr>
      <w:widowControl/>
      <w:jc w:val="left"/>
    </w:pPr>
    <w:rPr>
      <w:rFonts w:ascii="宋体" w:hAnsi="宋体" w:cs="宋体"/>
      <w:kern w:val="0"/>
      <w:sz w:val="24"/>
      <w:szCs w:val="24"/>
    </w:rPr>
  </w:style>
  <w:style w:type="paragraph" w:customStyle="1" w:styleId="379">
    <w:name w:val="表格头 Char Char Char Char Char Char Char"/>
    <w:basedOn w:val="1"/>
    <w:qFormat/>
    <w:uiPriority w:val="99"/>
    <w:pPr>
      <w:widowControl/>
      <w:adjustRightInd w:val="0"/>
      <w:snapToGrid w:val="0"/>
      <w:spacing w:line="360" w:lineRule="auto"/>
      <w:jc w:val="center"/>
    </w:pPr>
    <w:rPr>
      <w:rFonts w:ascii="宋体" w:hAnsi="宋体" w:cs="宋体"/>
      <w:b/>
      <w:kern w:val="0"/>
      <w:sz w:val="24"/>
      <w:szCs w:val="24"/>
    </w:rPr>
  </w:style>
  <w:style w:type="paragraph" w:styleId="380">
    <w:name w:val="List Paragraph"/>
    <w:basedOn w:val="1"/>
    <w:link w:val="381"/>
    <w:qFormat/>
    <w:uiPriority w:val="1"/>
    <w:pPr>
      <w:widowControl/>
      <w:ind w:firstLine="420" w:firstLineChars="200"/>
      <w:jc w:val="left"/>
    </w:pPr>
    <w:rPr>
      <w:rFonts w:ascii="Calibri" w:hAnsi="Calibri" w:cs="宋体"/>
      <w:kern w:val="0"/>
      <w:sz w:val="24"/>
    </w:rPr>
  </w:style>
  <w:style w:type="character" w:customStyle="1" w:styleId="381">
    <w:name w:val="列表段落 字符1"/>
    <w:link w:val="380"/>
    <w:qFormat/>
    <w:uiPriority w:val="34"/>
    <w:rPr>
      <w:rFonts w:ascii="Calibri" w:hAnsi="Calibri" w:cs="宋体"/>
      <w:sz w:val="24"/>
      <w:szCs w:val="22"/>
    </w:rPr>
  </w:style>
  <w:style w:type="paragraph" w:customStyle="1" w:styleId="382">
    <w:name w:val="纯文本2"/>
    <w:basedOn w:val="1"/>
    <w:qFormat/>
    <w:uiPriority w:val="0"/>
    <w:pPr>
      <w:widowControl/>
      <w:adjustRightInd w:val="0"/>
      <w:jc w:val="left"/>
      <w:textAlignment w:val="baseline"/>
    </w:pPr>
    <w:rPr>
      <w:rFonts w:ascii="宋体" w:hAnsi="Courier New" w:cs="宋体"/>
      <w:kern w:val="0"/>
      <w:sz w:val="24"/>
      <w:szCs w:val="24"/>
      <w:lang w:bidi="th-TH"/>
    </w:rPr>
  </w:style>
  <w:style w:type="paragraph" w:customStyle="1" w:styleId="383">
    <w:name w:val="公式"/>
    <w:basedOn w:val="1"/>
    <w:qFormat/>
    <w:uiPriority w:val="99"/>
    <w:pPr>
      <w:widowControl/>
      <w:jc w:val="center"/>
    </w:pPr>
    <w:rPr>
      <w:rFonts w:ascii="宋体" w:hAnsi="宋体" w:cs="宋体"/>
      <w:kern w:val="0"/>
      <w:sz w:val="24"/>
      <w:szCs w:val="24"/>
    </w:rPr>
  </w:style>
  <w:style w:type="paragraph" w:customStyle="1" w:styleId="384">
    <w:name w:val="样式 标题 2 + 首行缩进:  2 字符"/>
    <w:basedOn w:val="4"/>
    <w:qFormat/>
    <w:uiPriority w:val="99"/>
    <w:pPr>
      <w:widowControl/>
      <w:numPr>
        <w:numId w:val="0"/>
      </w:numPr>
      <w:jc w:val="both"/>
    </w:pPr>
    <w:rPr>
      <w:rFonts w:ascii="Times New Roman" w:hAnsi="Times New Roman" w:eastAsia="黑体" w:cs="宋体"/>
      <w:bCs/>
      <w:kern w:val="2"/>
      <w:sz w:val="30"/>
      <w:szCs w:val="30"/>
    </w:rPr>
  </w:style>
  <w:style w:type="paragraph" w:customStyle="1" w:styleId="385">
    <w:name w:val="Abstract"/>
    <w:basedOn w:val="131"/>
    <w:qFormat/>
    <w:uiPriority w:val="99"/>
    <w:pPr>
      <w:spacing w:after="200"/>
      <w:ind w:firstLine="0" w:firstLineChars="0"/>
      <w:jc w:val="center"/>
    </w:pPr>
    <w:rPr>
      <w:rFonts w:ascii="Arial Black" w:hAnsi="Arial Black" w:cs="宋体"/>
      <w:sz w:val="28"/>
      <w:szCs w:val="28"/>
    </w:rPr>
  </w:style>
  <w:style w:type="paragraph" w:customStyle="1" w:styleId="386">
    <w:name w:val="8说明"/>
    <w:basedOn w:val="1"/>
    <w:next w:val="1"/>
    <w:qFormat/>
    <w:uiPriority w:val="99"/>
    <w:pPr>
      <w:widowControl/>
      <w:ind w:firstLine="480" w:firstLineChars="200"/>
      <w:jc w:val="left"/>
    </w:pPr>
    <w:rPr>
      <w:rFonts w:ascii="宋体" w:hAnsi="宋体" w:eastAsia="楷体_GB2312" w:cs="宋体"/>
      <w:kern w:val="0"/>
      <w:sz w:val="24"/>
      <w:szCs w:val="24"/>
    </w:rPr>
  </w:style>
  <w:style w:type="paragraph" w:customStyle="1" w:styleId="387">
    <w:name w:val="表格文字（M）"/>
    <w:basedOn w:val="1"/>
    <w:qFormat/>
    <w:uiPriority w:val="99"/>
    <w:pPr>
      <w:widowControl/>
      <w:autoSpaceDE w:val="0"/>
      <w:autoSpaceDN w:val="0"/>
      <w:adjustRightInd w:val="0"/>
      <w:jc w:val="center"/>
      <w:textAlignment w:val="baseline"/>
    </w:pPr>
    <w:rPr>
      <w:rFonts w:ascii="宋体" w:hAnsi="宋体" w:cs="宋体"/>
      <w:bCs/>
      <w:kern w:val="0"/>
      <w:sz w:val="24"/>
      <w:szCs w:val="21"/>
    </w:rPr>
  </w:style>
  <w:style w:type="paragraph" w:customStyle="1" w:styleId="388">
    <w:name w:val="TOC 标题1"/>
    <w:basedOn w:val="3"/>
    <w:next w:val="1"/>
    <w:qFormat/>
    <w:uiPriority w:val="39"/>
    <w:pPr>
      <w:widowControl/>
      <w:numPr>
        <w:numId w:val="0"/>
      </w:numPr>
      <w:spacing w:before="480" w:beforeLines="0" w:after="0" w:afterLines="0" w:line="276" w:lineRule="auto"/>
      <w:outlineLvl w:val="9"/>
    </w:pPr>
    <w:rPr>
      <w:rFonts w:ascii="Cambria" w:hAnsi="Cambria" w:eastAsia="宋体"/>
      <w:bCs/>
      <w:color w:val="365F91"/>
      <w:kern w:val="0"/>
      <w:sz w:val="28"/>
      <w:szCs w:val="28"/>
    </w:rPr>
  </w:style>
  <w:style w:type="paragraph" w:customStyle="1" w:styleId="389">
    <w:name w:val="z正文"/>
    <w:basedOn w:val="24"/>
    <w:link w:val="390"/>
    <w:qFormat/>
    <w:uiPriority w:val="0"/>
    <w:pPr>
      <w:autoSpaceDE w:val="0"/>
      <w:autoSpaceDN w:val="0"/>
      <w:adjustRightInd w:val="0"/>
      <w:snapToGrid w:val="0"/>
      <w:spacing w:after="0"/>
      <w:ind w:left="0" w:leftChars="0"/>
      <w:textAlignment w:val="baseline"/>
    </w:pPr>
    <w:rPr>
      <w:kern w:val="0"/>
      <w:szCs w:val="20"/>
      <w:lang w:val="zh-CN"/>
    </w:rPr>
  </w:style>
  <w:style w:type="character" w:customStyle="1" w:styleId="390">
    <w:name w:val="z正文 Char"/>
    <w:link w:val="389"/>
    <w:qFormat/>
    <w:uiPriority w:val="0"/>
    <w:rPr>
      <w:sz w:val="24"/>
      <w:lang w:val="zh-CN" w:eastAsia="zh-CN"/>
    </w:rPr>
  </w:style>
  <w:style w:type="paragraph" w:customStyle="1" w:styleId="391">
    <w:name w:val="内容"/>
    <w:basedOn w:val="1"/>
    <w:link w:val="392"/>
    <w:qFormat/>
    <w:uiPriority w:val="99"/>
    <w:pPr>
      <w:widowControl/>
      <w:adjustRightInd w:val="0"/>
      <w:snapToGrid w:val="0"/>
      <w:spacing w:line="360" w:lineRule="auto"/>
      <w:ind w:firstLine="480" w:firstLineChars="200"/>
      <w:jc w:val="left"/>
    </w:pPr>
    <w:rPr>
      <w:rFonts w:ascii="宋体" w:hAnsi="宋体" w:cs="宋体"/>
      <w:snapToGrid w:val="0"/>
      <w:kern w:val="0"/>
      <w:sz w:val="24"/>
      <w:szCs w:val="24"/>
    </w:rPr>
  </w:style>
  <w:style w:type="character" w:customStyle="1" w:styleId="392">
    <w:name w:val="内容 字符"/>
    <w:link w:val="391"/>
    <w:qFormat/>
    <w:uiPriority w:val="0"/>
    <w:rPr>
      <w:rFonts w:ascii="宋体" w:hAnsi="宋体" w:cs="宋体"/>
      <w:snapToGrid w:val="0"/>
      <w:sz w:val="24"/>
      <w:szCs w:val="24"/>
    </w:rPr>
  </w:style>
  <w:style w:type="paragraph" w:customStyle="1" w:styleId="393">
    <w:name w:val="p0"/>
    <w:basedOn w:val="1"/>
    <w:qFormat/>
    <w:uiPriority w:val="0"/>
    <w:pPr>
      <w:widowControl/>
      <w:jc w:val="left"/>
    </w:pPr>
    <w:rPr>
      <w:rFonts w:ascii="宋体" w:hAnsi="宋体" w:cs="宋体"/>
      <w:kern w:val="0"/>
      <w:sz w:val="24"/>
      <w:szCs w:val="21"/>
    </w:rPr>
  </w:style>
  <w:style w:type="paragraph" w:customStyle="1" w:styleId="394">
    <w:name w:val="表格字体"/>
    <w:basedOn w:val="1"/>
    <w:qFormat/>
    <w:uiPriority w:val="99"/>
    <w:pPr>
      <w:widowControl/>
      <w:spacing w:line="400" w:lineRule="exact"/>
      <w:ind w:firstLine="200" w:firstLineChars="200"/>
      <w:jc w:val="center"/>
    </w:pPr>
    <w:rPr>
      <w:rFonts w:ascii="仿宋_GB2312" w:hAnsi="宋体" w:eastAsia="仿宋_GB2312" w:cs="宋体"/>
      <w:snapToGrid w:val="0"/>
      <w:spacing w:val="2"/>
      <w:kern w:val="0"/>
      <w:sz w:val="24"/>
      <w:szCs w:val="24"/>
    </w:rPr>
  </w:style>
  <w:style w:type="paragraph" w:customStyle="1" w:styleId="395">
    <w:name w:val="4 级标题"/>
    <w:basedOn w:val="1"/>
    <w:qFormat/>
    <w:uiPriority w:val="99"/>
    <w:pPr>
      <w:widowControl/>
      <w:spacing w:line="360" w:lineRule="auto"/>
      <w:jc w:val="left"/>
      <w:outlineLvl w:val="3"/>
    </w:pPr>
    <w:rPr>
      <w:rFonts w:ascii="宋体" w:hAnsi="宋体" w:cs="宋体"/>
      <w:kern w:val="0"/>
      <w:sz w:val="24"/>
      <w:szCs w:val="24"/>
    </w:rPr>
  </w:style>
  <w:style w:type="paragraph" w:customStyle="1" w:styleId="396">
    <w:name w:val="封面字体"/>
    <w:basedOn w:val="1"/>
    <w:qFormat/>
    <w:uiPriority w:val="99"/>
    <w:pPr>
      <w:widowControl/>
      <w:spacing w:line="360" w:lineRule="auto"/>
      <w:jc w:val="center"/>
    </w:pPr>
    <w:rPr>
      <w:rFonts w:hint="eastAsia" w:ascii="宋体" w:hAnsi="宋体" w:cs="宋体"/>
      <w:color w:val="000000"/>
      <w:kern w:val="0"/>
      <w:sz w:val="28"/>
      <w:szCs w:val="24"/>
    </w:rPr>
  </w:style>
  <w:style w:type="paragraph" w:customStyle="1" w:styleId="397">
    <w:name w:val="zhang正文 + 仿宋_GB2312"/>
    <w:basedOn w:val="1"/>
    <w:qFormat/>
    <w:uiPriority w:val="99"/>
    <w:pPr>
      <w:widowControl/>
      <w:adjustRightInd w:val="0"/>
      <w:spacing w:before="50" w:after="50" w:line="500" w:lineRule="exact"/>
      <w:ind w:firstLine="620" w:firstLineChars="200"/>
      <w:jc w:val="left"/>
    </w:pPr>
    <w:rPr>
      <w:rFonts w:ascii="仿宋_GB2312" w:hAnsi="宋体" w:eastAsia="仿宋_GB2312" w:cs="宋体"/>
      <w:color w:val="000000"/>
      <w:spacing w:val="15"/>
      <w:kern w:val="0"/>
      <w:sz w:val="28"/>
      <w:szCs w:val="24"/>
    </w:rPr>
  </w:style>
  <w:style w:type="paragraph" w:customStyle="1" w:styleId="398">
    <w:name w:val="默认段落字体 Para Char Char Char Char"/>
    <w:basedOn w:val="1"/>
    <w:qFormat/>
    <w:uiPriority w:val="0"/>
    <w:pPr>
      <w:widowControl/>
      <w:jc w:val="left"/>
    </w:pPr>
    <w:rPr>
      <w:rFonts w:ascii="宋体" w:hAnsi="宋体" w:cs="宋体"/>
      <w:kern w:val="0"/>
      <w:sz w:val="24"/>
      <w:szCs w:val="24"/>
    </w:rPr>
  </w:style>
  <w:style w:type="paragraph" w:customStyle="1" w:styleId="399">
    <w:name w:val="样式 样式 样式 正文首行缩进 2 + 首行缩进:  2 字符 + 首行缩进:  2 字符 + 首行缩进:  2 字符"/>
    <w:basedOn w:val="1"/>
    <w:qFormat/>
    <w:uiPriority w:val="99"/>
    <w:pPr>
      <w:widowControl/>
      <w:spacing w:line="440" w:lineRule="exact"/>
      <w:ind w:firstLine="200" w:firstLineChars="200"/>
      <w:jc w:val="left"/>
    </w:pPr>
    <w:rPr>
      <w:rFonts w:ascii="宋体" w:hAnsi="宋体" w:cs="宋体"/>
      <w:kern w:val="0"/>
      <w:sz w:val="24"/>
      <w:szCs w:val="24"/>
    </w:rPr>
  </w:style>
  <w:style w:type="paragraph" w:customStyle="1" w:styleId="400">
    <w:name w:val="公参形式"/>
    <w:basedOn w:val="119"/>
    <w:qFormat/>
    <w:uiPriority w:val="99"/>
    <w:pPr>
      <w:spacing w:line="340" w:lineRule="exact"/>
      <w:jc w:val="both"/>
    </w:pPr>
    <w:rPr>
      <w:iCs w:val="0"/>
      <w:szCs w:val="20"/>
    </w:rPr>
  </w:style>
  <w:style w:type="paragraph" w:customStyle="1" w:styleId="401">
    <w:name w:val="修正格式正文"/>
    <w:qFormat/>
    <w:uiPriority w:val="99"/>
    <w:pPr>
      <w:tabs>
        <w:tab w:val="left" w:pos="1980"/>
        <w:tab w:val="left" w:pos="3825"/>
        <w:tab w:val="left" w:pos="4680"/>
      </w:tabs>
      <w:ind w:firstLine="200"/>
    </w:pPr>
    <w:rPr>
      <w:rFonts w:ascii="Times New Roman" w:hAnsi="Times New Roman" w:eastAsia="宋体" w:cs="Times New Roman"/>
      <w:lang w:val="en-US" w:eastAsia="zh-CN" w:bidi="ar-SA"/>
    </w:rPr>
  </w:style>
  <w:style w:type="paragraph" w:customStyle="1" w:styleId="402">
    <w:name w:val="样式 样式 样式 样式 小四 行距: 1.5 倍行距 + 首行缩进:  2 字符 + 首行缩进:  2 字符 + 首行缩进:  ..."/>
    <w:basedOn w:val="1"/>
    <w:qFormat/>
    <w:uiPriority w:val="99"/>
    <w:pPr>
      <w:widowControl/>
      <w:snapToGrid w:val="0"/>
      <w:spacing w:line="360" w:lineRule="auto"/>
      <w:ind w:firstLine="592" w:firstLineChars="200"/>
      <w:jc w:val="left"/>
    </w:pPr>
    <w:rPr>
      <w:rFonts w:ascii="宋体" w:hAnsi="宋体" w:cs="宋体"/>
      <w:spacing w:val="8"/>
      <w:kern w:val="0"/>
      <w:sz w:val="24"/>
      <w:szCs w:val="24"/>
    </w:rPr>
  </w:style>
  <w:style w:type="paragraph" w:customStyle="1" w:styleId="403">
    <w:name w:val="表格文字"/>
    <w:basedOn w:val="1"/>
    <w:link w:val="404"/>
    <w:qFormat/>
    <w:uiPriority w:val="0"/>
    <w:pPr>
      <w:widowControl/>
      <w:tabs>
        <w:tab w:val="left" w:pos="-2848"/>
      </w:tabs>
      <w:spacing w:line="264" w:lineRule="auto"/>
      <w:ind w:firstLine="200" w:firstLineChars="200"/>
      <w:jc w:val="center"/>
    </w:pPr>
    <w:rPr>
      <w:position w:val="-10"/>
      <w:sz w:val="24"/>
      <w:szCs w:val="24"/>
      <w:lang w:val="zh-CN"/>
    </w:rPr>
  </w:style>
  <w:style w:type="character" w:customStyle="1" w:styleId="404">
    <w:name w:val="表格文字 Char"/>
    <w:link w:val="403"/>
    <w:qFormat/>
    <w:uiPriority w:val="0"/>
    <w:rPr>
      <w:kern w:val="2"/>
      <w:position w:val="-10"/>
      <w:sz w:val="24"/>
      <w:szCs w:val="24"/>
      <w:lang w:val="zh-CN" w:eastAsia="zh-CN"/>
    </w:rPr>
  </w:style>
  <w:style w:type="paragraph" w:customStyle="1" w:styleId="405">
    <w:name w:val="表内容"/>
    <w:qFormat/>
    <w:uiPriority w:val="99"/>
    <w:pPr>
      <w:widowControl w:val="0"/>
      <w:spacing w:line="280" w:lineRule="exact"/>
      <w:jc w:val="center"/>
    </w:pPr>
    <w:rPr>
      <w:rFonts w:ascii="Times New Roman" w:hAnsi="Times New Roman" w:eastAsia="宋体" w:cs="Times New Roman"/>
      <w:color w:val="000000"/>
      <w:kern w:val="2"/>
      <w:sz w:val="21"/>
      <w:szCs w:val="24"/>
      <w:lang w:val="en-US" w:eastAsia="zh-CN" w:bidi="ar-SA"/>
    </w:rPr>
  </w:style>
  <w:style w:type="paragraph" w:customStyle="1" w:styleId="406">
    <w:name w:val="样式 报告正文 + 首行缩进:  2 字符"/>
    <w:basedOn w:val="1"/>
    <w:qFormat/>
    <w:uiPriority w:val="99"/>
    <w:pPr>
      <w:widowControl/>
      <w:adjustRightInd w:val="0"/>
      <w:snapToGrid w:val="0"/>
      <w:spacing w:line="360" w:lineRule="auto"/>
      <w:ind w:firstLine="480" w:firstLineChars="200"/>
      <w:jc w:val="left"/>
    </w:pPr>
    <w:rPr>
      <w:rFonts w:ascii="宋体" w:hAnsi="宋体" w:cs="宋体"/>
      <w:kern w:val="0"/>
      <w:sz w:val="24"/>
      <w:szCs w:val="24"/>
    </w:rPr>
  </w:style>
  <w:style w:type="paragraph" w:customStyle="1" w:styleId="407">
    <w:name w:val="稿件"/>
    <w:basedOn w:val="1"/>
    <w:qFormat/>
    <w:uiPriority w:val="99"/>
    <w:pPr>
      <w:widowControl/>
      <w:spacing w:line="360" w:lineRule="auto"/>
      <w:jc w:val="center"/>
    </w:pPr>
    <w:rPr>
      <w:rFonts w:ascii="宋体" w:hAnsi="宋体" w:cs="宋体"/>
      <w:b/>
      <w:bCs/>
      <w:kern w:val="0"/>
      <w:sz w:val="48"/>
      <w:szCs w:val="24"/>
    </w:rPr>
  </w:style>
  <w:style w:type="paragraph" w:customStyle="1" w:styleId="408">
    <w:name w:val="环评报告书正文"/>
    <w:basedOn w:val="1"/>
    <w:qFormat/>
    <w:uiPriority w:val="99"/>
    <w:pPr>
      <w:widowControl/>
      <w:snapToGrid w:val="0"/>
      <w:spacing w:line="360" w:lineRule="auto"/>
      <w:ind w:firstLine="465"/>
      <w:jc w:val="left"/>
    </w:pPr>
    <w:rPr>
      <w:rFonts w:ascii="宋体" w:hAnsi="宋体" w:cs="宋体"/>
      <w:kern w:val="0"/>
      <w:sz w:val="24"/>
      <w:szCs w:val="24"/>
    </w:rPr>
  </w:style>
  <w:style w:type="paragraph" w:customStyle="1" w:styleId="409">
    <w:name w:val="4"/>
    <w:basedOn w:val="1"/>
    <w:next w:val="29"/>
    <w:qFormat/>
    <w:uiPriority w:val="99"/>
    <w:pPr>
      <w:widowControl/>
      <w:jc w:val="left"/>
    </w:pPr>
    <w:rPr>
      <w:rFonts w:ascii="宋体" w:hAnsi="Courier New" w:cs="Courier New"/>
      <w:kern w:val="0"/>
      <w:sz w:val="24"/>
      <w:szCs w:val="21"/>
    </w:rPr>
  </w:style>
  <w:style w:type="paragraph" w:customStyle="1" w:styleId="410">
    <w:name w:val="a表头"/>
    <w:basedOn w:val="1"/>
    <w:qFormat/>
    <w:uiPriority w:val="99"/>
    <w:pPr>
      <w:widowControl/>
      <w:suppressAutoHyphens/>
      <w:spacing w:line="300" w:lineRule="exact"/>
      <w:jc w:val="center"/>
    </w:pPr>
    <w:rPr>
      <w:rFonts w:ascii="宋体" w:hAnsi="宋体" w:eastAsia="楷体_GB2312" w:cs="宋体"/>
      <w:b/>
      <w:color w:val="000000"/>
      <w:kern w:val="1"/>
      <w:sz w:val="24"/>
      <w:szCs w:val="24"/>
      <w:lang w:eastAsia="ar-SA"/>
    </w:rPr>
  </w:style>
  <w:style w:type="paragraph" w:customStyle="1" w:styleId="411">
    <w:name w:val="样式 小四 行距: 1.5 倍行距"/>
    <w:basedOn w:val="1"/>
    <w:qFormat/>
    <w:uiPriority w:val="99"/>
    <w:pPr>
      <w:widowControl/>
      <w:spacing w:line="360" w:lineRule="auto"/>
      <w:ind w:firstLine="200" w:firstLineChars="200"/>
      <w:jc w:val="left"/>
    </w:pPr>
    <w:rPr>
      <w:rFonts w:ascii="宋体" w:hAnsi="宋体" w:cs="宋体"/>
      <w:kern w:val="0"/>
      <w:sz w:val="24"/>
      <w:szCs w:val="24"/>
    </w:rPr>
  </w:style>
  <w:style w:type="paragraph" w:customStyle="1" w:styleId="412">
    <w:name w:val="标题四"/>
    <w:basedOn w:val="1"/>
    <w:qFormat/>
    <w:uiPriority w:val="99"/>
    <w:pPr>
      <w:widowControl/>
      <w:autoSpaceDE w:val="0"/>
      <w:autoSpaceDN w:val="0"/>
      <w:adjustRightInd w:val="0"/>
      <w:snapToGrid w:val="0"/>
      <w:spacing w:before="50" w:beforeLines="50" w:after="50" w:afterLines="50" w:line="560" w:lineRule="exact"/>
      <w:jc w:val="left"/>
      <w:textAlignment w:val="baseline"/>
      <w:outlineLvl w:val="3"/>
    </w:pPr>
    <w:rPr>
      <w:rFonts w:ascii="宋体" w:hAnsi="宋体" w:eastAsia="黑体" w:cs="宋体"/>
      <w:bCs/>
      <w:color w:val="000000"/>
      <w:kern w:val="0"/>
      <w:sz w:val="28"/>
      <w:szCs w:val="24"/>
      <w:u w:color="000000"/>
      <w:lang w:val="zh-CN"/>
    </w:rPr>
  </w:style>
  <w:style w:type="paragraph" w:customStyle="1" w:styleId="413">
    <w:name w:val="样式 左侧:  0.85 厘米"/>
    <w:basedOn w:val="1"/>
    <w:qFormat/>
    <w:uiPriority w:val="99"/>
    <w:pPr>
      <w:widowControl/>
      <w:jc w:val="left"/>
    </w:pPr>
    <w:rPr>
      <w:rFonts w:ascii="宋体" w:hAnsi="宋体" w:cs="宋体"/>
      <w:kern w:val="0"/>
      <w:sz w:val="24"/>
      <w:szCs w:val="24"/>
    </w:rPr>
  </w:style>
  <w:style w:type="table" w:customStyle="1" w:styleId="414">
    <w:name w:val="表格样式1"/>
    <w:basedOn w:val="55"/>
    <w:qFormat/>
    <w:uiPriority w:val="0"/>
    <w:pPr>
      <w:jc w:val="center"/>
    </w:pPr>
    <w:tblPr>
      <w:jc w:val="center"/>
      <w:tblBorders>
        <w:top w:val="single" w:color="auto" w:sz="18" w:space="0"/>
        <w:bottom w:val="single" w:color="auto" w:sz="18" w:space="0"/>
        <w:insideH w:val="single" w:color="auto" w:sz="4" w:space="0"/>
        <w:insideV w:val="single" w:color="auto" w:sz="4" w:space="0"/>
      </w:tblBorders>
    </w:tblPr>
    <w:trPr>
      <w:jc w:val="center"/>
    </w:trPr>
    <w:tcPr>
      <w:vAlign w:val="center"/>
    </w:tcPr>
  </w:style>
  <w:style w:type="table" w:customStyle="1" w:styleId="415">
    <w:name w:val="standard"/>
    <w:basedOn w:val="55"/>
    <w:qFormat/>
    <w:uiPriority w:val="0"/>
    <w:pPr>
      <w:jc w:val="center"/>
    </w:pPr>
    <w:tblPr>
      <w:tblBorders>
        <w:top w:val="single" w:color="auto" w:sz="18" w:space="0"/>
        <w:bottom w:val="single" w:color="auto" w:sz="18" w:space="0"/>
        <w:insideH w:val="single" w:color="auto" w:sz="4" w:space="0"/>
        <w:insideV w:val="single" w:color="auto" w:sz="4" w:space="0"/>
      </w:tblBorders>
    </w:tblPr>
    <w:tcPr>
      <w:vAlign w:val="center"/>
    </w:tcPr>
  </w:style>
  <w:style w:type="paragraph" w:customStyle="1" w:styleId="416">
    <w:name w:val="样式5 表格"/>
    <w:basedOn w:val="1"/>
    <w:qFormat/>
    <w:uiPriority w:val="99"/>
    <w:pPr>
      <w:widowControl/>
      <w:snapToGrid w:val="0"/>
      <w:jc w:val="center"/>
    </w:pPr>
    <w:rPr>
      <w:rFonts w:ascii="宋体" w:hAnsi="宋体" w:cs="Courier New"/>
      <w:kern w:val="0"/>
      <w:sz w:val="24"/>
      <w:szCs w:val="21"/>
    </w:rPr>
  </w:style>
  <w:style w:type="character" w:customStyle="1" w:styleId="417">
    <w:name w:val="H4 Char"/>
    <w:qFormat/>
    <w:uiPriority w:val="0"/>
    <w:rPr>
      <w:rFonts w:ascii="Arial" w:hAnsi="Arial" w:eastAsia="宋体"/>
      <w:kern w:val="2"/>
      <w:sz w:val="24"/>
    </w:rPr>
  </w:style>
  <w:style w:type="paragraph" w:customStyle="1" w:styleId="418">
    <w:name w:val="列表段落1"/>
    <w:basedOn w:val="1"/>
    <w:qFormat/>
    <w:uiPriority w:val="99"/>
    <w:pPr>
      <w:widowControl/>
      <w:spacing w:before="100" w:beforeAutospacing="1" w:after="100" w:afterAutospacing="1"/>
      <w:ind w:firstLine="420" w:firstLineChars="200"/>
      <w:jc w:val="left"/>
    </w:pPr>
    <w:rPr>
      <w:rFonts w:ascii="宋体" w:hAnsi="宋体" w:cs="宋体"/>
      <w:kern w:val="0"/>
      <w:sz w:val="24"/>
      <w:szCs w:val="21"/>
    </w:rPr>
  </w:style>
  <w:style w:type="paragraph" w:customStyle="1" w:styleId="419">
    <w:name w:val="规划正文"/>
    <w:basedOn w:val="1"/>
    <w:qFormat/>
    <w:uiPriority w:val="99"/>
    <w:pPr>
      <w:widowControl/>
      <w:adjustRightInd w:val="0"/>
      <w:ind w:firstLine="539"/>
      <w:jc w:val="left"/>
      <w:textAlignment w:val="baseline"/>
    </w:pPr>
    <w:rPr>
      <w:rFonts w:ascii="宋体" w:hAnsi="宋体" w:eastAsia="仿宋_GB2312" w:cs="宋体"/>
      <w:kern w:val="0"/>
      <w:sz w:val="28"/>
      <w:szCs w:val="24"/>
    </w:rPr>
  </w:style>
  <w:style w:type="paragraph" w:customStyle="1" w:styleId="420">
    <w:name w:val="p15"/>
    <w:basedOn w:val="1"/>
    <w:qFormat/>
    <w:uiPriority w:val="99"/>
    <w:pPr>
      <w:widowControl/>
      <w:spacing w:line="360" w:lineRule="auto"/>
      <w:ind w:firstLine="420"/>
      <w:jc w:val="left"/>
    </w:pPr>
    <w:rPr>
      <w:rFonts w:ascii="宋体" w:hAnsi="宋体" w:cs="宋体"/>
      <w:kern w:val="0"/>
      <w:sz w:val="24"/>
      <w:szCs w:val="24"/>
    </w:rPr>
  </w:style>
  <w:style w:type="character" w:customStyle="1" w:styleId="421">
    <w:name w:val="大纲正文 Char Char"/>
    <w:qFormat/>
    <w:uiPriority w:val="0"/>
    <w:rPr>
      <w:rFonts w:cs="宋体"/>
      <w:kern w:val="2"/>
      <w:sz w:val="24"/>
    </w:rPr>
  </w:style>
  <w:style w:type="character" w:customStyle="1" w:styleId="422">
    <w:name w:val="文本2 Char"/>
    <w:link w:val="423"/>
    <w:qFormat/>
    <w:uiPriority w:val="0"/>
    <w:rPr>
      <w:sz w:val="24"/>
      <w:szCs w:val="28"/>
      <w:lang w:val="zh-CN" w:eastAsia="zh-CN"/>
    </w:rPr>
  </w:style>
  <w:style w:type="paragraph" w:customStyle="1" w:styleId="423">
    <w:name w:val="文本2"/>
    <w:basedOn w:val="1"/>
    <w:link w:val="422"/>
    <w:qFormat/>
    <w:uiPriority w:val="0"/>
    <w:pPr>
      <w:widowControl/>
      <w:spacing w:line="360" w:lineRule="auto"/>
      <w:ind w:firstLine="200" w:firstLineChars="200"/>
      <w:jc w:val="left"/>
    </w:pPr>
    <w:rPr>
      <w:kern w:val="0"/>
      <w:sz w:val="24"/>
      <w:szCs w:val="28"/>
      <w:lang w:val="zh-CN"/>
    </w:rPr>
  </w:style>
  <w:style w:type="character" w:customStyle="1" w:styleId="424">
    <w:name w:val="脚注文本 Char1"/>
    <w:qFormat/>
    <w:uiPriority w:val="99"/>
    <w:rPr>
      <w:kern w:val="2"/>
      <w:sz w:val="18"/>
      <w:szCs w:val="18"/>
    </w:rPr>
  </w:style>
  <w:style w:type="table" w:customStyle="1" w:styleId="425">
    <w:name w:val="ZZX-标准格式"/>
    <w:basedOn w:val="55"/>
    <w:qFormat/>
    <w:uiPriority w:val="0"/>
    <w:rPr>
      <w:szCs w:val="21"/>
    </w:rPr>
    <w:tblPr>
      <w:tblBorders>
        <w:top w:val="single" w:color="auto" w:sz="18" w:space="0"/>
        <w:bottom w:val="single" w:color="auto" w:sz="18" w:space="0"/>
        <w:insideH w:val="single" w:color="auto" w:sz="4" w:space="0"/>
        <w:insideV w:val="single" w:color="auto" w:sz="4" w:space="0"/>
      </w:tblBorders>
    </w:tblPr>
  </w:style>
  <w:style w:type="character" w:customStyle="1" w:styleId="426">
    <w:name w:val="样式 四号 Char Char"/>
    <w:link w:val="427"/>
    <w:qFormat/>
    <w:uiPriority w:val="0"/>
    <w:rPr>
      <w:rFonts w:hAnsi="宋体"/>
      <w:kern w:val="2"/>
      <w:sz w:val="28"/>
      <w:szCs w:val="28"/>
    </w:rPr>
  </w:style>
  <w:style w:type="paragraph" w:customStyle="1" w:styleId="427">
    <w:name w:val="样式 四号"/>
    <w:basedOn w:val="1"/>
    <w:link w:val="426"/>
    <w:qFormat/>
    <w:uiPriority w:val="0"/>
    <w:pPr>
      <w:widowControl/>
      <w:spacing w:line="600" w:lineRule="exact"/>
      <w:ind w:firstLine="601"/>
      <w:jc w:val="left"/>
    </w:pPr>
    <w:rPr>
      <w:rFonts w:hAnsi="宋体"/>
      <w:sz w:val="28"/>
      <w:szCs w:val="28"/>
      <w:lang w:val="zh-CN"/>
    </w:rPr>
  </w:style>
  <w:style w:type="paragraph" w:customStyle="1" w:styleId="428">
    <w:name w:val="2"/>
    <w:qFormat/>
    <w:uiPriority w:val="99"/>
    <w:pPr>
      <w:widowControl w:val="0"/>
      <w:jc w:val="both"/>
    </w:pPr>
    <w:rPr>
      <w:rFonts w:ascii="Times New Roman" w:hAnsi="Times New Roman" w:eastAsia="宋体" w:cs="Times New Roman"/>
      <w:kern w:val="2"/>
      <w:sz w:val="24"/>
      <w:szCs w:val="24"/>
      <w:lang w:val="en-US" w:eastAsia="zh-CN" w:bidi="ar-SA"/>
    </w:rPr>
  </w:style>
  <w:style w:type="character" w:customStyle="1" w:styleId="429">
    <w:name w:val="Char Char Char1"/>
    <w:link w:val="430"/>
    <w:qFormat/>
    <w:uiPriority w:val="0"/>
    <w:rPr>
      <w:rFonts w:ascii="Calibri" w:hAnsi="Calibri"/>
      <w:kern w:val="2"/>
      <w:sz w:val="21"/>
      <w:szCs w:val="22"/>
    </w:rPr>
  </w:style>
  <w:style w:type="paragraph" w:customStyle="1" w:styleId="430">
    <w:name w:val="Char4"/>
    <w:basedOn w:val="1"/>
    <w:link w:val="429"/>
    <w:qFormat/>
    <w:uiPriority w:val="0"/>
    <w:pPr>
      <w:widowControl/>
      <w:jc w:val="left"/>
    </w:pPr>
    <w:rPr>
      <w:rFonts w:ascii="Calibri" w:hAnsi="Calibri"/>
      <w:lang w:val="zh-CN"/>
    </w:rPr>
  </w:style>
  <w:style w:type="character" w:customStyle="1" w:styleId="431">
    <w:name w:val="表与图题 题注 Char"/>
    <w:link w:val="432"/>
    <w:qFormat/>
    <w:uiPriority w:val="0"/>
    <w:rPr>
      <w:rFonts w:ascii="Arial" w:hAnsi="Arial" w:cs="宋体"/>
      <w:sz w:val="18"/>
      <w:szCs w:val="21"/>
    </w:rPr>
  </w:style>
  <w:style w:type="paragraph" w:customStyle="1" w:styleId="432">
    <w:name w:val="表与图题 题注"/>
    <w:basedOn w:val="16"/>
    <w:link w:val="431"/>
    <w:qFormat/>
    <w:uiPriority w:val="0"/>
    <w:rPr>
      <w:rFonts w:eastAsia="宋体"/>
      <w:kern w:val="0"/>
      <w:szCs w:val="21"/>
    </w:rPr>
  </w:style>
  <w:style w:type="paragraph" w:customStyle="1" w:styleId="433">
    <w:name w:val="样式 (符号) 宋体 首行缩进:  1.01 厘米"/>
    <w:basedOn w:val="1"/>
    <w:qFormat/>
    <w:uiPriority w:val="99"/>
    <w:pPr>
      <w:widowControl/>
      <w:spacing w:line="360" w:lineRule="auto"/>
      <w:ind w:firstLine="480" w:firstLineChars="200"/>
      <w:jc w:val="left"/>
    </w:pPr>
    <w:rPr>
      <w:rFonts w:ascii="宋体" w:hAnsi="宋体" w:cs="宋体"/>
      <w:kern w:val="0"/>
      <w:sz w:val="24"/>
      <w:szCs w:val="24"/>
    </w:rPr>
  </w:style>
  <w:style w:type="paragraph" w:customStyle="1" w:styleId="434">
    <w:name w:val="样式 正文文本缩进正文文字缩进 + (符号) 宋体 首行缩进:  0.99 厘米 段后: 0 磅 行距: 1.5 倍行距"/>
    <w:basedOn w:val="24"/>
    <w:qFormat/>
    <w:uiPriority w:val="99"/>
    <w:pPr>
      <w:spacing w:after="0"/>
      <w:ind w:left="0" w:leftChars="0" w:firstLine="560" w:firstLineChars="0"/>
    </w:pPr>
    <w:rPr>
      <w:rFonts w:ascii="宋体" w:hAnsi="宋体" w:cs="宋体"/>
      <w:kern w:val="0"/>
      <w:szCs w:val="20"/>
      <w:lang w:val="zh-CN"/>
    </w:rPr>
  </w:style>
  <w:style w:type="paragraph" w:customStyle="1" w:styleId="435">
    <w:name w:val="目录"/>
    <w:basedOn w:val="1"/>
    <w:qFormat/>
    <w:uiPriority w:val="99"/>
    <w:pPr>
      <w:widowControl/>
      <w:tabs>
        <w:tab w:val="left" w:pos="1980"/>
        <w:tab w:val="left" w:pos="3825"/>
        <w:tab w:val="left" w:pos="4680"/>
      </w:tabs>
      <w:spacing w:line="360" w:lineRule="auto"/>
      <w:jc w:val="center"/>
    </w:pPr>
    <w:rPr>
      <w:rFonts w:ascii="宋体" w:hAnsi="宋体" w:cs="宋体"/>
      <w:b/>
      <w:kern w:val="0"/>
      <w:sz w:val="28"/>
      <w:szCs w:val="24"/>
    </w:rPr>
  </w:style>
  <w:style w:type="paragraph" w:customStyle="1" w:styleId="436">
    <w:name w:val="表格内文字+六号"/>
    <w:basedOn w:val="1"/>
    <w:qFormat/>
    <w:uiPriority w:val="99"/>
    <w:pPr>
      <w:widowControl/>
      <w:tabs>
        <w:tab w:val="left" w:pos="1980"/>
        <w:tab w:val="left" w:pos="3825"/>
        <w:tab w:val="left" w:pos="4680"/>
      </w:tabs>
      <w:jc w:val="center"/>
    </w:pPr>
    <w:rPr>
      <w:rFonts w:ascii="宋体" w:hAnsi="宋体" w:cs="宋体"/>
      <w:color w:val="000000"/>
      <w:kern w:val="0"/>
      <w:sz w:val="15"/>
      <w:szCs w:val="24"/>
    </w:rPr>
  </w:style>
  <w:style w:type="paragraph" w:customStyle="1" w:styleId="437">
    <w:name w:val="表格内文字（倾斜）"/>
    <w:basedOn w:val="1"/>
    <w:link w:val="438"/>
    <w:qFormat/>
    <w:uiPriority w:val="0"/>
    <w:pPr>
      <w:widowControl/>
      <w:tabs>
        <w:tab w:val="left" w:pos="1980"/>
        <w:tab w:val="left" w:pos="3825"/>
        <w:tab w:val="left" w:pos="4680"/>
      </w:tabs>
      <w:jc w:val="center"/>
    </w:pPr>
    <w:rPr>
      <w:i/>
      <w:snapToGrid w:val="0"/>
      <w:color w:val="000000"/>
      <w:kern w:val="0"/>
      <w:sz w:val="20"/>
      <w:szCs w:val="24"/>
      <w:lang w:val="zh-CN"/>
    </w:rPr>
  </w:style>
  <w:style w:type="character" w:customStyle="1" w:styleId="438">
    <w:name w:val="表格内文字（倾斜） Char"/>
    <w:link w:val="437"/>
    <w:qFormat/>
    <w:uiPriority w:val="0"/>
    <w:rPr>
      <w:i/>
      <w:snapToGrid w:val="0"/>
      <w:color w:val="000000"/>
      <w:szCs w:val="24"/>
      <w:lang w:val="zh-CN" w:eastAsia="zh-CN"/>
    </w:rPr>
  </w:style>
  <w:style w:type="character" w:customStyle="1" w:styleId="439">
    <w:name w:val="样式 加粗"/>
    <w:qFormat/>
    <w:uiPriority w:val="0"/>
    <w:rPr>
      <w:rFonts w:ascii="Times New Roman" w:hAnsi="Times New Roman" w:eastAsia="宋体"/>
      <w:b/>
      <w:bCs/>
      <w:sz w:val="24"/>
      <w:szCs w:val="24"/>
    </w:rPr>
  </w:style>
  <w:style w:type="paragraph" w:customStyle="1" w:styleId="440">
    <w:name w:val="样式 加粗 居中"/>
    <w:basedOn w:val="1"/>
    <w:qFormat/>
    <w:uiPriority w:val="99"/>
    <w:pPr>
      <w:widowControl/>
      <w:suppressAutoHyphens/>
      <w:spacing w:line="360" w:lineRule="auto"/>
      <w:jc w:val="center"/>
    </w:pPr>
    <w:rPr>
      <w:rFonts w:ascii="宋体" w:hAnsi="宋体" w:cs="宋体"/>
      <w:b/>
      <w:bCs/>
      <w:kern w:val="1"/>
      <w:sz w:val="24"/>
      <w:szCs w:val="24"/>
      <w:lang w:eastAsia="ar-SA"/>
    </w:rPr>
  </w:style>
  <w:style w:type="paragraph" w:customStyle="1" w:styleId="441">
    <w:name w:val="1"/>
    <w:basedOn w:val="1"/>
    <w:next w:val="29"/>
    <w:qFormat/>
    <w:uiPriority w:val="99"/>
    <w:pPr>
      <w:widowControl/>
      <w:jc w:val="left"/>
    </w:pPr>
    <w:rPr>
      <w:rFonts w:ascii="宋体" w:hAnsi="Courier New" w:cs="宋体"/>
      <w:kern w:val="0"/>
      <w:sz w:val="24"/>
      <w:szCs w:val="24"/>
    </w:rPr>
  </w:style>
  <w:style w:type="paragraph" w:customStyle="1" w:styleId="442">
    <w:name w:val="图表（FAM）"/>
    <w:basedOn w:val="157"/>
    <w:next w:val="1"/>
    <w:qFormat/>
    <w:uiPriority w:val="99"/>
  </w:style>
  <w:style w:type="paragraph" w:customStyle="1" w:styleId="443">
    <w:name w:val="表格内容-改"/>
    <w:basedOn w:val="1"/>
    <w:next w:val="1"/>
    <w:qFormat/>
    <w:uiPriority w:val="99"/>
    <w:pPr>
      <w:widowControl/>
      <w:jc w:val="center"/>
    </w:pPr>
    <w:rPr>
      <w:rFonts w:ascii="宋体" w:hAnsi="宋体" w:cs="宋体"/>
      <w:kern w:val="0"/>
      <w:sz w:val="24"/>
      <w:szCs w:val="24"/>
    </w:rPr>
  </w:style>
  <w:style w:type="paragraph" w:customStyle="1" w:styleId="444">
    <w:name w:val="表格标题-改"/>
    <w:basedOn w:val="1"/>
    <w:qFormat/>
    <w:uiPriority w:val="99"/>
    <w:pPr>
      <w:widowControl/>
      <w:spacing w:line="360" w:lineRule="auto"/>
      <w:jc w:val="center"/>
    </w:pPr>
    <w:rPr>
      <w:rFonts w:ascii="宋体" w:hAnsi="宋体" w:cs="宋体"/>
      <w:b/>
      <w:kern w:val="0"/>
      <w:sz w:val="24"/>
      <w:szCs w:val="24"/>
    </w:rPr>
  </w:style>
  <w:style w:type="paragraph" w:customStyle="1" w:styleId="445">
    <w:name w:val="注释"/>
    <w:basedOn w:val="1"/>
    <w:qFormat/>
    <w:uiPriority w:val="99"/>
    <w:pPr>
      <w:widowControl/>
      <w:spacing w:before="60"/>
      <w:ind w:firstLine="200" w:firstLineChars="200"/>
      <w:jc w:val="left"/>
    </w:pPr>
    <w:rPr>
      <w:rFonts w:ascii="宋体" w:hAnsi="宋体" w:cs="宋体"/>
      <w:b/>
      <w:bCs/>
      <w:kern w:val="0"/>
      <w:sz w:val="18"/>
      <w:szCs w:val="24"/>
      <w:lang w:eastAsia="en-US" w:bidi="en-US"/>
    </w:rPr>
  </w:style>
  <w:style w:type="paragraph" w:customStyle="1" w:styleId="446">
    <w:name w:val="样式 表格内容 +"/>
    <w:basedOn w:val="119"/>
    <w:qFormat/>
    <w:uiPriority w:val="99"/>
    <w:pPr>
      <w:adjustRightInd/>
      <w:spacing w:line="340" w:lineRule="exact"/>
    </w:pPr>
    <w:rPr>
      <w:rFonts w:ascii="Calibri" w:hAnsi="Calibri"/>
      <w:iCs w:val="0"/>
      <w:color w:val="000000"/>
      <w:kern w:val="0"/>
      <w:sz w:val="20"/>
    </w:rPr>
  </w:style>
  <w:style w:type="paragraph" w:customStyle="1" w:styleId="447">
    <w:name w:val="正文1.5倍距"/>
    <w:basedOn w:val="448"/>
    <w:qFormat/>
    <w:uiPriority w:val="99"/>
    <w:pPr>
      <w:spacing w:line="360" w:lineRule="auto"/>
    </w:pPr>
  </w:style>
  <w:style w:type="paragraph" w:customStyle="1" w:styleId="448">
    <w:name w:val="正文格式2012"/>
    <w:basedOn w:val="1"/>
    <w:qFormat/>
    <w:uiPriority w:val="99"/>
    <w:pPr>
      <w:widowControl/>
      <w:spacing w:line="480" w:lineRule="auto"/>
      <w:ind w:firstLine="560" w:firstLineChars="200"/>
      <w:jc w:val="left"/>
    </w:pPr>
    <w:rPr>
      <w:rFonts w:ascii="宋体" w:hAnsi="宋体" w:cs="仿宋_GB2312"/>
      <w:color w:val="000000"/>
      <w:kern w:val="0"/>
      <w:sz w:val="28"/>
      <w:szCs w:val="28"/>
    </w:rPr>
  </w:style>
  <w:style w:type="paragraph" w:customStyle="1" w:styleId="449">
    <w:name w:val="表格2015"/>
    <w:basedOn w:val="1"/>
    <w:qFormat/>
    <w:uiPriority w:val="99"/>
    <w:pPr>
      <w:widowControl/>
      <w:autoSpaceDE w:val="0"/>
      <w:autoSpaceDN w:val="0"/>
      <w:spacing w:line="360" w:lineRule="auto"/>
      <w:jc w:val="center"/>
    </w:pPr>
    <w:rPr>
      <w:rFonts w:ascii="宋体" w:hAnsi="宋体" w:cs="宋体"/>
      <w:b/>
      <w:color w:val="000000"/>
      <w:kern w:val="0"/>
      <w:sz w:val="30"/>
      <w:szCs w:val="30"/>
    </w:rPr>
  </w:style>
  <w:style w:type="character" w:customStyle="1" w:styleId="450">
    <w:name w:val="表头 Char1"/>
    <w:qFormat/>
    <w:uiPriority w:val="0"/>
    <w:rPr>
      <w:rFonts w:ascii="Times New Roman" w:hAnsi="Times New Roman" w:eastAsia="宋体" w:cs="宋体"/>
      <w:b/>
      <w:bCs/>
      <w:color w:val="000000"/>
      <w:kern w:val="2"/>
      <w:sz w:val="24"/>
      <w:szCs w:val="20"/>
    </w:rPr>
  </w:style>
  <w:style w:type="paragraph" w:customStyle="1" w:styleId="451">
    <w:name w:val="图名 小四 加粗"/>
    <w:qFormat/>
    <w:uiPriority w:val="99"/>
    <w:pPr>
      <w:spacing w:line="360" w:lineRule="auto"/>
      <w:jc w:val="center"/>
    </w:pPr>
    <w:rPr>
      <w:rFonts w:ascii="Times New Roman" w:hAnsi="Times New Roman" w:eastAsia="宋体" w:cs="Times New Roman"/>
      <w:b/>
      <w:kern w:val="2"/>
      <w:sz w:val="24"/>
      <w:szCs w:val="24"/>
      <w:lang w:val="en-US" w:eastAsia="zh-CN" w:bidi="ar-SA"/>
    </w:rPr>
  </w:style>
  <w:style w:type="character" w:customStyle="1" w:styleId="452">
    <w:name w:val="正文(首行缩进) Char"/>
    <w:qFormat/>
    <w:uiPriority w:val="0"/>
    <w:rPr>
      <w:rFonts w:ascii="宋体" w:hAnsi="宋体" w:eastAsia="宋体" w:cs="Times New Roman"/>
      <w:color w:val="000000"/>
      <w:kern w:val="24"/>
      <w:sz w:val="24"/>
      <w:szCs w:val="20"/>
      <w:lang w:val="zh-CN" w:eastAsia="zh-CN"/>
    </w:rPr>
  </w:style>
  <w:style w:type="paragraph" w:customStyle="1" w:styleId="453">
    <w:name w:val="标题一啊"/>
    <w:basedOn w:val="3"/>
    <w:qFormat/>
    <w:uiPriority w:val="99"/>
    <w:pPr>
      <w:widowControl/>
      <w:numPr>
        <w:numId w:val="0"/>
      </w:numPr>
      <w:spacing w:before="240" w:beforeLines="0" w:after="240" w:afterLines="0"/>
      <w:jc w:val="both"/>
    </w:pPr>
    <w:rPr>
      <w:rFonts w:ascii="宋体" w:hAnsi="宋体" w:eastAsia="黑体"/>
      <w:bCs/>
      <w:color w:val="000000"/>
      <w:sz w:val="36"/>
      <w:szCs w:val="32"/>
    </w:rPr>
  </w:style>
  <w:style w:type="character" w:customStyle="1" w:styleId="454">
    <w:name w:val="1章(治) Char"/>
    <w:link w:val="455"/>
    <w:qFormat/>
    <w:uiPriority w:val="0"/>
    <w:rPr>
      <w:rFonts w:eastAsia="黑体"/>
      <w:b/>
      <w:color w:val="000000"/>
      <w:sz w:val="32"/>
      <w:szCs w:val="32"/>
    </w:rPr>
  </w:style>
  <w:style w:type="paragraph" w:customStyle="1" w:styleId="455">
    <w:name w:val="1章(治)"/>
    <w:basedOn w:val="1"/>
    <w:next w:val="1"/>
    <w:link w:val="454"/>
    <w:qFormat/>
    <w:uiPriority w:val="0"/>
    <w:pPr>
      <w:widowControl/>
      <w:spacing w:line="360" w:lineRule="auto"/>
      <w:jc w:val="center"/>
      <w:outlineLvl w:val="0"/>
    </w:pPr>
    <w:rPr>
      <w:rFonts w:eastAsia="黑体"/>
      <w:b/>
      <w:color w:val="000000"/>
      <w:kern w:val="0"/>
      <w:sz w:val="32"/>
      <w:szCs w:val="32"/>
      <w:lang w:val="zh-CN"/>
    </w:rPr>
  </w:style>
  <w:style w:type="paragraph" w:customStyle="1" w:styleId="456">
    <w:name w:val="head1"/>
    <w:basedOn w:val="1"/>
    <w:next w:val="1"/>
    <w:qFormat/>
    <w:uiPriority w:val="99"/>
    <w:pPr>
      <w:keepNext/>
      <w:widowControl/>
      <w:adjustRightInd w:val="0"/>
      <w:snapToGrid w:val="0"/>
      <w:spacing w:line="500" w:lineRule="exact"/>
      <w:jc w:val="center"/>
      <w:textAlignment w:val="baseline"/>
    </w:pPr>
    <w:rPr>
      <w:rFonts w:ascii="宋体" w:hAnsi="宋体" w:eastAsia="黑体" w:cs="宋体"/>
      <w:kern w:val="0"/>
      <w:sz w:val="28"/>
      <w:szCs w:val="24"/>
    </w:rPr>
  </w:style>
  <w:style w:type="paragraph" w:customStyle="1" w:styleId="457">
    <w:name w:val="标题4啊啊啊啊 啊"/>
    <w:basedOn w:val="1"/>
    <w:link w:val="458"/>
    <w:qFormat/>
    <w:uiPriority w:val="0"/>
    <w:pPr>
      <w:keepNext/>
      <w:keepLines/>
      <w:widowControl/>
      <w:spacing w:line="360" w:lineRule="auto"/>
      <w:jc w:val="left"/>
      <w:outlineLvl w:val="3"/>
    </w:pPr>
    <w:rPr>
      <w:b/>
      <w:bCs/>
      <w:color w:val="000000"/>
      <w:kern w:val="0"/>
      <w:sz w:val="24"/>
      <w:szCs w:val="28"/>
      <w:lang w:val="zh-CN"/>
    </w:rPr>
  </w:style>
  <w:style w:type="character" w:customStyle="1" w:styleId="458">
    <w:name w:val="标题4啊啊啊啊 啊 Char"/>
    <w:link w:val="457"/>
    <w:qFormat/>
    <w:uiPriority w:val="0"/>
    <w:rPr>
      <w:b/>
      <w:bCs/>
      <w:color w:val="000000"/>
      <w:sz w:val="24"/>
      <w:szCs w:val="28"/>
      <w:lang w:val="zh-CN" w:eastAsia="zh-CN"/>
    </w:rPr>
  </w:style>
  <w:style w:type="paragraph" w:customStyle="1" w:styleId="459">
    <w:name w:val="zzzzz"/>
    <w:basedOn w:val="1"/>
    <w:link w:val="460"/>
    <w:qFormat/>
    <w:uiPriority w:val="0"/>
    <w:pPr>
      <w:widowControl/>
      <w:adjustRightInd w:val="0"/>
      <w:snapToGrid w:val="0"/>
      <w:spacing w:line="360" w:lineRule="auto"/>
      <w:ind w:firstLine="480" w:firstLineChars="200"/>
      <w:jc w:val="left"/>
    </w:pPr>
    <w:rPr>
      <w:rFonts w:hAnsi="宋体"/>
      <w:color w:val="000000"/>
      <w:kern w:val="0"/>
      <w:sz w:val="24"/>
      <w:szCs w:val="24"/>
      <w:lang w:val="zh-CN" w:bidi="en-US"/>
    </w:rPr>
  </w:style>
  <w:style w:type="character" w:customStyle="1" w:styleId="460">
    <w:name w:val="zzzzz Char"/>
    <w:link w:val="459"/>
    <w:qFormat/>
    <w:uiPriority w:val="0"/>
    <w:rPr>
      <w:rFonts w:hAnsi="宋体"/>
      <w:color w:val="000000"/>
      <w:sz w:val="24"/>
      <w:szCs w:val="24"/>
      <w:lang w:val="zh-CN" w:eastAsia="zh-CN" w:bidi="en-US"/>
    </w:rPr>
  </w:style>
  <w:style w:type="paragraph" w:customStyle="1" w:styleId="461">
    <w:name w:val="Char Char Char Char Char Char"/>
    <w:basedOn w:val="1"/>
    <w:qFormat/>
    <w:uiPriority w:val="0"/>
    <w:pPr>
      <w:widowControl/>
      <w:jc w:val="left"/>
    </w:pPr>
    <w:rPr>
      <w:rFonts w:ascii="宋体" w:hAnsi="宋体" w:cs="宋体"/>
      <w:kern w:val="0"/>
      <w:sz w:val="24"/>
      <w:szCs w:val="24"/>
    </w:rPr>
  </w:style>
  <w:style w:type="paragraph" w:customStyle="1" w:styleId="462">
    <w:name w:val="Char Char Char Char1"/>
    <w:basedOn w:val="1"/>
    <w:qFormat/>
    <w:uiPriority w:val="0"/>
    <w:pPr>
      <w:widowControl/>
      <w:jc w:val="left"/>
    </w:pPr>
    <w:rPr>
      <w:rFonts w:ascii="宋体" w:hAnsi="宋体" w:cs="宋体"/>
      <w:kern w:val="0"/>
      <w:sz w:val="24"/>
      <w:szCs w:val="21"/>
    </w:rPr>
  </w:style>
  <w:style w:type="paragraph" w:customStyle="1" w:styleId="463">
    <w:name w:val="标题一"/>
    <w:basedOn w:val="3"/>
    <w:qFormat/>
    <w:uiPriority w:val="99"/>
    <w:pPr>
      <w:widowControl/>
      <w:numPr>
        <w:numId w:val="3"/>
      </w:numPr>
      <w:spacing w:before="0" w:beforeLines="100" w:after="0" w:afterLines="100"/>
      <w:jc w:val="center"/>
    </w:pPr>
    <w:rPr>
      <w:rFonts w:ascii="宋体" w:hAnsi="宋体" w:eastAsia="黑体"/>
      <w:bCs/>
      <w:snapToGrid w:val="0"/>
      <w:color w:val="000000"/>
      <w:kern w:val="18"/>
      <w:szCs w:val="24"/>
    </w:rPr>
  </w:style>
  <w:style w:type="paragraph" w:customStyle="1" w:styleId="464">
    <w:name w:val="样式 正文（小四） + 首行缩进:  2 字符"/>
    <w:basedOn w:val="53"/>
    <w:qFormat/>
    <w:uiPriority w:val="99"/>
    <w:rPr>
      <w:rFonts w:cs="宋体"/>
      <w:bCs w:val="0"/>
      <w:color w:val="000000"/>
      <w:kern w:val="0"/>
      <w:szCs w:val="20"/>
    </w:rPr>
  </w:style>
  <w:style w:type="paragraph" w:customStyle="1" w:styleId="465">
    <w:name w:val="1正文段落"/>
    <w:basedOn w:val="1"/>
    <w:qFormat/>
    <w:uiPriority w:val="99"/>
    <w:pPr>
      <w:widowControl/>
      <w:spacing w:line="360" w:lineRule="auto"/>
      <w:ind w:firstLine="200" w:firstLineChars="200"/>
      <w:jc w:val="left"/>
    </w:pPr>
    <w:rPr>
      <w:rFonts w:ascii="宋体" w:hAnsi="宋体" w:cs="宋体"/>
      <w:snapToGrid w:val="0"/>
      <w:kern w:val="0"/>
      <w:sz w:val="24"/>
      <w:szCs w:val="24"/>
    </w:rPr>
  </w:style>
  <w:style w:type="paragraph" w:customStyle="1" w:styleId="466">
    <w:name w:val="正文2"/>
    <w:link w:val="467"/>
    <w:qFormat/>
    <w:uiPriority w:val="0"/>
    <w:rPr>
      <w:rFonts w:ascii="Times New Roman" w:hAnsi="Times New Roman" w:eastAsia="宋体" w:cs="Times New Roman"/>
      <w:sz w:val="24"/>
      <w:szCs w:val="24"/>
      <w:lang w:val="en-US" w:eastAsia="zh-CN" w:bidi="he-IL"/>
    </w:rPr>
  </w:style>
  <w:style w:type="character" w:customStyle="1" w:styleId="467">
    <w:name w:val="Char Char1"/>
    <w:link w:val="466"/>
    <w:qFormat/>
    <w:uiPriority w:val="0"/>
    <w:rPr>
      <w:sz w:val="24"/>
      <w:szCs w:val="24"/>
      <w:lang w:bidi="he-IL"/>
    </w:rPr>
  </w:style>
  <w:style w:type="paragraph" w:customStyle="1" w:styleId="468">
    <w:name w:val="area"/>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469">
    <w:name w:val="main"/>
    <w:basedOn w:val="59"/>
    <w:qFormat/>
    <w:uiPriority w:val="0"/>
  </w:style>
  <w:style w:type="character" w:customStyle="1" w:styleId="470">
    <w:name w:val="表头[858D7CFB-ED40-4347-BF05-701D383B685F]1"/>
    <w:qFormat/>
    <w:uiPriority w:val="0"/>
    <w:rPr>
      <w:rFonts w:ascii="黑体" w:hAnsi="黑体" w:eastAsia="黑体"/>
      <w:lang w:bidi="ar-SA"/>
    </w:rPr>
  </w:style>
  <w:style w:type="paragraph" w:customStyle="1" w:styleId="471">
    <w:name w:val="样式 标题 2 + 段前: 7.8 磅 段后: 7.8 磅"/>
    <w:basedOn w:val="4"/>
    <w:qFormat/>
    <w:uiPriority w:val="99"/>
    <w:pPr>
      <w:keepNext w:val="0"/>
      <w:keepLines w:val="0"/>
      <w:widowControl/>
      <w:spacing w:beforeLines="0" w:afterLines="0"/>
      <w:ind w:left="0" w:firstLine="0"/>
    </w:pPr>
    <w:rPr>
      <w:rFonts w:ascii="Times New Roman" w:hAnsi="Times New Roman" w:eastAsia="宋体" w:cs="宋体"/>
      <w:bCs/>
      <w:kern w:val="2"/>
      <w:sz w:val="30"/>
      <w:szCs w:val="20"/>
    </w:rPr>
  </w:style>
  <w:style w:type="character" w:customStyle="1" w:styleId="472">
    <w:name w:val="正文1 Char"/>
    <w:qFormat/>
    <w:uiPriority w:val="0"/>
    <w:rPr>
      <w:rFonts w:ascii="宋体" w:hAnsi="宋体"/>
      <w:kern w:val="2"/>
      <w:sz w:val="28"/>
      <w:szCs w:val="28"/>
    </w:rPr>
  </w:style>
  <w:style w:type="character" w:customStyle="1" w:styleId="473">
    <w:name w:val="1标题2级 Char"/>
    <w:link w:val="474"/>
    <w:qFormat/>
    <w:uiPriority w:val="0"/>
    <w:rPr>
      <w:rFonts w:eastAsia="黑体"/>
      <w:b/>
      <w:kern w:val="2"/>
      <w:sz w:val="30"/>
    </w:rPr>
  </w:style>
  <w:style w:type="paragraph" w:customStyle="1" w:styleId="474">
    <w:name w:val="1标题2级"/>
    <w:basedOn w:val="1"/>
    <w:link w:val="473"/>
    <w:qFormat/>
    <w:uiPriority w:val="0"/>
    <w:pPr>
      <w:keepNext/>
      <w:widowControl/>
      <w:adjustRightInd w:val="0"/>
      <w:snapToGrid w:val="0"/>
      <w:spacing w:line="360" w:lineRule="auto"/>
      <w:jc w:val="left"/>
      <w:textAlignment w:val="baseline"/>
      <w:outlineLvl w:val="1"/>
    </w:pPr>
    <w:rPr>
      <w:rFonts w:eastAsia="黑体"/>
      <w:b/>
      <w:sz w:val="30"/>
      <w:szCs w:val="20"/>
      <w:lang w:val="zh-CN"/>
    </w:rPr>
  </w:style>
  <w:style w:type="paragraph" w:customStyle="1" w:styleId="475">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Arial Unicode MS" w:cs="宋体"/>
      <w:kern w:val="0"/>
      <w:sz w:val="24"/>
      <w:szCs w:val="24"/>
    </w:rPr>
  </w:style>
  <w:style w:type="paragraph" w:customStyle="1" w:styleId="476">
    <w:name w:val="表格（FAM）"/>
    <w:basedOn w:val="119"/>
    <w:qFormat/>
    <w:uiPriority w:val="99"/>
  </w:style>
  <w:style w:type="paragraph" w:customStyle="1" w:styleId="477">
    <w:name w:val="正文样式100"/>
    <w:basedOn w:val="1"/>
    <w:qFormat/>
    <w:uiPriority w:val="99"/>
    <w:pPr>
      <w:widowControl/>
      <w:adjustRightInd w:val="0"/>
      <w:snapToGrid w:val="0"/>
      <w:spacing w:line="460" w:lineRule="exact"/>
      <w:ind w:firstLine="480" w:firstLineChars="200"/>
      <w:jc w:val="left"/>
    </w:pPr>
    <w:rPr>
      <w:rFonts w:ascii="宋体" w:hAnsi="宋体" w:cs="Courier New"/>
      <w:bCs/>
      <w:snapToGrid w:val="0"/>
      <w:kern w:val="0"/>
      <w:sz w:val="24"/>
      <w:szCs w:val="24"/>
    </w:rPr>
  </w:style>
  <w:style w:type="character" w:customStyle="1" w:styleId="478">
    <w:name w:val="正文啊 Char"/>
    <w:link w:val="479"/>
    <w:qFormat/>
    <w:uiPriority w:val="0"/>
    <w:rPr>
      <w:color w:val="000000"/>
      <w:kern w:val="2"/>
      <w:sz w:val="24"/>
      <w:szCs w:val="24"/>
    </w:rPr>
  </w:style>
  <w:style w:type="paragraph" w:customStyle="1" w:styleId="479">
    <w:name w:val="正文啊"/>
    <w:basedOn w:val="1"/>
    <w:link w:val="478"/>
    <w:qFormat/>
    <w:uiPriority w:val="0"/>
    <w:pPr>
      <w:widowControl/>
      <w:adjustRightInd w:val="0"/>
      <w:snapToGrid w:val="0"/>
      <w:spacing w:line="360" w:lineRule="auto"/>
      <w:ind w:firstLine="480" w:firstLineChars="200"/>
      <w:jc w:val="left"/>
    </w:pPr>
    <w:rPr>
      <w:color w:val="000000"/>
      <w:sz w:val="24"/>
      <w:szCs w:val="24"/>
      <w:lang w:val="zh-CN"/>
    </w:rPr>
  </w:style>
  <w:style w:type="character" w:customStyle="1" w:styleId="480">
    <w:name w:val="表格内容 Char"/>
    <w:qFormat/>
    <w:uiPriority w:val="0"/>
    <w:rPr>
      <w:sz w:val="21"/>
      <w:lang w:bidi="he-IL"/>
    </w:rPr>
  </w:style>
  <w:style w:type="character" w:customStyle="1" w:styleId="481">
    <w:name w:val="Char Char11"/>
    <w:qFormat/>
    <w:uiPriority w:val="0"/>
    <w:rPr>
      <w:sz w:val="24"/>
      <w:lang w:val="en-US" w:eastAsia="zh-CN" w:bidi="ar-SA"/>
    </w:rPr>
  </w:style>
  <w:style w:type="character" w:customStyle="1" w:styleId="482">
    <w:name w:val="南联小四宋体 Char"/>
    <w:link w:val="483"/>
    <w:qFormat/>
    <w:uiPriority w:val="0"/>
    <w:rPr>
      <w:color w:val="FF00FF"/>
      <w:sz w:val="24"/>
      <w:szCs w:val="30"/>
      <w:lang w:val="en-US" w:eastAsia="zh-CN" w:bidi="ar-SA"/>
    </w:rPr>
  </w:style>
  <w:style w:type="paragraph" w:customStyle="1" w:styleId="483">
    <w:name w:val="南联小四宋体"/>
    <w:link w:val="482"/>
    <w:qFormat/>
    <w:uiPriority w:val="0"/>
    <w:pPr>
      <w:widowControl w:val="0"/>
      <w:spacing w:line="360" w:lineRule="auto"/>
      <w:ind w:firstLine="480" w:firstLineChars="200"/>
      <w:jc w:val="both"/>
    </w:pPr>
    <w:rPr>
      <w:rFonts w:ascii="Times New Roman" w:hAnsi="Times New Roman" w:eastAsia="宋体" w:cs="Times New Roman"/>
      <w:color w:val="FF00FF"/>
      <w:sz w:val="24"/>
      <w:szCs w:val="30"/>
      <w:lang w:val="en-US" w:eastAsia="zh-CN" w:bidi="ar-SA"/>
    </w:rPr>
  </w:style>
  <w:style w:type="character" w:customStyle="1" w:styleId="484">
    <w:name w:val="标1 Char"/>
    <w:link w:val="485"/>
    <w:qFormat/>
    <w:uiPriority w:val="0"/>
    <w:rPr>
      <w:b/>
      <w:kern w:val="2"/>
      <w:sz w:val="30"/>
      <w:szCs w:val="28"/>
    </w:rPr>
  </w:style>
  <w:style w:type="paragraph" w:customStyle="1" w:styleId="485">
    <w:name w:val="标1"/>
    <w:basedOn w:val="474"/>
    <w:link w:val="484"/>
    <w:qFormat/>
    <w:uiPriority w:val="0"/>
    <w:pPr>
      <w:keepNext w:val="0"/>
      <w:autoSpaceDE w:val="0"/>
      <w:autoSpaceDN w:val="0"/>
      <w:snapToGrid/>
      <w:spacing w:line="240" w:lineRule="auto"/>
      <w:jc w:val="center"/>
      <w:textAlignment w:val="auto"/>
    </w:pPr>
    <w:rPr>
      <w:rFonts w:eastAsia="宋体"/>
      <w:szCs w:val="28"/>
    </w:rPr>
  </w:style>
  <w:style w:type="character" w:customStyle="1" w:styleId="486">
    <w:name w:val="标题 2 Char Char"/>
    <w:qFormat/>
    <w:uiPriority w:val="0"/>
    <w:rPr>
      <w:rFonts w:eastAsia="黑体"/>
      <w:kern w:val="2"/>
      <w:sz w:val="32"/>
      <w:szCs w:val="24"/>
      <w:lang w:val="en-US" w:eastAsia="zh-CN" w:bidi="ar-SA"/>
    </w:rPr>
  </w:style>
  <w:style w:type="character" w:customStyle="1" w:styleId="487">
    <w:name w:val="图中字 Char"/>
    <w:link w:val="488"/>
    <w:qFormat/>
    <w:uiPriority w:val="0"/>
    <w:rPr>
      <w:sz w:val="21"/>
      <w:szCs w:val="24"/>
      <w:lang w:eastAsia="en-US" w:bidi="en-US"/>
    </w:rPr>
  </w:style>
  <w:style w:type="paragraph" w:customStyle="1" w:styleId="488">
    <w:name w:val="图中字"/>
    <w:basedOn w:val="1"/>
    <w:link w:val="487"/>
    <w:qFormat/>
    <w:uiPriority w:val="0"/>
    <w:pPr>
      <w:widowControl/>
      <w:jc w:val="center"/>
    </w:pPr>
    <w:rPr>
      <w:kern w:val="0"/>
      <w:szCs w:val="24"/>
      <w:lang w:val="zh-CN" w:eastAsia="en-US" w:bidi="en-US"/>
    </w:rPr>
  </w:style>
  <w:style w:type="character" w:customStyle="1" w:styleId="489">
    <w:name w:val="表头啊 Char"/>
    <w:link w:val="490"/>
    <w:qFormat/>
    <w:uiPriority w:val="0"/>
    <w:rPr>
      <w:b/>
      <w:kern w:val="2"/>
      <w:sz w:val="24"/>
      <w:szCs w:val="24"/>
      <w:lang w:bidi="he-IL"/>
    </w:rPr>
  </w:style>
  <w:style w:type="paragraph" w:customStyle="1" w:styleId="490">
    <w:name w:val="表头啊"/>
    <w:basedOn w:val="1"/>
    <w:link w:val="489"/>
    <w:qFormat/>
    <w:uiPriority w:val="0"/>
    <w:pPr>
      <w:widowControl/>
      <w:spacing w:after="156" w:afterLines="50" w:line="440" w:lineRule="exact"/>
      <w:jc w:val="center"/>
    </w:pPr>
    <w:rPr>
      <w:b/>
      <w:sz w:val="24"/>
      <w:szCs w:val="24"/>
      <w:lang w:val="zh-CN" w:bidi="he-IL"/>
    </w:rPr>
  </w:style>
  <w:style w:type="character" w:customStyle="1" w:styleId="491">
    <w:name w:val="表 Char"/>
    <w:qFormat/>
    <w:uiPriority w:val="0"/>
    <w:rPr>
      <w:color w:val="000000"/>
      <w:kern w:val="2"/>
      <w:sz w:val="21"/>
      <w:szCs w:val="21"/>
    </w:rPr>
  </w:style>
  <w:style w:type="character" w:customStyle="1" w:styleId="492">
    <w:name w:val="2标题(治) Char"/>
    <w:link w:val="493"/>
    <w:qFormat/>
    <w:uiPriority w:val="0"/>
    <w:rPr>
      <w:b/>
      <w:bCs/>
      <w:color w:val="0000FF"/>
      <w:kern w:val="2"/>
      <w:sz w:val="28"/>
      <w:szCs w:val="28"/>
    </w:rPr>
  </w:style>
  <w:style w:type="paragraph" w:customStyle="1" w:styleId="493">
    <w:name w:val="2标题(治)"/>
    <w:basedOn w:val="4"/>
    <w:link w:val="492"/>
    <w:qFormat/>
    <w:uiPriority w:val="0"/>
    <w:pPr>
      <w:widowControl/>
      <w:numPr>
        <w:ilvl w:val="0"/>
        <w:numId w:val="0"/>
      </w:numPr>
      <w:spacing w:before="0" w:beforeLines="0" w:after="0" w:afterLines="0"/>
      <w:jc w:val="both"/>
      <w:outlineLvl w:val="0"/>
    </w:pPr>
    <w:rPr>
      <w:rFonts w:ascii="Times New Roman" w:hAnsi="Times New Roman" w:eastAsia="宋体"/>
      <w:bCs/>
      <w:color w:val="0000FF"/>
      <w:kern w:val="2"/>
      <w:sz w:val="28"/>
      <w:szCs w:val="28"/>
    </w:rPr>
  </w:style>
  <w:style w:type="paragraph" w:customStyle="1" w:styleId="494">
    <w:name w:val="CM6"/>
    <w:basedOn w:val="104"/>
    <w:next w:val="104"/>
    <w:qFormat/>
    <w:uiPriority w:val="99"/>
    <w:pPr>
      <w:spacing w:line="468" w:lineRule="atLeast"/>
    </w:pPr>
    <w:rPr>
      <w:rFonts w:hAnsi="Calibri" w:cs="Times New Roman"/>
      <w:color w:val="auto"/>
    </w:rPr>
  </w:style>
  <w:style w:type="paragraph" w:customStyle="1" w:styleId="495">
    <w:name w:val="CM81"/>
    <w:basedOn w:val="104"/>
    <w:next w:val="104"/>
    <w:qFormat/>
    <w:uiPriority w:val="99"/>
    <w:pPr>
      <w:spacing w:line="468" w:lineRule="atLeast"/>
    </w:pPr>
    <w:rPr>
      <w:rFonts w:hAnsi="Calibri" w:cs="Times New Roman"/>
      <w:color w:val="auto"/>
    </w:rPr>
  </w:style>
  <w:style w:type="paragraph" w:customStyle="1" w:styleId="496">
    <w:name w:val="CM29"/>
    <w:basedOn w:val="104"/>
    <w:next w:val="104"/>
    <w:qFormat/>
    <w:uiPriority w:val="99"/>
    <w:rPr>
      <w:rFonts w:hAnsi="Calibri" w:cs="Times New Roman"/>
      <w:color w:val="auto"/>
    </w:rPr>
  </w:style>
  <w:style w:type="paragraph" w:customStyle="1" w:styleId="497">
    <w:name w:val="Char Char Char Char"/>
    <w:basedOn w:val="1"/>
    <w:qFormat/>
    <w:uiPriority w:val="0"/>
    <w:pPr>
      <w:widowControl/>
      <w:adjustRightInd w:val="0"/>
      <w:spacing w:line="360" w:lineRule="auto"/>
      <w:ind w:firstLine="200" w:firstLineChars="200"/>
      <w:jc w:val="left"/>
      <w:textAlignment w:val="baseline"/>
    </w:pPr>
    <w:rPr>
      <w:rFonts w:ascii="宋体" w:hAnsi="宋体" w:cs="宋体"/>
      <w:kern w:val="0"/>
      <w:sz w:val="24"/>
      <w:szCs w:val="21"/>
    </w:rPr>
  </w:style>
  <w:style w:type="paragraph" w:customStyle="1" w:styleId="498">
    <w:name w:val="CM108"/>
    <w:basedOn w:val="104"/>
    <w:next w:val="104"/>
    <w:qFormat/>
    <w:uiPriority w:val="99"/>
    <w:pPr>
      <w:spacing w:after="1563"/>
    </w:pPr>
    <w:rPr>
      <w:rFonts w:hAnsi="Calibri" w:cs="Times New Roman"/>
      <w:color w:val="auto"/>
    </w:rPr>
  </w:style>
  <w:style w:type="paragraph" w:customStyle="1" w:styleId="499">
    <w:name w:val="样式 1标题1级 + 黑体 居中 行距: 1.5 倍行距"/>
    <w:basedOn w:val="1"/>
    <w:qFormat/>
    <w:uiPriority w:val="99"/>
    <w:pPr>
      <w:keepNext/>
      <w:pageBreakBefore/>
      <w:widowControl/>
      <w:snapToGrid w:val="0"/>
      <w:spacing w:line="360" w:lineRule="auto"/>
      <w:jc w:val="center"/>
      <w:outlineLvl w:val="0"/>
    </w:pPr>
    <w:rPr>
      <w:rFonts w:ascii="黑体" w:hAnsi="宋体" w:eastAsia="黑体" w:cs="宋体"/>
      <w:b/>
      <w:bCs/>
      <w:kern w:val="0"/>
      <w:sz w:val="30"/>
      <w:szCs w:val="24"/>
    </w:rPr>
  </w:style>
  <w:style w:type="paragraph" w:customStyle="1" w:styleId="500">
    <w:name w:val="CM106"/>
    <w:basedOn w:val="104"/>
    <w:next w:val="104"/>
    <w:qFormat/>
    <w:uiPriority w:val="99"/>
    <w:pPr>
      <w:spacing w:after="1218"/>
    </w:pPr>
    <w:rPr>
      <w:rFonts w:hAnsi="Calibri" w:cs="Times New Roman"/>
      <w:color w:val="auto"/>
    </w:rPr>
  </w:style>
  <w:style w:type="paragraph" w:customStyle="1" w:styleId="501">
    <w:name w:val="CM76"/>
    <w:basedOn w:val="104"/>
    <w:next w:val="104"/>
    <w:qFormat/>
    <w:uiPriority w:val="99"/>
    <w:pPr>
      <w:spacing w:line="440" w:lineRule="atLeast"/>
    </w:pPr>
    <w:rPr>
      <w:rFonts w:hAnsi="Calibri" w:cs="Times New Roman"/>
      <w:color w:val="auto"/>
    </w:rPr>
  </w:style>
  <w:style w:type="paragraph" w:customStyle="1" w:styleId="502">
    <w:name w:val="CM25"/>
    <w:basedOn w:val="104"/>
    <w:next w:val="104"/>
    <w:qFormat/>
    <w:uiPriority w:val="99"/>
    <w:pPr>
      <w:spacing w:line="468" w:lineRule="atLeast"/>
    </w:pPr>
    <w:rPr>
      <w:rFonts w:hAnsi="Calibri" w:cs="Times New Roman"/>
      <w:color w:val="auto"/>
    </w:rPr>
  </w:style>
  <w:style w:type="paragraph" w:customStyle="1" w:styleId="503">
    <w:name w:val="CM86"/>
    <w:basedOn w:val="104"/>
    <w:next w:val="104"/>
    <w:qFormat/>
    <w:uiPriority w:val="99"/>
    <w:pPr>
      <w:spacing w:line="273" w:lineRule="atLeast"/>
    </w:pPr>
    <w:rPr>
      <w:rFonts w:hAnsi="Calibri" w:cs="Times New Roman"/>
      <w:color w:val="auto"/>
    </w:rPr>
  </w:style>
  <w:style w:type="paragraph" w:customStyle="1" w:styleId="504">
    <w:name w:val="表格内文字（居中）-wd"/>
    <w:basedOn w:val="1"/>
    <w:qFormat/>
    <w:uiPriority w:val="99"/>
    <w:pPr>
      <w:widowControl/>
      <w:spacing w:line="340" w:lineRule="exact"/>
      <w:jc w:val="center"/>
    </w:pPr>
    <w:rPr>
      <w:rFonts w:ascii="宋体" w:hAnsi="宋体" w:cs="宋体"/>
      <w:kern w:val="0"/>
      <w:sz w:val="24"/>
      <w:szCs w:val="21"/>
    </w:rPr>
  </w:style>
  <w:style w:type="paragraph" w:customStyle="1" w:styleId="505">
    <w:name w:val="1标题1级"/>
    <w:basedOn w:val="1"/>
    <w:qFormat/>
    <w:uiPriority w:val="99"/>
    <w:pPr>
      <w:keepNext/>
      <w:widowControl/>
      <w:adjustRightInd w:val="0"/>
      <w:snapToGrid w:val="0"/>
      <w:spacing w:line="420" w:lineRule="auto"/>
      <w:jc w:val="left"/>
      <w:textAlignment w:val="baseline"/>
      <w:outlineLvl w:val="0"/>
    </w:pPr>
    <w:rPr>
      <w:rFonts w:ascii="宋体" w:hAnsi="宋体" w:eastAsia="黑体" w:cs="宋体"/>
      <w:b/>
      <w:kern w:val="0"/>
      <w:sz w:val="30"/>
      <w:szCs w:val="21"/>
    </w:rPr>
  </w:style>
  <w:style w:type="paragraph" w:customStyle="1" w:styleId="506">
    <w:name w:val="CM56"/>
    <w:basedOn w:val="104"/>
    <w:next w:val="104"/>
    <w:qFormat/>
    <w:uiPriority w:val="99"/>
    <w:rPr>
      <w:rFonts w:hAnsi="Calibri" w:cs="Times New Roman"/>
      <w:color w:val="auto"/>
    </w:rPr>
  </w:style>
  <w:style w:type="paragraph" w:customStyle="1" w:styleId="507">
    <w:name w:val="CM48"/>
    <w:basedOn w:val="104"/>
    <w:next w:val="104"/>
    <w:qFormat/>
    <w:uiPriority w:val="99"/>
    <w:pPr>
      <w:spacing w:line="438" w:lineRule="atLeast"/>
    </w:pPr>
    <w:rPr>
      <w:rFonts w:hAnsi="Calibri" w:cs="Times New Roman"/>
      <w:color w:val="auto"/>
    </w:rPr>
  </w:style>
  <w:style w:type="paragraph" w:customStyle="1" w:styleId="508">
    <w:name w:val="CM104"/>
    <w:basedOn w:val="104"/>
    <w:next w:val="104"/>
    <w:qFormat/>
    <w:uiPriority w:val="99"/>
    <w:pPr>
      <w:spacing w:after="275"/>
    </w:pPr>
    <w:rPr>
      <w:rFonts w:hAnsi="Calibri" w:cs="Times New Roman"/>
      <w:color w:val="auto"/>
    </w:rPr>
  </w:style>
  <w:style w:type="paragraph" w:customStyle="1" w:styleId="509">
    <w:name w:val="CM41"/>
    <w:basedOn w:val="104"/>
    <w:next w:val="104"/>
    <w:qFormat/>
    <w:uiPriority w:val="99"/>
    <w:rPr>
      <w:rFonts w:hAnsi="Calibri" w:cs="Times New Roman"/>
      <w:color w:val="auto"/>
    </w:rPr>
  </w:style>
  <w:style w:type="paragraph" w:customStyle="1" w:styleId="510">
    <w:name w:val="CM99"/>
    <w:basedOn w:val="104"/>
    <w:next w:val="104"/>
    <w:qFormat/>
    <w:uiPriority w:val="99"/>
    <w:pPr>
      <w:spacing w:after="188"/>
    </w:pPr>
    <w:rPr>
      <w:rFonts w:hAnsi="Calibri" w:cs="Times New Roman"/>
      <w:color w:val="auto"/>
    </w:rPr>
  </w:style>
  <w:style w:type="paragraph" w:customStyle="1" w:styleId="511">
    <w:name w:val="CM78"/>
    <w:basedOn w:val="104"/>
    <w:next w:val="104"/>
    <w:qFormat/>
    <w:uiPriority w:val="99"/>
    <w:pPr>
      <w:spacing w:line="468" w:lineRule="atLeast"/>
    </w:pPr>
    <w:rPr>
      <w:rFonts w:hAnsi="Calibri" w:cs="Times New Roman"/>
      <w:color w:val="auto"/>
    </w:rPr>
  </w:style>
  <w:style w:type="paragraph" w:customStyle="1" w:styleId="512">
    <w:name w:val="CM60"/>
    <w:basedOn w:val="104"/>
    <w:next w:val="104"/>
    <w:qFormat/>
    <w:uiPriority w:val="99"/>
    <w:rPr>
      <w:rFonts w:hAnsi="Calibri" w:cs="Times New Roman"/>
      <w:color w:val="auto"/>
    </w:rPr>
  </w:style>
  <w:style w:type="paragraph" w:customStyle="1" w:styleId="513">
    <w:name w:val="1标题3级"/>
    <w:basedOn w:val="474"/>
    <w:qFormat/>
    <w:uiPriority w:val="99"/>
    <w:pPr>
      <w:outlineLvl w:val="2"/>
    </w:pPr>
    <w:rPr>
      <w:sz w:val="28"/>
    </w:rPr>
  </w:style>
  <w:style w:type="paragraph" w:customStyle="1" w:styleId="514">
    <w:name w:val="CM97"/>
    <w:basedOn w:val="104"/>
    <w:next w:val="104"/>
    <w:qFormat/>
    <w:uiPriority w:val="99"/>
    <w:pPr>
      <w:spacing w:after="443"/>
    </w:pPr>
    <w:rPr>
      <w:rFonts w:hAnsi="Calibri" w:cs="Times New Roman"/>
      <w:color w:val="auto"/>
    </w:rPr>
  </w:style>
  <w:style w:type="paragraph" w:customStyle="1" w:styleId="515">
    <w:name w:val="CM45"/>
    <w:basedOn w:val="104"/>
    <w:next w:val="104"/>
    <w:qFormat/>
    <w:uiPriority w:val="99"/>
    <w:pPr>
      <w:spacing w:line="271" w:lineRule="atLeast"/>
    </w:pPr>
    <w:rPr>
      <w:rFonts w:hAnsi="Calibri" w:cs="Times New Roman"/>
      <w:color w:val="auto"/>
    </w:rPr>
  </w:style>
  <w:style w:type="paragraph" w:customStyle="1" w:styleId="516">
    <w:name w:val="CM100"/>
    <w:basedOn w:val="104"/>
    <w:next w:val="104"/>
    <w:qFormat/>
    <w:uiPriority w:val="99"/>
    <w:pPr>
      <w:spacing w:after="1680"/>
    </w:pPr>
    <w:rPr>
      <w:rFonts w:hAnsi="Calibri" w:cs="Times New Roman"/>
      <w:color w:val="auto"/>
    </w:rPr>
  </w:style>
  <w:style w:type="paragraph" w:customStyle="1" w:styleId="517">
    <w:name w:val="CM22"/>
    <w:basedOn w:val="104"/>
    <w:next w:val="104"/>
    <w:qFormat/>
    <w:uiPriority w:val="99"/>
    <w:rPr>
      <w:rFonts w:hAnsi="Calibri" w:cs="Times New Roman"/>
      <w:color w:val="auto"/>
    </w:rPr>
  </w:style>
  <w:style w:type="paragraph" w:customStyle="1" w:styleId="518">
    <w:name w:val="表格标题--wd"/>
    <w:basedOn w:val="39"/>
    <w:next w:val="1"/>
    <w:qFormat/>
    <w:uiPriority w:val="99"/>
    <w:pPr>
      <w:tabs>
        <w:tab w:val="left" w:pos="4035"/>
        <w:tab w:val="center" w:pos="6747"/>
      </w:tabs>
      <w:ind w:left="0" w:firstLine="0" w:firstLineChars="0"/>
      <w:contextualSpacing/>
      <w:jc w:val="center"/>
    </w:pPr>
    <w:rPr>
      <w:b/>
      <w:kern w:val="24"/>
    </w:rPr>
  </w:style>
  <w:style w:type="paragraph" w:customStyle="1" w:styleId="519">
    <w:name w:val="CM66"/>
    <w:basedOn w:val="104"/>
    <w:next w:val="104"/>
    <w:qFormat/>
    <w:uiPriority w:val="99"/>
    <w:rPr>
      <w:rFonts w:hAnsi="Calibri" w:cs="Times New Roman"/>
      <w:color w:val="auto"/>
    </w:rPr>
  </w:style>
  <w:style w:type="paragraph" w:customStyle="1" w:styleId="520">
    <w:name w:val="CM114"/>
    <w:basedOn w:val="104"/>
    <w:next w:val="104"/>
    <w:qFormat/>
    <w:uiPriority w:val="99"/>
    <w:pPr>
      <w:spacing w:after="990"/>
    </w:pPr>
    <w:rPr>
      <w:rFonts w:hAnsi="Calibri" w:cs="Times New Roman"/>
      <w:color w:val="auto"/>
    </w:rPr>
  </w:style>
  <w:style w:type="paragraph" w:customStyle="1" w:styleId="521">
    <w:name w:val="CM101"/>
    <w:basedOn w:val="104"/>
    <w:next w:val="104"/>
    <w:qFormat/>
    <w:uiPriority w:val="99"/>
    <w:pPr>
      <w:spacing w:after="598"/>
    </w:pPr>
    <w:rPr>
      <w:rFonts w:hAnsi="Calibri" w:cs="Times New Roman"/>
      <w:color w:val="auto"/>
    </w:rPr>
  </w:style>
  <w:style w:type="paragraph" w:customStyle="1" w:styleId="522">
    <w:name w:val="CM31"/>
    <w:basedOn w:val="104"/>
    <w:next w:val="104"/>
    <w:qFormat/>
    <w:uiPriority w:val="99"/>
    <w:pPr>
      <w:spacing w:line="468" w:lineRule="atLeast"/>
    </w:pPr>
    <w:rPr>
      <w:rFonts w:hAnsi="Calibri" w:cs="Times New Roman"/>
      <w:color w:val="auto"/>
    </w:rPr>
  </w:style>
  <w:style w:type="paragraph" w:customStyle="1" w:styleId="523">
    <w:name w:val="CM91"/>
    <w:basedOn w:val="104"/>
    <w:next w:val="104"/>
    <w:qFormat/>
    <w:uiPriority w:val="99"/>
    <w:rPr>
      <w:rFonts w:hAnsi="Calibri" w:cs="Times New Roman"/>
      <w:color w:val="auto"/>
    </w:rPr>
  </w:style>
  <w:style w:type="paragraph" w:customStyle="1" w:styleId="524">
    <w:name w:val="CM2"/>
    <w:basedOn w:val="104"/>
    <w:next w:val="104"/>
    <w:qFormat/>
    <w:uiPriority w:val="99"/>
    <w:pPr>
      <w:spacing w:line="468" w:lineRule="atLeast"/>
    </w:pPr>
    <w:rPr>
      <w:rFonts w:hAnsi="Calibri" w:cs="Times New Roman"/>
      <w:color w:val="auto"/>
    </w:rPr>
  </w:style>
  <w:style w:type="paragraph" w:customStyle="1" w:styleId="525">
    <w:name w:val="CM58"/>
    <w:basedOn w:val="104"/>
    <w:next w:val="104"/>
    <w:qFormat/>
    <w:uiPriority w:val="99"/>
    <w:rPr>
      <w:rFonts w:hAnsi="Calibri" w:cs="Times New Roman"/>
      <w:color w:val="auto"/>
    </w:rPr>
  </w:style>
  <w:style w:type="paragraph" w:customStyle="1" w:styleId="526">
    <w:name w:val="CM30"/>
    <w:basedOn w:val="104"/>
    <w:next w:val="104"/>
    <w:qFormat/>
    <w:uiPriority w:val="99"/>
    <w:rPr>
      <w:rFonts w:hAnsi="Calibri" w:cs="Times New Roman"/>
      <w:color w:val="auto"/>
    </w:rPr>
  </w:style>
  <w:style w:type="paragraph" w:customStyle="1" w:styleId="527">
    <w:name w:val="CM46"/>
    <w:basedOn w:val="104"/>
    <w:next w:val="104"/>
    <w:qFormat/>
    <w:uiPriority w:val="99"/>
    <w:pPr>
      <w:spacing w:line="271" w:lineRule="atLeast"/>
    </w:pPr>
    <w:rPr>
      <w:rFonts w:hAnsi="Calibri" w:cs="Times New Roman"/>
      <w:color w:val="auto"/>
    </w:rPr>
  </w:style>
  <w:style w:type="paragraph" w:customStyle="1" w:styleId="528">
    <w:name w:val="CM113"/>
    <w:basedOn w:val="104"/>
    <w:next w:val="104"/>
    <w:qFormat/>
    <w:uiPriority w:val="99"/>
    <w:pPr>
      <w:spacing w:after="2158"/>
    </w:pPr>
    <w:rPr>
      <w:rFonts w:hAnsi="Calibri" w:cs="Times New Roman"/>
      <w:color w:val="auto"/>
    </w:rPr>
  </w:style>
  <w:style w:type="paragraph" w:customStyle="1" w:styleId="529">
    <w:name w:val="CM57"/>
    <w:basedOn w:val="104"/>
    <w:next w:val="104"/>
    <w:qFormat/>
    <w:uiPriority w:val="99"/>
    <w:rPr>
      <w:rFonts w:hAnsi="Calibri" w:cs="Times New Roman"/>
      <w:color w:val="auto"/>
    </w:rPr>
  </w:style>
  <w:style w:type="paragraph" w:customStyle="1" w:styleId="530">
    <w:name w:val="CM67"/>
    <w:basedOn w:val="104"/>
    <w:next w:val="104"/>
    <w:qFormat/>
    <w:uiPriority w:val="99"/>
    <w:rPr>
      <w:rFonts w:hAnsi="Calibri" w:cs="Times New Roman"/>
      <w:color w:val="auto"/>
    </w:rPr>
  </w:style>
  <w:style w:type="paragraph" w:customStyle="1" w:styleId="531">
    <w:name w:val="CM117"/>
    <w:basedOn w:val="104"/>
    <w:next w:val="104"/>
    <w:qFormat/>
    <w:uiPriority w:val="99"/>
    <w:pPr>
      <w:spacing w:after="185"/>
    </w:pPr>
    <w:rPr>
      <w:rFonts w:hAnsi="Calibri" w:cs="Times New Roman"/>
      <w:color w:val="auto"/>
    </w:rPr>
  </w:style>
  <w:style w:type="paragraph" w:customStyle="1" w:styleId="532">
    <w:name w:val="CM42"/>
    <w:basedOn w:val="104"/>
    <w:next w:val="104"/>
    <w:qFormat/>
    <w:uiPriority w:val="99"/>
    <w:rPr>
      <w:rFonts w:hAnsi="Calibri" w:cs="Times New Roman"/>
      <w:color w:val="auto"/>
    </w:rPr>
  </w:style>
  <w:style w:type="paragraph" w:customStyle="1" w:styleId="533">
    <w:name w:val="CM5"/>
    <w:basedOn w:val="1"/>
    <w:next w:val="1"/>
    <w:qFormat/>
    <w:uiPriority w:val="99"/>
    <w:pPr>
      <w:widowControl/>
      <w:autoSpaceDE w:val="0"/>
      <w:autoSpaceDN w:val="0"/>
      <w:adjustRightInd w:val="0"/>
      <w:spacing w:line="468" w:lineRule="atLeast"/>
      <w:jc w:val="left"/>
    </w:pPr>
    <w:rPr>
      <w:rFonts w:ascii="宋体" w:hAnsi="Calibri" w:cs="宋体"/>
      <w:kern w:val="0"/>
      <w:sz w:val="24"/>
      <w:szCs w:val="24"/>
    </w:rPr>
  </w:style>
  <w:style w:type="paragraph" w:customStyle="1" w:styleId="534">
    <w:name w:val="章"/>
    <w:basedOn w:val="1"/>
    <w:next w:val="5"/>
    <w:qFormat/>
    <w:uiPriority w:val="99"/>
    <w:pPr>
      <w:widowControl/>
      <w:spacing w:before="240" w:after="480" w:line="360" w:lineRule="auto"/>
      <w:ind w:firstLine="200" w:firstLineChars="200"/>
      <w:jc w:val="center"/>
      <w:outlineLvl w:val="0"/>
    </w:pPr>
    <w:rPr>
      <w:rFonts w:ascii="宋体" w:hAnsi="宋体" w:eastAsia="黑体" w:cs="宋体"/>
      <w:b/>
      <w:kern w:val="0"/>
      <w:sz w:val="32"/>
      <w:szCs w:val="24"/>
      <w:lang w:bidi="he-IL"/>
    </w:rPr>
  </w:style>
  <w:style w:type="paragraph" w:customStyle="1" w:styleId="535">
    <w:name w:val="CM27"/>
    <w:basedOn w:val="104"/>
    <w:next w:val="104"/>
    <w:qFormat/>
    <w:uiPriority w:val="99"/>
    <w:pPr>
      <w:spacing w:line="468" w:lineRule="atLeast"/>
    </w:pPr>
    <w:rPr>
      <w:rFonts w:hAnsi="Calibri" w:cs="Times New Roman"/>
      <w:color w:val="auto"/>
    </w:rPr>
  </w:style>
  <w:style w:type="paragraph" w:customStyle="1" w:styleId="536">
    <w:name w:val="CM36"/>
    <w:basedOn w:val="104"/>
    <w:next w:val="104"/>
    <w:qFormat/>
    <w:uiPriority w:val="99"/>
    <w:pPr>
      <w:spacing w:line="586" w:lineRule="atLeast"/>
    </w:pPr>
    <w:rPr>
      <w:rFonts w:hAnsi="Calibri" w:cs="Times New Roman"/>
      <w:color w:val="auto"/>
    </w:rPr>
  </w:style>
  <w:style w:type="paragraph" w:customStyle="1" w:styleId="537">
    <w:name w:val="CM95"/>
    <w:basedOn w:val="104"/>
    <w:next w:val="104"/>
    <w:qFormat/>
    <w:uiPriority w:val="99"/>
    <w:pPr>
      <w:spacing w:after="117"/>
    </w:pPr>
    <w:rPr>
      <w:rFonts w:hAnsi="Calibri" w:cs="Times New Roman"/>
      <w:color w:val="auto"/>
    </w:rPr>
  </w:style>
  <w:style w:type="paragraph" w:customStyle="1" w:styleId="538">
    <w:name w:val="1表格头"/>
    <w:basedOn w:val="334"/>
    <w:qFormat/>
    <w:uiPriority w:val="99"/>
    <w:pPr>
      <w:spacing w:line="420" w:lineRule="auto"/>
      <w:outlineLvl w:val="3"/>
    </w:pPr>
    <w:rPr>
      <w:rFonts w:eastAsia="黑体"/>
      <w:b/>
    </w:rPr>
  </w:style>
  <w:style w:type="paragraph" w:customStyle="1" w:styleId="539">
    <w:name w:val="CM55"/>
    <w:basedOn w:val="104"/>
    <w:next w:val="104"/>
    <w:qFormat/>
    <w:uiPriority w:val="99"/>
    <w:rPr>
      <w:rFonts w:hAnsi="Calibri" w:cs="Times New Roman"/>
      <w:color w:val="auto"/>
    </w:rPr>
  </w:style>
  <w:style w:type="paragraph" w:customStyle="1" w:styleId="540">
    <w:name w:val="CM83"/>
    <w:basedOn w:val="104"/>
    <w:next w:val="104"/>
    <w:qFormat/>
    <w:uiPriority w:val="99"/>
    <w:pPr>
      <w:spacing w:line="468" w:lineRule="atLeast"/>
    </w:pPr>
    <w:rPr>
      <w:rFonts w:hAnsi="Calibri" w:cs="Times New Roman"/>
      <w:color w:val="auto"/>
    </w:rPr>
  </w:style>
  <w:style w:type="paragraph" w:customStyle="1" w:styleId="541">
    <w:name w:val="版心内容为四号字的样式"/>
    <w:basedOn w:val="1"/>
    <w:qFormat/>
    <w:uiPriority w:val="99"/>
    <w:pPr>
      <w:widowControl/>
      <w:adjustRightInd w:val="0"/>
      <w:snapToGrid w:val="0"/>
      <w:spacing w:line="360" w:lineRule="auto"/>
      <w:ind w:firstLine="560" w:firstLineChars="200"/>
      <w:jc w:val="left"/>
    </w:pPr>
    <w:rPr>
      <w:rFonts w:ascii="宋体" w:hAnsi="宋体" w:cs="宋体"/>
      <w:color w:val="FF0000"/>
      <w:kern w:val="0"/>
      <w:sz w:val="28"/>
      <w:szCs w:val="28"/>
    </w:rPr>
  </w:style>
  <w:style w:type="paragraph" w:customStyle="1" w:styleId="542">
    <w:name w:val="CM98"/>
    <w:basedOn w:val="104"/>
    <w:next w:val="104"/>
    <w:qFormat/>
    <w:uiPriority w:val="99"/>
    <w:pPr>
      <w:spacing w:after="138"/>
    </w:pPr>
    <w:rPr>
      <w:rFonts w:hAnsi="Calibri" w:cs="Times New Roman"/>
      <w:color w:val="auto"/>
    </w:rPr>
  </w:style>
  <w:style w:type="paragraph" w:customStyle="1" w:styleId="543">
    <w:name w:val="k正文"/>
    <w:basedOn w:val="1"/>
    <w:qFormat/>
    <w:uiPriority w:val="99"/>
    <w:pPr>
      <w:widowControl/>
      <w:adjustRightInd w:val="0"/>
      <w:snapToGrid w:val="0"/>
      <w:spacing w:line="360" w:lineRule="auto"/>
      <w:ind w:firstLine="539"/>
      <w:jc w:val="left"/>
    </w:pPr>
    <w:rPr>
      <w:rFonts w:ascii="宋体" w:hAnsi="宋体" w:eastAsia="仿宋_GB2312" w:cs="宋体"/>
      <w:kern w:val="0"/>
      <w:sz w:val="28"/>
      <w:szCs w:val="24"/>
    </w:rPr>
  </w:style>
  <w:style w:type="paragraph" w:customStyle="1" w:styleId="544">
    <w:name w:val="CM116"/>
    <w:basedOn w:val="104"/>
    <w:next w:val="104"/>
    <w:qFormat/>
    <w:uiPriority w:val="99"/>
    <w:pPr>
      <w:spacing w:after="315"/>
    </w:pPr>
    <w:rPr>
      <w:rFonts w:hAnsi="Calibri" w:cs="Times New Roman"/>
      <w:color w:val="auto"/>
    </w:rPr>
  </w:style>
  <w:style w:type="paragraph" w:customStyle="1" w:styleId="545">
    <w:name w:val="CM59"/>
    <w:basedOn w:val="104"/>
    <w:next w:val="104"/>
    <w:qFormat/>
    <w:uiPriority w:val="99"/>
    <w:rPr>
      <w:rFonts w:hAnsi="Calibri" w:cs="Times New Roman"/>
      <w:color w:val="auto"/>
    </w:rPr>
  </w:style>
  <w:style w:type="paragraph" w:customStyle="1" w:styleId="546">
    <w:name w:val="CM20"/>
    <w:basedOn w:val="104"/>
    <w:next w:val="104"/>
    <w:qFormat/>
    <w:uiPriority w:val="99"/>
    <w:pPr>
      <w:spacing w:line="466" w:lineRule="atLeast"/>
    </w:pPr>
    <w:rPr>
      <w:rFonts w:hAnsi="Calibri" w:cs="Times New Roman"/>
      <w:color w:val="auto"/>
    </w:rPr>
  </w:style>
  <w:style w:type="paragraph" w:customStyle="1" w:styleId="547">
    <w:name w:val="CM8"/>
    <w:basedOn w:val="104"/>
    <w:next w:val="104"/>
    <w:qFormat/>
    <w:uiPriority w:val="99"/>
    <w:pPr>
      <w:spacing w:line="468" w:lineRule="atLeast"/>
    </w:pPr>
    <w:rPr>
      <w:rFonts w:hAnsi="Calibri" w:cs="Times New Roman"/>
      <w:color w:val="auto"/>
    </w:rPr>
  </w:style>
  <w:style w:type="paragraph" w:customStyle="1" w:styleId="548">
    <w:name w:val="CM38"/>
    <w:basedOn w:val="104"/>
    <w:next w:val="104"/>
    <w:qFormat/>
    <w:uiPriority w:val="99"/>
    <w:pPr>
      <w:spacing w:line="468" w:lineRule="atLeast"/>
    </w:pPr>
    <w:rPr>
      <w:rFonts w:hAnsi="Calibri" w:cs="Times New Roman"/>
      <w:color w:val="auto"/>
    </w:rPr>
  </w:style>
  <w:style w:type="paragraph" w:customStyle="1" w:styleId="549">
    <w:name w:val="CM26"/>
    <w:basedOn w:val="104"/>
    <w:next w:val="104"/>
    <w:qFormat/>
    <w:uiPriority w:val="99"/>
    <w:pPr>
      <w:spacing w:line="466" w:lineRule="atLeast"/>
    </w:pPr>
    <w:rPr>
      <w:rFonts w:hAnsi="Calibri" w:cs="Times New Roman"/>
      <w:color w:val="auto"/>
    </w:rPr>
  </w:style>
  <w:style w:type="paragraph" w:customStyle="1" w:styleId="550">
    <w:name w:val="CM50"/>
    <w:basedOn w:val="104"/>
    <w:next w:val="104"/>
    <w:qFormat/>
    <w:uiPriority w:val="99"/>
    <w:pPr>
      <w:spacing w:line="468" w:lineRule="atLeast"/>
    </w:pPr>
    <w:rPr>
      <w:rFonts w:hAnsi="Calibri" w:cs="Times New Roman"/>
      <w:color w:val="auto"/>
    </w:rPr>
  </w:style>
  <w:style w:type="paragraph" w:customStyle="1" w:styleId="551">
    <w:name w:val="CM84"/>
    <w:basedOn w:val="104"/>
    <w:next w:val="104"/>
    <w:qFormat/>
    <w:uiPriority w:val="99"/>
    <w:pPr>
      <w:spacing w:line="313" w:lineRule="atLeast"/>
    </w:pPr>
    <w:rPr>
      <w:rFonts w:hAnsi="Calibri" w:cs="Times New Roman"/>
      <w:color w:val="auto"/>
    </w:rPr>
  </w:style>
  <w:style w:type="paragraph" w:customStyle="1" w:styleId="552">
    <w:name w:val="CM79"/>
    <w:basedOn w:val="104"/>
    <w:next w:val="104"/>
    <w:qFormat/>
    <w:uiPriority w:val="99"/>
    <w:rPr>
      <w:rFonts w:hAnsi="Calibri" w:cs="Times New Roman"/>
      <w:color w:val="auto"/>
    </w:rPr>
  </w:style>
  <w:style w:type="paragraph" w:customStyle="1" w:styleId="553">
    <w:name w:val="CM28"/>
    <w:basedOn w:val="104"/>
    <w:next w:val="104"/>
    <w:qFormat/>
    <w:uiPriority w:val="99"/>
    <w:pPr>
      <w:spacing w:line="468" w:lineRule="atLeast"/>
    </w:pPr>
    <w:rPr>
      <w:rFonts w:hAnsi="Calibri" w:cs="Times New Roman"/>
      <w:color w:val="auto"/>
    </w:rPr>
  </w:style>
  <w:style w:type="paragraph" w:customStyle="1" w:styleId="554">
    <w:name w:val="xl36"/>
    <w:basedOn w:val="1"/>
    <w:qFormat/>
    <w:uiPriority w:val="99"/>
    <w:pPr>
      <w:widowControl/>
      <w:pBdr>
        <w:left w:val="single" w:color="auto" w:sz="8" w:space="0"/>
        <w:bottom w:val="single" w:color="auto" w:sz="4" w:space="0"/>
        <w:right w:val="single" w:color="auto" w:sz="4" w:space="0"/>
      </w:pBdr>
      <w:spacing w:before="100" w:after="100"/>
      <w:jc w:val="center"/>
    </w:pPr>
    <w:rPr>
      <w:rFonts w:ascii="宋体" w:hAnsi="宋体" w:cs="宋体"/>
      <w:kern w:val="0"/>
      <w:sz w:val="24"/>
      <w:szCs w:val="24"/>
    </w:rPr>
  </w:style>
  <w:style w:type="paragraph" w:customStyle="1" w:styleId="555">
    <w:name w:val="CM112"/>
    <w:basedOn w:val="104"/>
    <w:next w:val="104"/>
    <w:qFormat/>
    <w:uiPriority w:val="99"/>
    <w:pPr>
      <w:spacing w:after="247"/>
    </w:pPr>
    <w:rPr>
      <w:rFonts w:hAnsi="Calibri" w:cs="Times New Roman"/>
      <w:color w:val="auto"/>
    </w:rPr>
  </w:style>
  <w:style w:type="paragraph" w:customStyle="1" w:styleId="556">
    <w:name w:val="CM54"/>
    <w:basedOn w:val="104"/>
    <w:next w:val="104"/>
    <w:qFormat/>
    <w:uiPriority w:val="99"/>
    <w:rPr>
      <w:rFonts w:hAnsi="Calibri" w:cs="Times New Roman"/>
      <w:color w:val="auto"/>
    </w:rPr>
  </w:style>
  <w:style w:type="paragraph" w:customStyle="1" w:styleId="557">
    <w:name w:val="CM14"/>
    <w:basedOn w:val="104"/>
    <w:next w:val="104"/>
    <w:qFormat/>
    <w:uiPriority w:val="99"/>
    <w:rPr>
      <w:rFonts w:hAnsi="Calibri" w:cs="Times New Roman"/>
      <w:color w:val="auto"/>
    </w:rPr>
  </w:style>
  <w:style w:type="paragraph" w:customStyle="1" w:styleId="558">
    <w:name w:val="CM13"/>
    <w:basedOn w:val="104"/>
    <w:next w:val="104"/>
    <w:qFormat/>
    <w:uiPriority w:val="99"/>
    <w:pPr>
      <w:spacing w:line="491" w:lineRule="atLeast"/>
    </w:pPr>
    <w:rPr>
      <w:rFonts w:hAnsi="Calibri" w:cs="Times New Roman"/>
      <w:color w:val="auto"/>
    </w:rPr>
  </w:style>
  <w:style w:type="paragraph" w:customStyle="1" w:styleId="559">
    <w:name w:val="CM118"/>
    <w:basedOn w:val="104"/>
    <w:next w:val="104"/>
    <w:qFormat/>
    <w:uiPriority w:val="99"/>
    <w:pPr>
      <w:spacing w:after="5425"/>
    </w:pPr>
    <w:rPr>
      <w:rFonts w:hAnsi="Calibri" w:cs="Times New Roman"/>
      <w:color w:val="auto"/>
    </w:rPr>
  </w:style>
  <w:style w:type="paragraph" w:customStyle="1" w:styleId="560">
    <w:name w:val="CM111"/>
    <w:basedOn w:val="104"/>
    <w:next w:val="104"/>
    <w:qFormat/>
    <w:uiPriority w:val="99"/>
    <w:pPr>
      <w:spacing w:after="3848"/>
    </w:pPr>
    <w:rPr>
      <w:rFonts w:hAnsi="Calibri" w:cs="Times New Roman"/>
      <w:color w:val="auto"/>
    </w:rPr>
  </w:style>
  <w:style w:type="paragraph" w:customStyle="1" w:styleId="561">
    <w:name w:val="CM71"/>
    <w:basedOn w:val="104"/>
    <w:next w:val="104"/>
    <w:qFormat/>
    <w:uiPriority w:val="99"/>
    <w:pPr>
      <w:spacing w:line="468" w:lineRule="atLeast"/>
    </w:pPr>
    <w:rPr>
      <w:rFonts w:hAnsi="Calibri" w:cs="Times New Roman"/>
      <w:color w:val="auto"/>
    </w:rPr>
  </w:style>
  <w:style w:type="paragraph" w:customStyle="1" w:styleId="562">
    <w:name w:val="CM96"/>
    <w:basedOn w:val="104"/>
    <w:next w:val="104"/>
    <w:qFormat/>
    <w:uiPriority w:val="99"/>
    <w:pPr>
      <w:spacing w:after="363"/>
    </w:pPr>
    <w:rPr>
      <w:rFonts w:hAnsi="Calibri" w:cs="Times New Roman"/>
      <w:color w:val="auto"/>
    </w:rPr>
  </w:style>
  <w:style w:type="paragraph" w:customStyle="1" w:styleId="563">
    <w:name w:val="CM18"/>
    <w:basedOn w:val="104"/>
    <w:next w:val="104"/>
    <w:qFormat/>
    <w:uiPriority w:val="99"/>
    <w:pPr>
      <w:spacing w:line="468" w:lineRule="atLeast"/>
    </w:pPr>
    <w:rPr>
      <w:rFonts w:hAnsi="Calibri" w:cs="Times New Roman"/>
      <w:color w:val="auto"/>
    </w:rPr>
  </w:style>
  <w:style w:type="paragraph" w:customStyle="1" w:styleId="564">
    <w:name w:val="默认段落字体 Para Char Char Char1 Char"/>
    <w:basedOn w:val="1"/>
    <w:qFormat/>
    <w:uiPriority w:val="99"/>
    <w:pPr>
      <w:widowControl/>
      <w:jc w:val="left"/>
    </w:pPr>
    <w:rPr>
      <w:rFonts w:ascii="Tahoma" w:hAnsi="Tahoma" w:cs="Tahoma"/>
      <w:kern w:val="0"/>
      <w:sz w:val="24"/>
      <w:szCs w:val="24"/>
    </w:rPr>
  </w:style>
  <w:style w:type="paragraph" w:customStyle="1" w:styleId="565">
    <w:name w:val="CM109"/>
    <w:basedOn w:val="104"/>
    <w:next w:val="104"/>
    <w:qFormat/>
    <w:uiPriority w:val="99"/>
    <w:pPr>
      <w:spacing w:after="1343"/>
    </w:pPr>
    <w:rPr>
      <w:rFonts w:hAnsi="Calibri" w:cs="Times New Roman"/>
      <w:color w:val="auto"/>
    </w:rPr>
  </w:style>
  <w:style w:type="paragraph" w:customStyle="1" w:styleId="566">
    <w:name w:val="CM17"/>
    <w:basedOn w:val="104"/>
    <w:next w:val="104"/>
    <w:qFormat/>
    <w:uiPriority w:val="99"/>
    <w:rPr>
      <w:rFonts w:hAnsi="Calibri" w:cs="Times New Roman"/>
      <w:color w:val="auto"/>
    </w:rPr>
  </w:style>
  <w:style w:type="paragraph" w:customStyle="1" w:styleId="567">
    <w:name w:val="CM7"/>
    <w:basedOn w:val="104"/>
    <w:next w:val="104"/>
    <w:qFormat/>
    <w:uiPriority w:val="99"/>
    <w:pPr>
      <w:spacing w:line="468" w:lineRule="atLeast"/>
    </w:pPr>
    <w:rPr>
      <w:rFonts w:hAnsi="Calibri" w:cs="Times New Roman"/>
      <w:color w:val="auto"/>
    </w:rPr>
  </w:style>
  <w:style w:type="paragraph" w:customStyle="1" w:styleId="568">
    <w:name w:val="CM11"/>
    <w:basedOn w:val="104"/>
    <w:next w:val="104"/>
    <w:qFormat/>
    <w:uiPriority w:val="99"/>
    <w:pPr>
      <w:spacing w:line="468" w:lineRule="atLeast"/>
    </w:pPr>
    <w:rPr>
      <w:rFonts w:hAnsi="Calibri" w:cs="Times New Roman"/>
      <w:color w:val="auto"/>
    </w:rPr>
  </w:style>
  <w:style w:type="paragraph" w:customStyle="1" w:styleId="569">
    <w:name w:val="CM77"/>
    <w:basedOn w:val="104"/>
    <w:next w:val="104"/>
    <w:qFormat/>
    <w:uiPriority w:val="99"/>
    <w:pPr>
      <w:spacing w:line="440" w:lineRule="atLeast"/>
    </w:pPr>
    <w:rPr>
      <w:rFonts w:hAnsi="Calibri" w:cs="Times New Roman"/>
      <w:color w:val="auto"/>
    </w:rPr>
  </w:style>
  <w:style w:type="paragraph" w:customStyle="1" w:styleId="570">
    <w:name w:val="CM9"/>
    <w:basedOn w:val="104"/>
    <w:next w:val="104"/>
    <w:qFormat/>
    <w:uiPriority w:val="99"/>
    <w:pPr>
      <w:spacing w:line="468" w:lineRule="atLeast"/>
    </w:pPr>
    <w:rPr>
      <w:rFonts w:hAnsi="Calibri" w:cs="Times New Roman"/>
      <w:color w:val="auto"/>
    </w:rPr>
  </w:style>
  <w:style w:type="paragraph" w:customStyle="1" w:styleId="571">
    <w:name w:val="CM105"/>
    <w:basedOn w:val="104"/>
    <w:next w:val="104"/>
    <w:qFormat/>
    <w:uiPriority w:val="99"/>
    <w:pPr>
      <w:spacing w:after="55"/>
    </w:pPr>
    <w:rPr>
      <w:rFonts w:hAnsi="Calibri" w:cs="Times New Roman"/>
      <w:color w:val="auto"/>
    </w:rPr>
  </w:style>
  <w:style w:type="paragraph" w:customStyle="1" w:styleId="572">
    <w:name w:val="CM3"/>
    <w:basedOn w:val="104"/>
    <w:next w:val="104"/>
    <w:qFormat/>
    <w:uiPriority w:val="99"/>
    <w:pPr>
      <w:spacing w:line="433" w:lineRule="atLeast"/>
    </w:pPr>
    <w:rPr>
      <w:rFonts w:hAnsi="Calibri" w:cs="Times New Roman"/>
      <w:color w:val="auto"/>
    </w:rPr>
  </w:style>
  <w:style w:type="paragraph" w:customStyle="1" w:styleId="573">
    <w:name w:val="CM103"/>
    <w:basedOn w:val="104"/>
    <w:next w:val="104"/>
    <w:qFormat/>
    <w:uiPriority w:val="99"/>
    <w:pPr>
      <w:spacing w:after="918"/>
    </w:pPr>
    <w:rPr>
      <w:rFonts w:hAnsi="Calibri" w:cs="Times New Roman"/>
      <w:color w:val="auto"/>
    </w:rPr>
  </w:style>
  <w:style w:type="paragraph" w:customStyle="1" w:styleId="574">
    <w:name w:val="CM65"/>
    <w:basedOn w:val="104"/>
    <w:next w:val="104"/>
    <w:qFormat/>
    <w:uiPriority w:val="99"/>
    <w:rPr>
      <w:rFonts w:hAnsi="Calibri" w:cs="Times New Roman"/>
      <w:color w:val="auto"/>
    </w:rPr>
  </w:style>
  <w:style w:type="paragraph" w:customStyle="1" w:styleId="575">
    <w:name w:val="CM51"/>
    <w:basedOn w:val="104"/>
    <w:next w:val="104"/>
    <w:qFormat/>
    <w:uiPriority w:val="99"/>
    <w:pPr>
      <w:spacing w:line="586" w:lineRule="atLeast"/>
    </w:pPr>
    <w:rPr>
      <w:rFonts w:hAnsi="Calibri" w:cs="Times New Roman"/>
      <w:color w:val="auto"/>
    </w:rPr>
  </w:style>
  <w:style w:type="paragraph" w:customStyle="1" w:styleId="576">
    <w:name w:val="CM53"/>
    <w:basedOn w:val="104"/>
    <w:next w:val="104"/>
    <w:qFormat/>
    <w:uiPriority w:val="99"/>
    <w:rPr>
      <w:rFonts w:hAnsi="Calibri" w:cs="Times New Roman"/>
      <w:color w:val="auto"/>
    </w:rPr>
  </w:style>
  <w:style w:type="paragraph" w:customStyle="1" w:styleId="577">
    <w:name w:val="CM92"/>
    <w:basedOn w:val="104"/>
    <w:next w:val="104"/>
    <w:qFormat/>
    <w:uiPriority w:val="99"/>
    <w:rPr>
      <w:rFonts w:hAnsi="Calibri" w:cs="Times New Roman"/>
      <w:color w:val="auto"/>
    </w:rPr>
  </w:style>
  <w:style w:type="paragraph" w:customStyle="1" w:styleId="578">
    <w:name w:val="CM61"/>
    <w:basedOn w:val="104"/>
    <w:next w:val="104"/>
    <w:qFormat/>
    <w:uiPriority w:val="99"/>
    <w:rPr>
      <w:rFonts w:hAnsi="Calibri" w:cs="Times New Roman"/>
      <w:color w:val="auto"/>
    </w:rPr>
  </w:style>
  <w:style w:type="paragraph" w:customStyle="1" w:styleId="579">
    <w:name w:val="CM21"/>
    <w:basedOn w:val="104"/>
    <w:next w:val="104"/>
    <w:qFormat/>
    <w:uiPriority w:val="99"/>
    <w:rPr>
      <w:rFonts w:hAnsi="Calibri" w:cs="Times New Roman"/>
      <w:color w:val="auto"/>
    </w:rPr>
  </w:style>
  <w:style w:type="paragraph" w:customStyle="1" w:styleId="580">
    <w:name w:val="CM64"/>
    <w:basedOn w:val="104"/>
    <w:next w:val="104"/>
    <w:qFormat/>
    <w:uiPriority w:val="99"/>
    <w:pPr>
      <w:spacing w:line="466" w:lineRule="atLeast"/>
    </w:pPr>
    <w:rPr>
      <w:rFonts w:hAnsi="Calibri" w:cs="Times New Roman"/>
      <w:color w:val="auto"/>
    </w:rPr>
  </w:style>
  <w:style w:type="paragraph" w:customStyle="1" w:styleId="581">
    <w:name w:val="CM10"/>
    <w:basedOn w:val="104"/>
    <w:next w:val="104"/>
    <w:qFormat/>
    <w:uiPriority w:val="99"/>
    <w:rPr>
      <w:rFonts w:hAnsi="Calibri" w:cs="Times New Roman"/>
      <w:color w:val="auto"/>
    </w:rPr>
  </w:style>
  <w:style w:type="paragraph" w:customStyle="1" w:styleId="582">
    <w:name w:val="CM1"/>
    <w:basedOn w:val="104"/>
    <w:next w:val="104"/>
    <w:qFormat/>
    <w:uiPriority w:val="99"/>
    <w:rPr>
      <w:rFonts w:hAnsi="Calibri" w:cs="Times New Roman"/>
      <w:color w:val="auto"/>
    </w:rPr>
  </w:style>
  <w:style w:type="paragraph" w:customStyle="1" w:styleId="583">
    <w:name w:val="CM44"/>
    <w:basedOn w:val="104"/>
    <w:next w:val="104"/>
    <w:qFormat/>
    <w:uiPriority w:val="99"/>
    <w:pPr>
      <w:spacing w:line="271" w:lineRule="atLeast"/>
    </w:pPr>
    <w:rPr>
      <w:rFonts w:hAnsi="Calibri" w:cs="Times New Roman"/>
      <w:color w:val="auto"/>
    </w:rPr>
  </w:style>
  <w:style w:type="paragraph" w:customStyle="1" w:styleId="584">
    <w:name w:val="CM115"/>
    <w:basedOn w:val="104"/>
    <w:next w:val="104"/>
    <w:qFormat/>
    <w:uiPriority w:val="99"/>
    <w:pPr>
      <w:spacing w:after="528"/>
    </w:pPr>
    <w:rPr>
      <w:rFonts w:hAnsi="Calibri" w:cs="Times New Roman"/>
      <w:color w:val="auto"/>
    </w:rPr>
  </w:style>
  <w:style w:type="paragraph" w:customStyle="1" w:styleId="585">
    <w:name w:val="CM110"/>
    <w:basedOn w:val="104"/>
    <w:next w:val="104"/>
    <w:qFormat/>
    <w:uiPriority w:val="99"/>
    <w:pPr>
      <w:spacing w:after="63"/>
    </w:pPr>
    <w:rPr>
      <w:rFonts w:hAnsi="Calibri" w:cs="Times New Roman"/>
      <w:color w:val="auto"/>
    </w:rPr>
  </w:style>
  <w:style w:type="paragraph" w:customStyle="1" w:styleId="586">
    <w:name w:val="CM43"/>
    <w:basedOn w:val="104"/>
    <w:next w:val="104"/>
    <w:qFormat/>
    <w:uiPriority w:val="99"/>
    <w:rPr>
      <w:rFonts w:hAnsi="Calibri" w:cs="Times New Roman"/>
      <w:color w:val="auto"/>
    </w:rPr>
  </w:style>
  <w:style w:type="paragraph" w:customStyle="1" w:styleId="587">
    <w:name w:val="CM37"/>
    <w:basedOn w:val="104"/>
    <w:next w:val="104"/>
    <w:qFormat/>
    <w:uiPriority w:val="99"/>
    <w:pPr>
      <w:spacing w:line="440" w:lineRule="atLeast"/>
    </w:pPr>
    <w:rPr>
      <w:rFonts w:hAnsi="Calibri" w:cs="Times New Roman"/>
      <w:color w:val="auto"/>
    </w:rPr>
  </w:style>
  <w:style w:type="paragraph" w:customStyle="1" w:styleId="588">
    <w:name w:val="CM49"/>
    <w:basedOn w:val="104"/>
    <w:next w:val="104"/>
    <w:qFormat/>
    <w:uiPriority w:val="99"/>
    <w:pPr>
      <w:spacing w:line="468" w:lineRule="atLeast"/>
    </w:pPr>
    <w:rPr>
      <w:rFonts w:hAnsi="Calibri" w:cs="Times New Roman"/>
      <w:color w:val="auto"/>
    </w:rPr>
  </w:style>
  <w:style w:type="paragraph" w:customStyle="1" w:styleId="589">
    <w:name w:val="CM102"/>
    <w:basedOn w:val="104"/>
    <w:next w:val="104"/>
    <w:qFormat/>
    <w:uiPriority w:val="99"/>
    <w:pPr>
      <w:spacing w:after="788"/>
    </w:pPr>
    <w:rPr>
      <w:rFonts w:hAnsi="Calibri" w:cs="Times New Roman"/>
      <w:color w:val="auto"/>
    </w:rPr>
  </w:style>
  <w:style w:type="paragraph" w:customStyle="1" w:styleId="590">
    <w:name w:val="CM47"/>
    <w:basedOn w:val="104"/>
    <w:next w:val="104"/>
    <w:qFormat/>
    <w:uiPriority w:val="99"/>
    <w:pPr>
      <w:spacing w:line="273" w:lineRule="atLeast"/>
    </w:pPr>
    <w:rPr>
      <w:rFonts w:hAnsi="Calibri" w:cs="Times New Roman"/>
      <w:color w:val="auto"/>
    </w:rPr>
  </w:style>
  <w:style w:type="paragraph" w:customStyle="1" w:styleId="591">
    <w:name w:val="CM107"/>
    <w:basedOn w:val="104"/>
    <w:next w:val="104"/>
    <w:qFormat/>
    <w:uiPriority w:val="99"/>
    <w:pPr>
      <w:spacing w:after="680"/>
    </w:pPr>
    <w:rPr>
      <w:rFonts w:hAnsi="Calibri" w:cs="Times New Roman"/>
      <w:color w:val="auto"/>
    </w:rPr>
  </w:style>
  <w:style w:type="paragraph" w:customStyle="1" w:styleId="592">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4"/>
    </w:rPr>
  </w:style>
  <w:style w:type="character" w:customStyle="1" w:styleId="593">
    <w:name w:val="正文(修改)-wd Char"/>
    <w:link w:val="594"/>
    <w:qFormat/>
    <w:uiPriority w:val="0"/>
    <w:rPr>
      <w:rFonts w:hAnsi="宋体"/>
      <w:snapToGrid w:val="0"/>
      <w:sz w:val="28"/>
      <w:szCs w:val="24"/>
      <w:lang w:val="en-US" w:eastAsia="zh-CN"/>
    </w:rPr>
  </w:style>
  <w:style w:type="paragraph" w:customStyle="1" w:styleId="594">
    <w:name w:val="正文(修改)-wd"/>
    <w:basedOn w:val="1"/>
    <w:link w:val="593"/>
    <w:qFormat/>
    <w:uiPriority w:val="0"/>
    <w:pPr>
      <w:widowControl/>
      <w:spacing w:line="500" w:lineRule="exact"/>
      <w:ind w:firstLine="560" w:firstLineChars="200"/>
      <w:jc w:val="left"/>
    </w:pPr>
    <w:rPr>
      <w:rFonts w:hAnsi="宋体"/>
      <w:snapToGrid w:val="0"/>
      <w:kern w:val="0"/>
      <w:sz w:val="28"/>
      <w:szCs w:val="24"/>
      <w:shd w:val="clear" w:color="auto" w:fill="FFFFFF"/>
    </w:rPr>
  </w:style>
  <w:style w:type="character" w:customStyle="1" w:styleId="595">
    <w:name w:val="p11"/>
    <w:qFormat/>
    <w:uiPriority w:val="0"/>
    <w:rPr>
      <w:rFonts w:hint="eastAsia" w:ascii="宋体" w:hAnsi="宋体" w:eastAsia="宋体"/>
      <w:sz w:val="23"/>
      <w:szCs w:val="23"/>
    </w:rPr>
  </w:style>
  <w:style w:type="paragraph" w:customStyle="1" w:styleId="596">
    <w:name w:val="南郊正文"/>
    <w:basedOn w:val="1"/>
    <w:next w:val="1"/>
    <w:qFormat/>
    <w:uiPriority w:val="99"/>
    <w:pPr>
      <w:widowControl/>
      <w:spacing w:line="460" w:lineRule="exact"/>
      <w:ind w:firstLine="560" w:firstLineChars="200"/>
      <w:jc w:val="left"/>
    </w:pPr>
    <w:rPr>
      <w:rFonts w:ascii="宋体" w:hAnsi="宋体" w:cs="宋体"/>
      <w:kern w:val="0"/>
      <w:sz w:val="24"/>
      <w:szCs w:val="24"/>
    </w:rPr>
  </w:style>
  <w:style w:type="paragraph" w:customStyle="1" w:styleId="597">
    <w:name w:val="zx正文"/>
    <w:basedOn w:val="1"/>
    <w:link w:val="598"/>
    <w:qFormat/>
    <w:uiPriority w:val="0"/>
    <w:pPr>
      <w:widowControl/>
      <w:spacing w:line="440" w:lineRule="exact"/>
      <w:jc w:val="left"/>
    </w:pPr>
    <w:rPr>
      <w:rFonts w:ascii="宋体" w:hAnsi="宋体"/>
      <w:b/>
      <w:kern w:val="0"/>
      <w:sz w:val="28"/>
      <w:szCs w:val="28"/>
      <w:lang w:val="zh-CN"/>
    </w:rPr>
  </w:style>
  <w:style w:type="character" w:customStyle="1" w:styleId="598">
    <w:name w:val="zx正文 Char"/>
    <w:link w:val="597"/>
    <w:qFormat/>
    <w:uiPriority w:val="0"/>
    <w:rPr>
      <w:rFonts w:ascii="宋体" w:hAnsi="宋体"/>
      <w:b/>
      <w:sz w:val="28"/>
      <w:szCs w:val="28"/>
      <w:lang w:val="zh-CN" w:eastAsia="zh-CN"/>
    </w:rPr>
  </w:style>
  <w:style w:type="character" w:customStyle="1" w:styleId="599">
    <w:name w:val="a"/>
    <w:basedOn w:val="59"/>
    <w:qFormat/>
    <w:uiPriority w:val="0"/>
  </w:style>
  <w:style w:type="character" w:customStyle="1" w:styleId="600">
    <w:name w:val="apple-converted-space"/>
    <w:basedOn w:val="59"/>
    <w:qFormat/>
    <w:uiPriority w:val="0"/>
  </w:style>
  <w:style w:type="character" w:customStyle="1" w:styleId="601">
    <w:name w:val="正文（lh） Char"/>
    <w:link w:val="602"/>
    <w:qFormat/>
    <w:uiPriority w:val="0"/>
    <w:rPr>
      <w:rFonts w:eastAsia="仿宋_GB2312"/>
      <w:kern w:val="2"/>
      <w:sz w:val="28"/>
      <w:szCs w:val="28"/>
    </w:rPr>
  </w:style>
  <w:style w:type="paragraph" w:customStyle="1" w:styleId="602">
    <w:name w:val="正文（lh）"/>
    <w:basedOn w:val="1"/>
    <w:link w:val="601"/>
    <w:qFormat/>
    <w:uiPriority w:val="0"/>
    <w:pPr>
      <w:widowControl/>
      <w:spacing w:line="520" w:lineRule="exact"/>
      <w:ind w:firstLine="560" w:firstLineChars="200"/>
      <w:jc w:val="left"/>
    </w:pPr>
    <w:rPr>
      <w:rFonts w:eastAsia="仿宋_GB2312"/>
      <w:sz w:val="28"/>
      <w:szCs w:val="28"/>
      <w:lang w:val="zh-CN"/>
    </w:rPr>
  </w:style>
  <w:style w:type="character" w:customStyle="1" w:styleId="603">
    <w:name w:val="5文章(治) Char Char"/>
    <w:qFormat/>
    <w:uiPriority w:val="0"/>
    <w:rPr>
      <w:rFonts w:eastAsia="黑体"/>
      <w:b/>
      <w:kern w:val="2"/>
      <w:sz w:val="24"/>
      <w:szCs w:val="24"/>
      <w:lang w:val="en-US" w:eastAsia="zh-CN" w:bidi="ar-SA"/>
    </w:rPr>
  </w:style>
  <w:style w:type="character" w:customStyle="1" w:styleId="604">
    <w:name w:val="number"/>
    <w:basedOn w:val="59"/>
    <w:qFormat/>
    <w:uiPriority w:val="0"/>
  </w:style>
  <w:style w:type="paragraph" w:customStyle="1" w:styleId="605">
    <w:name w:val="环评文本"/>
    <w:basedOn w:val="1"/>
    <w:link w:val="606"/>
    <w:qFormat/>
    <w:uiPriority w:val="0"/>
    <w:pPr>
      <w:tabs>
        <w:tab w:val="left" w:pos="6600"/>
      </w:tabs>
      <w:topLinePunct/>
      <w:spacing w:line="480" w:lineRule="exact"/>
      <w:ind w:firstLine="480" w:firstLineChars="200"/>
    </w:pPr>
    <w:rPr>
      <w:kern w:val="0"/>
      <w:sz w:val="24"/>
      <w:szCs w:val="24"/>
      <w:lang w:val="zh-CN"/>
    </w:rPr>
  </w:style>
  <w:style w:type="character" w:customStyle="1" w:styleId="606">
    <w:name w:val="环评文本 Char"/>
    <w:link w:val="605"/>
    <w:qFormat/>
    <w:uiPriority w:val="0"/>
    <w:rPr>
      <w:sz w:val="24"/>
      <w:szCs w:val="24"/>
      <w:lang w:val="zh-CN" w:eastAsia="zh-CN"/>
    </w:rPr>
  </w:style>
  <w:style w:type="character" w:customStyle="1" w:styleId="607">
    <w:name w:val="表格文字 Char Char"/>
    <w:qFormat/>
    <w:uiPriority w:val="0"/>
    <w:rPr>
      <w:kern w:val="2"/>
      <w:sz w:val="21"/>
    </w:rPr>
  </w:style>
  <w:style w:type="paragraph" w:customStyle="1" w:styleId="608">
    <w:name w:val="GB-条文"/>
    <w:qFormat/>
    <w:uiPriority w:val="99"/>
    <w:pPr>
      <w:widowControl w:val="0"/>
      <w:adjustRightInd w:val="0"/>
      <w:snapToGrid w:val="0"/>
      <w:spacing w:line="360" w:lineRule="auto"/>
      <w:ind w:firstLine="420" w:firstLineChars="200"/>
      <w:jc w:val="both"/>
    </w:pPr>
    <w:rPr>
      <w:rFonts w:ascii="宋体" w:hAnsi="宋体" w:eastAsia="宋体" w:cs="Times New Roman"/>
      <w:sz w:val="21"/>
      <w:lang w:val="en-US" w:eastAsia="zh-CN" w:bidi="ar-SA"/>
    </w:rPr>
  </w:style>
  <w:style w:type="character" w:customStyle="1" w:styleId="609">
    <w:name w:val="批注框文本 Char1"/>
    <w:qFormat/>
    <w:locked/>
    <w:uiPriority w:val="0"/>
    <w:rPr>
      <w:rFonts w:eastAsia="仿宋_GB2312"/>
      <w:kern w:val="2"/>
      <w:sz w:val="18"/>
      <w:szCs w:val="18"/>
    </w:rPr>
  </w:style>
  <w:style w:type="paragraph" w:customStyle="1" w:styleId="610">
    <w:name w:val="正文(1)"/>
    <w:basedOn w:val="1"/>
    <w:qFormat/>
    <w:uiPriority w:val="99"/>
    <w:pPr>
      <w:tabs>
        <w:tab w:val="left" w:pos="0"/>
      </w:tabs>
      <w:adjustRightInd w:val="0"/>
      <w:snapToGrid w:val="0"/>
      <w:spacing w:beforeLines="10"/>
      <w:jc w:val="center"/>
    </w:pPr>
    <w:rPr>
      <w:rFonts w:eastAsia="仿宋_GB2312"/>
      <w:spacing w:val="-20"/>
      <w:sz w:val="18"/>
      <w:szCs w:val="21"/>
    </w:rPr>
  </w:style>
  <w:style w:type="paragraph" w:customStyle="1" w:styleId="611">
    <w:name w:val="报告宋体小四"/>
    <w:next w:val="1"/>
    <w:qFormat/>
    <w:uiPriority w:val="99"/>
    <w:pPr>
      <w:widowControl w:val="0"/>
      <w:spacing w:line="360" w:lineRule="auto"/>
      <w:ind w:firstLine="560" w:firstLineChars="200"/>
      <w:jc w:val="both"/>
    </w:pPr>
    <w:rPr>
      <w:rFonts w:ascii="Times New Roman" w:hAnsi="Times New Roman" w:eastAsia="宋体" w:cs="Times New Roman"/>
      <w:sz w:val="28"/>
      <w:szCs w:val="28"/>
      <w:lang w:val="en-US" w:eastAsia="zh-CN" w:bidi="ar-SA"/>
    </w:rPr>
  </w:style>
  <w:style w:type="table" w:customStyle="1" w:styleId="612">
    <w:name w:val="TableGrid"/>
    <w:qFormat/>
    <w:uiPriority w:val="0"/>
    <w:rPr>
      <w:rFonts w:ascii="Calibri" w:hAnsi="Calibri"/>
    </w:rPr>
    <w:tblPr>
      <w:tblCellMar>
        <w:top w:w="0" w:type="dxa"/>
        <w:left w:w="0" w:type="dxa"/>
        <w:bottom w:w="0" w:type="dxa"/>
        <w:right w:w="0" w:type="dxa"/>
      </w:tblCellMar>
    </w:tblPr>
  </w:style>
  <w:style w:type="character" w:customStyle="1" w:styleId="613">
    <w:name w:val="批注主题 Char1"/>
    <w:qFormat/>
    <w:locked/>
    <w:uiPriority w:val="0"/>
    <w:rPr>
      <w:b/>
      <w:bCs/>
      <w:kern w:val="2"/>
      <w:sz w:val="21"/>
      <w:szCs w:val="24"/>
    </w:rPr>
  </w:style>
  <w:style w:type="paragraph" w:customStyle="1" w:styleId="614">
    <w:name w:val="Char Char Char Char Char Char1"/>
    <w:basedOn w:val="1"/>
    <w:qFormat/>
    <w:uiPriority w:val="99"/>
    <w:pPr>
      <w:widowControl/>
      <w:jc w:val="left"/>
    </w:pPr>
    <w:rPr>
      <w:rFonts w:ascii="宋体" w:hAnsi="宋体" w:cs="宋体"/>
      <w:kern w:val="0"/>
      <w:sz w:val="24"/>
      <w:szCs w:val="24"/>
    </w:rPr>
  </w:style>
  <w:style w:type="paragraph" w:customStyle="1" w:styleId="615">
    <w:name w:val="Char Char Char Char11"/>
    <w:basedOn w:val="1"/>
    <w:qFormat/>
    <w:uiPriority w:val="99"/>
    <w:pPr>
      <w:widowControl/>
      <w:jc w:val="left"/>
    </w:pPr>
    <w:rPr>
      <w:rFonts w:ascii="宋体" w:hAnsi="宋体" w:cs="宋体"/>
      <w:kern w:val="0"/>
      <w:sz w:val="24"/>
      <w:szCs w:val="21"/>
    </w:rPr>
  </w:style>
  <w:style w:type="paragraph" w:customStyle="1" w:styleId="616">
    <w:name w:val="Char Char Char Char2"/>
    <w:basedOn w:val="1"/>
    <w:qFormat/>
    <w:uiPriority w:val="99"/>
    <w:pPr>
      <w:widowControl/>
      <w:adjustRightInd w:val="0"/>
      <w:spacing w:line="360" w:lineRule="auto"/>
      <w:ind w:firstLine="200" w:firstLineChars="200"/>
      <w:jc w:val="left"/>
    </w:pPr>
    <w:rPr>
      <w:rFonts w:ascii="宋体" w:hAnsi="宋体" w:cs="宋体"/>
      <w:kern w:val="0"/>
      <w:sz w:val="24"/>
      <w:szCs w:val="21"/>
    </w:rPr>
  </w:style>
  <w:style w:type="paragraph" w:customStyle="1" w:styleId="617">
    <w:name w:val="Table Paragraph"/>
    <w:basedOn w:val="1"/>
    <w:qFormat/>
    <w:uiPriority w:val="1"/>
    <w:pPr>
      <w:jc w:val="left"/>
    </w:pPr>
    <w:rPr>
      <w:rFonts w:ascii="Calibri" w:hAnsi="Calibri"/>
      <w:kern w:val="0"/>
      <w:sz w:val="22"/>
      <w:lang w:eastAsia="en-US"/>
    </w:rPr>
  </w:style>
  <w:style w:type="character" w:customStyle="1" w:styleId="618">
    <w:name w:val="页眉 Char1"/>
    <w:qFormat/>
    <w:locked/>
    <w:uiPriority w:val="0"/>
    <w:rPr>
      <w:kern w:val="2"/>
      <w:sz w:val="18"/>
      <w:szCs w:val="18"/>
    </w:rPr>
  </w:style>
  <w:style w:type="paragraph" w:customStyle="1" w:styleId="619">
    <w:name w:val="表中"/>
    <w:basedOn w:val="1"/>
    <w:link w:val="620"/>
    <w:qFormat/>
    <w:uiPriority w:val="0"/>
    <w:pPr>
      <w:spacing w:line="280" w:lineRule="exact"/>
      <w:jc w:val="center"/>
    </w:pPr>
    <w:rPr>
      <w:rFonts w:ascii="仿宋_GB2312" w:eastAsia="仿宋_GB2312"/>
      <w:color w:val="000000"/>
      <w:sz w:val="18"/>
      <w:szCs w:val="20"/>
      <w:lang w:val="zh-CN" w:bidi="he-IL"/>
    </w:rPr>
  </w:style>
  <w:style w:type="character" w:customStyle="1" w:styleId="620">
    <w:name w:val="表中 Char"/>
    <w:link w:val="619"/>
    <w:qFormat/>
    <w:uiPriority w:val="0"/>
    <w:rPr>
      <w:rFonts w:ascii="仿宋_GB2312" w:eastAsia="仿宋_GB2312"/>
      <w:color w:val="000000"/>
      <w:kern w:val="2"/>
      <w:sz w:val="18"/>
      <w:lang w:val="zh-CN" w:eastAsia="zh-CN" w:bidi="he-IL"/>
    </w:rPr>
  </w:style>
  <w:style w:type="paragraph" w:customStyle="1" w:styleId="621">
    <w:name w:val="表文字"/>
    <w:basedOn w:val="1"/>
    <w:next w:val="1"/>
    <w:qFormat/>
    <w:uiPriority w:val="0"/>
    <w:pPr>
      <w:autoSpaceDE w:val="0"/>
      <w:autoSpaceDN w:val="0"/>
      <w:adjustRightInd w:val="0"/>
      <w:jc w:val="left"/>
    </w:pPr>
    <w:rPr>
      <w:kern w:val="0"/>
      <w:sz w:val="24"/>
      <w:szCs w:val="24"/>
    </w:rPr>
  </w:style>
  <w:style w:type="paragraph" w:customStyle="1" w:styleId="622">
    <w:name w:val="正文非缩进"/>
    <w:basedOn w:val="1"/>
    <w:next w:val="23"/>
    <w:qFormat/>
    <w:uiPriority w:val="0"/>
    <w:pPr>
      <w:widowControl/>
      <w:spacing w:line="360" w:lineRule="auto"/>
      <w:jc w:val="left"/>
    </w:pPr>
    <w:rPr>
      <w:rFonts w:ascii="Arial" w:hAnsi="Arial" w:eastAsia="仿宋_GB2312"/>
      <w:kern w:val="0"/>
      <w:sz w:val="28"/>
      <w:szCs w:val="20"/>
    </w:rPr>
  </w:style>
  <w:style w:type="paragraph" w:customStyle="1" w:styleId="623">
    <w:name w:val="图名"/>
    <w:basedOn w:val="1"/>
    <w:next w:val="1"/>
    <w:qFormat/>
    <w:uiPriority w:val="0"/>
    <w:pPr>
      <w:spacing w:line="360" w:lineRule="auto"/>
      <w:jc w:val="center"/>
    </w:pPr>
    <w:rPr>
      <w:b/>
      <w:sz w:val="28"/>
      <w:szCs w:val="20"/>
    </w:rPr>
  </w:style>
  <w:style w:type="paragraph" w:customStyle="1" w:styleId="624">
    <w:name w:val="表格2"/>
    <w:basedOn w:val="1"/>
    <w:qFormat/>
    <w:uiPriority w:val="0"/>
    <w:pPr>
      <w:jc w:val="center"/>
    </w:pPr>
    <w:rPr>
      <w:color w:val="000000"/>
      <w:szCs w:val="20"/>
    </w:rPr>
  </w:style>
  <w:style w:type="paragraph" w:customStyle="1" w:styleId="625">
    <w:name w:val="表格1粗"/>
    <w:basedOn w:val="143"/>
    <w:qFormat/>
    <w:uiPriority w:val="0"/>
    <w:pPr>
      <w:adjustRightInd/>
      <w:spacing w:line="240" w:lineRule="atLeast"/>
      <w:ind w:left="206" w:leftChars="100" w:right="206" w:rightChars="100"/>
    </w:pPr>
    <w:rPr>
      <w:rFonts w:ascii="宋体" w:hAnsi="宋体"/>
      <w:bCs/>
      <w:iCs/>
      <w:color w:val="FF0000"/>
      <w:spacing w:val="-20"/>
      <w:szCs w:val="21"/>
    </w:rPr>
  </w:style>
  <w:style w:type="paragraph" w:customStyle="1" w:styleId="626">
    <w:name w:val="表体"/>
    <w:basedOn w:val="1"/>
    <w:qFormat/>
    <w:uiPriority w:val="0"/>
    <w:pPr>
      <w:overflowPunct w:val="0"/>
      <w:adjustRightInd w:val="0"/>
      <w:spacing w:line="280" w:lineRule="exact"/>
      <w:jc w:val="center"/>
      <w:textAlignment w:val="baseline"/>
    </w:pPr>
    <w:rPr>
      <w:kern w:val="24"/>
      <w:szCs w:val="20"/>
      <w:lang w:val="en-AU"/>
    </w:rPr>
  </w:style>
  <w:style w:type="paragraph" w:customStyle="1" w:styleId="627">
    <w:name w:val="表格一"/>
    <w:basedOn w:val="1"/>
    <w:qFormat/>
    <w:uiPriority w:val="0"/>
    <w:pPr>
      <w:tabs>
        <w:tab w:val="left" w:leader="dot" w:pos="567"/>
      </w:tabs>
      <w:jc w:val="left"/>
    </w:pPr>
    <w:rPr>
      <w:rFonts w:ascii="宋体" w:hAnsi="宋体"/>
      <w:kern w:val="0"/>
      <w:sz w:val="24"/>
      <w:szCs w:val="20"/>
    </w:rPr>
  </w:style>
  <w:style w:type="paragraph" w:customStyle="1" w:styleId="628">
    <w:name w:val="正文1 Char1"/>
    <w:basedOn w:val="1"/>
    <w:qFormat/>
    <w:uiPriority w:val="0"/>
    <w:pPr>
      <w:adjustRightInd w:val="0"/>
      <w:snapToGrid w:val="0"/>
      <w:spacing w:line="360" w:lineRule="auto"/>
      <w:ind w:left="113" w:firstLine="510"/>
    </w:pPr>
    <w:rPr>
      <w:rFonts w:ascii="宋体"/>
      <w:color w:val="FF0000"/>
      <w:sz w:val="24"/>
      <w:szCs w:val="20"/>
    </w:rPr>
  </w:style>
  <w:style w:type="paragraph" w:customStyle="1" w:styleId="62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olor w:val="FF0000"/>
      <w:kern w:val="0"/>
      <w:sz w:val="24"/>
      <w:szCs w:val="24"/>
    </w:rPr>
  </w:style>
  <w:style w:type="paragraph" w:customStyle="1" w:styleId="63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olor w:val="FF0000"/>
      <w:kern w:val="0"/>
      <w:sz w:val="24"/>
      <w:szCs w:val="24"/>
    </w:rPr>
  </w:style>
  <w:style w:type="paragraph" w:customStyle="1" w:styleId="63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olor w:val="FF00FF"/>
      <w:kern w:val="0"/>
      <w:sz w:val="24"/>
      <w:szCs w:val="24"/>
    </w:rPr>
  </w:style>
  <w:style w:type="paragraph" w:customStyle="1" w:styleId="632">
    <w:name w:val="默认段落字体 Para Char"/>
    <w:basedOn w:val="1"/>
    <w:next w:val="1"/>
    <w:qFormat/>
    <w:uiPriority w:val="0"/>
    <w:pPr>
      <w:spacing w:line="360" w:lineRule="auto"/>
      <w:ind w:firstLine="200" w:firstLineChars="200"/>
    </w:pPr>
    <w:rPr>
      <w:rFonts w:ascii="宋体" w:hAnsi="宋体" w:cs="宋体"/>
      <w:sz w:val="24"/>
      <w:szCs w:val="24"/>
    </w:rPr>
  </w:style>
  <w:style w:type="character" w:customStyle="1" w:styleId="633">
    <w:name w:val="宏文本 字符"/>
    <w:semiHidden/>
    <w:qFormat/>
    <w:uiPriority w:val="99"/>
    <w:rPr>
      <w:rFonts w:ascii="Courier New" w:hAnsi="Courier New" w:cs="Courier New"/>
      <w:kern w:val="2"/>
      <w:sz w:val="24"/>
      <w:szCs w:val="24"/>
    </w:rPr>
  </w:style>
  <w:style w:type="paragraph" w:customStyle="1" w:styleId="634">
    <w:name w:val="Char2"/>
    <w:basedOn w:val="1"/>
    <w:next w:val="1"/>
    <w:qFormat/>
    <w:uiPriority w:val="0"/>
    <w:pPr>
      <w:spacing w:line="360" w:lineRule="auto"/>
      <w:ind w:firstLine="200" w:firstLineChars="200"/>
    </w:pPr>
    <w:rPr>
      <w:rFonts w:ascii="宋体" w:hAnsi="宋体" w:cs="宋体"/>
      <w:sz w:val="24"/>
      <w:szCs w:val="24"/>
    </w:rPr>
  </w:style>
  <w:style w:type="paragraph" w:customStyle="1" w:styleId="635">
    <w:name w:val="表格中"/>
    <w:basedOn w:val="1"/>
    <w:qFormat/>
    <w:uiPriority w:val="0"/>
    <w:pPr>
      <w:spacing w:line="280" w:lineRule="exact"/>
      <w:jc w:val="center"/>
    </w:pPr>
    <w:rPr>
      <w:rFonts w:ascii="宋体"/>
      <w:color w:val="000000"/>
      <w:sz w:val="18"/>
      <w:szCs w:val="30"/>
      <w:lang w:bidi="he-IL"/>
    </w:rPr>
  </w:style>
  <w:style w:type="paragraph" w:customStyle="1" w:styleId="636">
    <w:name w:val="样式120"/>
    <w:basedOn w:val="1"/>
    <w:link w:val="637"/>
    <w:qFormat/>
    <w:uiPriority w:val="0"/>
    <w:pPr>
      <w:spacing w:line="520" w:lineRule="exact"/>
      <w:jc w:val="center"/>
    </w:pPr>
    <w:rPr>
      <w:rFonts w:eastAsia="黑体"/>
      <w:b/>
      <w:kern w:val="0"/>
      <w:szCs w:val="21"/>
    </w:rPr>
  </w:style>
  <w:style w:type="character" w:customStyle="1" w:styleId="637">
    <w:name w:val="样式120 Char"/>
    <w:link w:val="636"/>
    <w:qFormat/>
    <w:uiPriority w:val="0"/>
    <w:rPr>
      <w:rFonts w:eastAsia="黑体"/>
      <w:b/>
      <w:sz w:val="21"/>
      <w:szCs w:val="21"/>
    </w:rPr>
  </w:style>
  <w:style w:type="paragraph" w:customStyle="1" w:styleId="638">
    <w:name w:val="CC Char Char Char Char Char Char"/>
    <w:basedOn w:val="32"/>
    <w:next w:val="32"/>
    <w:qFormat/>
    <w:uiPriority w:val="0"/>
    <w:pPr>
      <w:widowControl w:val="0"/>
      <w:ind w:left="630" w:leftChars="100" w:right="100" w:rightChars="100" w:firstLine="0" w:firstLineChars="0"/>
      <w:jc w:val="both"/>
    </w:pPr>
    <w:rPr>
      <w:sz w:val="28"/>
      <w:szCs w:val="28"/>
    </w:rPr>
  </w:style>
  <w:style w:type="paragraph" w:customStyle="1" w:styleId="639">
    <w:name w:val="标准"/>
    <w:basedOn w:val="1"/>
    <w:qFormat/>
    <w:uiPriority w:val="0"/>
    <w:pPr>
      <w:autoSpaceDE w:val="0"/>
      <w:autoSpaceDN w:val="0"/>
      <w:adjustRightInd w:val="0"/>
      <w:spacing w:line="500" w:lineRule="atLeast"/>
    </w:pPr>
    <w:rPr>
      <w:rFonts w:ascii="宋体"/>
      <w:kern w:val="0"/>
      <w:sz w:val="24"/>
      <w:szCs w:val="20"/>
    </w:rPr>
  </w:style>
  <w:style w:type="paragraph" w:customStyle="1" w:styleId="640">
    <w:name w:val="4标题(治)"/>
    <w:basedOn w:val="1"/>
    <w:next w:val="1"/>
    <w:link w:val="641"/>
    <w:qFormat/>
    <w:uiPriority w:val="0"/>
    <w:pPr>
      <w:adjustRightInd w:val="0"/>
      <w:snapToGrid w:val="0"/>
      <w:spacing w:line="360" w:lineRule="auto"/>
      <w:textAlignment w:val="baseline"/>
      <w:outlineLvl w:val="3"/>
    </w:pPr>
    <w:rPr>
      <w:rFonts w:eastAsia="黑体"/>
      <w:kern w:val="0"/>
      <w:sz w:val="24"/>
      <w:szCs w:val="20"/>
    </w:rPr>
  </w:style>
  <w:style w:type="character" w:customStyle="1" w:styleId="641">
    <w:name w:val="4标题(治) Char"/>
    <w:link w:val="640"/>
    <w:qFormat/>
    <w:uiPriority w:val="0"/>
    <w:rPr>
      <w:rFonts w:eastAsia="黑体"/>
      <w:sz w:val="24"/>
    </w:rPr>
  </w:style>
  <w:style w:type="paragraph" w:customStyle="1" w:styleId="642">
    <w:name w:val="8说明(治)"/>
    <w:basedOn w:val="1"/>
    <w:next w:val="112"/>
    <w:qFormat/>
    <w:uiPriority w:val="0"/>
    <w:pPr>
      <w:ind w:firstLine="480" w:firstLineChars="200"/>
    </w:pPr>
    <w:rPr>
      <w:rFonts w:eastAsia="楷体"/>
      <w:sz w:val="24"/>
      <w:szCs w:val="20"/>
    </w:rPr>
  </w:style>
  <w:style w:type="paragraph" w:customStyle="1" w:styleId="643">
    <w:name w:val="Char Char Char Char Char Char Char Char Char Char Char Char Char Char Char1 Char"/>
    <w:basedOn w:val="1"/>
    <w:qFormat/>
    <w:uiPriority w:val="0"/>
    <w:rPr>
      <w:sz w:val="24"/>
      <w:szCs w:val="24"/>
    </w:rPr>
  </w:style>
  <w:style w:type="paragraph" w:customStyle="1" w:styleId="644">
    <w:name w:val="正文应用"/>
    <w:basedOn w:val="1"/>
    <w:qFormat/>
    <w:uiPriority w:val="0"/>
    <w:pPr>
      <w:adjustRightInd w:val="0"/>
      <w:snapToGrid w:val="0"/>
      <w:spacing w:line="300" w:lineRule="auto"/>
      <w:ind w:left="980" w:leftChars="50" w:hanging="840" w:hangingChars="300"/>
      <w:jc w:val="left"/>
    </w:pPr>
    <w:rPr>
      <w:rFonts w:eastAsia="楷体_GB2312"/>
      <w:sz w:val="28"/>
      <w:szCs w:val="24"/>
    </w:rPr>
  </w:style>
  <w:style w:type="paragraph" w:customStyle="1" w:styleId="645">
    <w:name w:val="Char Char Char Char Char1"/>
    <w:basedOn w:val="1"/>
    <w:next w:val="1"/>
    <w:semiHidden/>
    <w:qFormat/>
    <w:uiPriority w:val="0"/>
    <w:pPr>
      <w:spacing w:line="360" w:lineRule="auto"/>
      <w:ind w:firstLine="200" w:firstLineChars="200"/>
    </w:pPr>
    <w:rPr>
      <w:rFonts w:ascii="宋体" w:hAnsi="宋体" w:cs="宋体"/>
      <w:sz w:val="24"/>
      <w:szCs w:val="24"/>
    </w:rPr>
  </w:style>
  <w:style w:type="paragraph" w:customStyle="1" w:styleId="646">
    <w:name w:val="表格文字居中 Char Char Char"/>
    <w:basedOn w:val="1"/>
    <w:qFormat/>
    <w:uiPriority w:val="0"/>
    <w:pPr>
      <w:jc w:val="center"/>
    </w:pPr>
    <w:rPr>
      <w:snapToGrid w:val="0"/>
      <w:szCs w:val="20"/>
    </w:rPr>
  </w:style>
  <w:style w:type="paragraph" w:customStyle="1" w:styleId="647">
    <w:name w:val="样式 正文首行缩进＋湿地 + 首行缩进:  2 字符"/>
    <w:basedOn w:val="1"/>
    <w:qFormat/>
    <w:uiPriority w:val="0"/>
    <w:pPr>
      <w:spacing w:line="440" w:lineRule="exact"/>
      <w:ind w:firstLine="560" w:firstLineChars="200"/>
      <w:jc w:val="left"/>
    </w:pPr>
    <w:rPr>
      <w:rFonts w:ascii="仿宋_GB2312" w:hAnsi="宋体" w:eastAsia="仿宋_GB2312"/>
      <w:kern w:val="0"/>
      <w:sz w:val="28"/>
      <w:szCs w:val="20"/>
    </w:rPr>
  </w:style>
  <w:style w:type="paragraph" w:customStyle="1" w:styleId="648">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49">
    <w:name w:val="陈光的正文"/>
    <w:basedOn w:val="1"/>
    <w:qFormat/>
    <w:uiPriority w:val="0"/>
    <w:pPr>
      <w:adjustRightInd w:val="0"/>
      <w:snapToGrid w:val="0"/>
      <w:spacing w:beforeLines="10" w:afterLines="10" w:line="360" w:lineRule="auto"/>
      <w:ind w:firstLine="560" w:firstLineChars="200"/>
    </w:pPr>
    <w:rPr>
      <w:sz w:val="28"/>
      <w:szCs w:val="20"/>
    </w:rPr>
  </w:style>
  <w:style w:type="paragraph" w:customStyle="1" w:styleId="650">
    <w:name w:val="Char21"/>
    <w:basedOn w:val="1"/>
    <w:next w:val="1"/>
    <w:qFormat/>
    <w:uiPriority w:val="0"/>
    <w:pPr>
      <w:spacing w:line="360" w:lineRule="auto"/>
      <w:ind w:firstLine="200" w:firstLineChars="200"/>
    </w:pPr>
    <w:rPr>
      <w:rFonts w:ascii="宋体" w:hAnsi="宋体" w:cs="宋体"/>
      <w:sz w:val="24"/>
      <w:szCs w:val="24"/>
    </w:rPr>
  </w:style>
  <w:style w:type="paragraph" w:customStyle="1" w:styleId="651">
    <w:name w:val="Char Char Char Char Char Char Char"/>
    <w:basedOn w:val="1"/>
    <w:qFormat/>
    <w:uiPriority w:val="0"/>
    <w:pPr>
      <w:spacing w:line="360" w:lineRule="auto"/>
      <w:ind w:firstLine="200" w:firstLineChars="200"/>
    </w:pPr>
    <w:rPr>
      <w:szCs w:val="24"/>
    </w:rPr>
  </w:style>
  <w:style w:type="character" w:customStyle="1" w:styleId="652">
    <w:name w:val="long_text1"/>
    <w:qFormat/>
    <w:uiPriority w:val="0"/>
    <w:rPr>
      <w:sz w:val="18"/>
    </w:rPr>
  </w:style>
  <w:style w:type="paragraph" w:customStyle="1" w:styleId="653">
    <w:name w:val="附录表标题"/>
    <w:next w:val="1"/>
    <w:qFormat/>
    <w:uiPriority w:val="0"/>
    <w:pPr>
      <w:jc w:val="center"/>
      <w:textAlignment w:val="baseline"/>
    </w:pPr>
    <w:rPr>
      <w:rFonts w:ascii="黑体" w:hAnsi="Times New Roman" w:eastAsia="黑体" w:cs="Times New Roman"/>
      <w:kern w:val="21"/>
      <w:sz w:val="21"/>
      <w:lang w:val="en-US" w:eastAsia="zh-CN" w:bidi="ar-SA"/>
    </w:rPr>
  </w:style>
  <w:style w:type="character" w:customStyle="1" w:styleId="654">
    <w:name w:val="标题5"/>
    <w:qFormat/>
    <w:uiPriority w:val="0"/>
  </w:style>
  <w:style w:type="paragraph" w:customStyle="1" w:styleId="655">
    <w:name w:val="Char Char Char Char Char Char1 Char Char Char Char Char Char Char"/>
    <w:basedOn w:val="1"/>
    <w:qFormat/>
    <w:uiPriority w:val="0"/>
    <w:rPr>
      <w:szCs w:val="24"/>
    </w:rPr>
  </w:style>
  <w:style w:type="character" w:customStyle="1" w:styleId="656">
    <w:name w:val="style7"/>
    <w:qFormat/>
    <w:uiPriority w:val="0"/>
  </w:style>
  <w:style w:type="character" w:customStyle="1" w:styleId="657">
    <w:name w:val="style31"/>
    <w:qFormat/>
    <w:uiPriority w:val="0"/>
    <w:rPr>
      <w:sz w:val="21"/>
      <w:szCs w:val="21"/>
    </w:rPr>
  </w:style>
  <w:style w:type="paragraph" w:customStyle="1" w:styleId="658">
    <w:name w:val="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9">
    <w:name w:val="小标题"/>
    <w:basedOn w:val="1"/>
    <w:qFormat/>
    <w:uiPriority w:val="0"/>
    <w:pPr>
      <w:numPr>
        <w:ilvl w:val="0"/>
        <w:numId w:val="4"/>
      </w:numPr>
      <w:overflowPunct w:val="0"/>
      <w:adjustRightInd w:val="0"/>
      <w:snapToGrid w:val="0"/>
      <w:spacing w:line="300" w:lineRule="auto"/>
    </w:pPr>
    <w:rPr>
      <w:rFonts w:ascii="Arial" w:hAnsi="Arial" w:eastAsia="仿宋_GB2312"/>
      <w:b/>
      <w:bCs/>
      <w:sz w:val="28"/>
      <w:szCs w:val="20"/>
    </w:rPr>
  </w:style>
  <w:style w:type="paragraph" w:customStyle="1" w:styleId="660">
    <w:name w:val="环评正文"/>
    <w:basedOn w:val="3"/>
    <w:link w:val="661"/>
    <w:qFormat/>
    <w:uiPriority w:val="0"/>
    <w:pPr>
      <w:keepNext w:val="0"/>
      <w:keepLines w:val="0"/>
      <w:numPr>
        <w:numId w:val="0"/>
      </w:numPr>
      <w:spacing w:before="60" w:beforeLines="0" w:after="60" w:afterLines="0" w:line="400" w:lineRule="exact"/>
      <w:ind w:firstLine="480" w:firstLineChars="200"/>
      <w:jc w:val="both"/>
      <w:outlineLvl w:val="9"/>
    </w:pPr>
    <w:rPr>
      <w:rFonts w:ascii="Times New Roman" w:hAnsi="Times New Roman" w:eastAsia="仿宋_GB2312"/>
      <w:b w:val="0"/>
      <w:bCs/>
      <w:sz w:val="24"/>
      <w:szCs w:val="28"/>
      <w:lang w:val="en-US"/>
    </w:rPr>
  </w:style>
  <w:style w:type="character" w:customStyle="1" w:styleId="661">
    <w:name w:val="环评正文 Char1"/>
    <w:link w:val="660"/>
    <w:qFormat/>
    <w:uiPriority w:val="0"/>
    <w:rPr>
      <w:rFonts w:eastAsia="仿宋_GB2312"/>
      <w:bCs/>
      <w:kern w:val="44"/>
      <w:sz w:val="24"/>
      <w:szCs w:val="28"/>
    </w:rPr>
  </w:style>
  <w:style w:type="paragraph" w:customStyle="1" w:styleId="662">
    <w:name w:val="xl25"/>
    <w:basedOn w:val="1"/>
    <w:qFormat/>
    <w:uiPriority w:val="0"/>
    <w:pPr>
      <w:widowControl/>
      <w:pBdr>
        <w:bottom w:val="single" w:color="auto" w:sz="4" w:space="0"/>
        <w:right w:val="single" w:color="auto" w:sz="4" w:space="0"/>
      </w:pBdr>
      <w:spacing w:before="100" w:beforeAutospacing="1" w:after="100" w:afterAutospacing="1"/>
      <w:jc w:val="center"/>
      <w:textAlignment w:val="top"/>
    </w:pPr>
    <w:rPr>
      <w:kern w:val="0"/>
      <w:szCs w:val="21"/>
    </w:rPr>
  </w:style>
  <w:style w:type="character" w:customStyle="1" w:styleId="663">
    <w:name w:val="报告书正文 Char"/>
    <w:qFormat/>
    <w:uiPriority w:val="0"/>
    <w:rPr>
      <w:rFonts w:hAnsi="宋体"/>
      <w:kern w:val="2"/>
      <w:sz w:val="24"/>
      <w:szCs w:val="24"/>
      <w:lang w:val="zh-CN"/>
    </w:rPr>
  </w:style>
  <w:style w:type="paragraph" w:customStyle="1" w:styleId="664">
    <w:name w:val="默认段落字体 Para Char Char Char Char Char"/>
    <w:basedOn w:val="1"/>
    <w:qFormat/>
    <w:uiPriority w:val="0"/>
    <w:rPr>
      <w:szCs w:val="24"/>
    </w:rPr>
  </w:style>
  <w:style w:type="character" w:customStyle="1" w:styleId="665">
    <w:name w:val="style9"/>
    <w:qFormat/>
    <w:uiPriority w:val="0"/>
  </w:style>
  <w:style w:type="character" w:customStyle="1" w:styleId="666">
    <w:name w:val="称呼 字符"/>
    <w:semiHidden/>
    <w:qFormat/>
    <w:uiPriority w:val="99"/>
    <w:rPr>
      <w:kern w:val="2"/>
      <w:sz w:val="21"/>
      <w:szCs w:val="22"/>
    </w:rPr>
  </w:style>
  <w:style w:type="paragraph" w:customStyle="1" w:styleId="667">
    <w:name w:val="xl24"/>
    <w:basedOn w:val="1"/>
    <w:qFormat/>
    <w:uiPriority w:val="0"/>
    <w:pPr>
      <w:widowControl/>
      <w:pBdr>
        <w:bottom w:val="single" w:color="auto" w:sz="4" w:space="0"/>
        <w:right w:val="single" w:color="auto" w:sz="4" w:space="0"/>
      </w:pBdr>
      <w:spacing w:before="100" w:after="100"/>
      <w:jc w:val="center"/>
    </w:pPr>
    <w:rPr>
      <w:kern w:val="0"/>
      <w:szCs w:val="20"/>
    </w:rPr>
  </w:style>
  <w:style w:type="character" w:customStyle="1" w:styleId="668">
    <w:name w:val="tcnt3"/>
    <w:qFormat/>
    <w:uiPriority w:val="0"/>
  </w:style>
  <w:style w:type="character" w:customStyle="1" w:styleId="669">
    <w:name w:val="表格正文 Char"/>
    <w:link w:val="670"/>
    <w:qFormat/>
    <w:locked/>
    <w:uiPriority w:val="0"/>
    <w:rPr>
      <w:sz w:val="24"/>
    </w:rPr>
  </w:style>
  <w:style w:type="paragraph" w:customStyle="1" w:styleId="670">
    <w:name w:val="表格正文"/>
    <w:basedOn w:val="1"/>
    <w:link w:val="669"/>
    <w:qFormat/>
    <w:uiPriority w:val="0"/>
    <w:pPr>
      <w:jc w:val="center"/>
    </w:pPr>
    <w:rPr>
      <w:kern w:val="0"/>
      <w:sz w:val="24"/>
      <w:szCs w:val="20"/>
    </w:rPr>
  </w:style>
  <w:style w:type="paragraph" w:styleId="671">
    <w:name w:val="No Spacing"/>
    <w:link w:val="672"/>
    <w:qFormat/>
    <w:uiPriority w:val="0"/>
    <w:pPr>
      <w:spacing w:line="360" w:lineRule="auto"/>
      <w:jc w:val="center"/>
    </w:pPr>
    <w:rPr>
      <w:rFonts w:ascii="Times New Roman" w:hAnsi="Times New Roman" w:eastAsia="宋体" w:cs="Times New Roman"/>
      <w:szCs w:val="21"/>
      <w:lang w:val="en-GB" w:eastAsia="zh-CN" w:bidi="ar-SA"/>
    </w:rPr>
  </w:style>
  <w:style w:type="character" w:customStyle="1" w:styleId="672">
    <w:name w:val="无间隔 字符1"/>
    <w:link w:val="671"/>
    <w:qFormat/>
    <w:uiPriority w:val="0"/>
    <w:rPr>
      <w:szCs w:val="21"/>
      <w:lang w:val="en-GB"/>
    </w:rPr>
  </w:style>
  <w:style w:type="paragraph" w:customStyle="1" w:styleId="673">
    <w:name w:val="正文1统一"/>
    <w:basedOn w:val="1"/>
    <w:link w:val="674"/>
    <w:qFormat/>
    <w:locked/>
    <w:uiPriority w:val="0"/>
    <w:pPr>
      <w:spacing w:line="360" w:lineRule="auto"/>
      <w:ind w:firstLine="480" w:firstLineChars="200"/>
    </w:pPr>
    <w:rPr>
      <w:rFonts w:hAnsi="宋体"/>
      <w:sz w:val="24"/>
      <w:szCs w:val="24"/>
      <w:lang w:val="zh-CN"/>
    </w:rPr>
  </w:style>
  <w:style w:type="character" w:customStyle="1" w:styleId="674">
    <w:name w:val="正文1统一 Char"/>
    <w:link w:val="673"/>
    <w:qFormat/>
    <w:uiPriority w:val="0"/>
    <w:rPr>
      <w:rFonts w:hAnsi="宋体"/>
      <w:kern w:val="2"/>
      <w:sz w:val="24"/>
      <w:szCs w:val="24"/>
      <w:lang w:val="zh-CN" w:eastAsia="zh-CN"/>
    </w:rPr>
  </w:style>
  <w:style w:type="paragraph" w:customStyle="1" w:styleId="675">
    <w:name w:val="图序1统一"/>
    <w:basedOn w:val="673"/>
    <w:link w:val="676"/>
    <w:qFormat/>
    <w:locked/>
    <w:uiPriority w:val="0"/>
    <w:pPr>
      <w:spacing w:before="120" w:after="240" w:line="240" w:lineRule="auto"/>
      <w:ind w:firstLine="0" w:firstLineChars="0"/>
      <w:jc w:val="center"/>
    </w:pPr>
    <w:rPr>
      <w:b/>
      <w:sz w:val="21"/>
      <w:szCs w:val="21"/>
    </w:rPr>
  </w:style>
  <w:style w:type="character" w:customStyle="1" w:styleId="676">
    <w:name w:val="图序1统一 Char"/>
    <w:link w:val="675"/>
    <w:qFormat/>
    <w:uiPriority w:val="0"/>
    <w:rPr>
      <w:rFonts w:hAnsi="宋体"/>
      <w:b/>
      <w:kern w:val="2"/>
      <w:sz w:val="21"/>
      <w:szCs w:val="21"/>
      <w:lang w:val="zh-CN" w:eastAsia="zh-CN"/>
    </w:rPr>
  </w:style>
  <w:style w:type="character" w:customStyle="1" w:styleId="677">
    <w:name w:val="font41"/>
    <w:qFormat/>
    <w:uiPriority w:val="0"/>
    <w:rPr>
      <w:rFonts w:hint="eastAsia" w:ascii="仿宋_GB2312" w:eastAsia="仿宋_GB2312" w:cs="仿宋_GB2312"/>
      <w:color w:val="000000"/>
      <w:sz w:val="22"/>
      <w:szCs w:val="22"/>
      <w:u w:val="none"/>
    </w:rPr>
  </w:style>
  <w:style w:type="character" w:customStyle="1" w:styleId="678">
    <w:name w:val="报告正文 Char"/>
    <w:link w:val="679"/>
    <w:qFormat/>
    <w:uiPriority w:val="0"/>
    <w:rPr>
      <w:rFonts w:ascii="宋体" w:hAnsi="宋体"/>
      <w:kern w:val="2"/>
      <w:sz w:val="28"/>
      <w:szCs w:val="28"/>
    </w:rPr>
  </w:style>
  <w:style w:type="paragraph" w:customStyle="1" w:styleId="679">
    <w:name w:val="报告正文"/>
    <w:basedOn w:val="1"/>
    <w:link w:val="678"/>
    <w:qFormat/>
    <w:uiPriority w:val="0"/>
    <w:pPr>
      <w:spacing w:line="360" w:lineRule="auto"/>
      <w:ind w:firstLine="200" w:firstLineChars="200"/>
    </w:pPr>
    <w:rPr>
      <w:rFonts w:ascii="宋体" w:hAnsi="宋体"/>
      <w:sz w:val="28"/>
      <w:szCs w:val="28"/>
    </w:rPr>
  </w:style>
  <w:style w:type="paragraph" w:customStyle="1" w:styleId="680">
    <w:name w:val="二级标题2"/>
    <w:basedOn w:val="681"/>
    <w:qFormat/>
    <w:uiPriority w:val="0"/>
    <w:pPr>
      <w:spacing w:line="360" w:lineRule="exact"/>
    </w:pPr>
    <w:rPr>
      <w:sz w:val="24"/>
    </w:rPr>
  </w:style>
  <w:style w:type="paragraph" w:customStyle="1" w:styleId="681">
    <w:name w:val="二级标题"/>
    <w:basedOn w:val="1"/>
    <w:qFormat/>
    <w:uiPriority w:val="0"/>
    <w:pPr>
      <w:spacing w:before="60" w:line="460" w:lineRule="exact"/>
      <w:outlineLvl w:val="1"/>
    </w:pPr>
    <w:rPr>
      <w:b/>
      <w:sz w:val="28"/>
      <w:szCs w:val="24"/>
    </w:rPr>
  </w:style>
  <w:style w:type="paragraph" w:customStyle="1" w:styleId="682">
    <w:name w:val="正文01"/>
    <w:basedOn w:val="1"/>
    <w:link w:val="683"/>
    <w:qFormat/>
    <w:uiPriority w:val="0"/>
    <w:pPr>
      <w:adjustRightInd w:val="0"/>
      <w:snapToGrid w:val="0"/>
      <w:spacing w:before="60" w:line="460" w:lineRule="exact"/>
      <w:ind w:firstLine="200" w:firstLineChars="200"/>
    </w:pPr>
    <w:rPr>
      <w:snapToGrid w:val="0"/>
      <w:color w:val="000000"/>
      <w:kern w:val="0"/>
      <w:sz w:val="24"/>
      <w:szCs w:val="24"/>
      <w:lang w:val="zh-CN"/>
    </w:rPr>
  </w:style>
  <w:style w:type="character" w:customStyle="1" w:styleId="683">
    <w:name w:val="正文01 Char1"/>
    <w:link w:val="682"/>
    <w:qFormat/>
    <w:uiPriority w:val="0"/>
    <w:rPr>
      <w:snapToGrid w:val="0"/>
      <w:color w:val="000000"/>
      <w:sz w:val="24"/>
      <w:szCs w:val="24"/>
      <w:lang w:val="zh-CN" w:eastAsia="zh-CN"/>
    </w:rPr>
  </w:style>
  <w:style w:type="paragraph" w:customStyle="1" w:styleId="684">
    <w:name w:val="表格下方正文"/>
    <w:basedOn w:val="1"/>
    <w:qFormat/>
    <w:uiPriority w:val="0"/>
    <w:pPr>
      <w:adjustRightInd w:val="0"/>
      <w:snapToGrid w:val="0"/>
      <w:spacing w:before="260" w:line="460" w:lineRule="exact"/>
      <w:ind w:firstLine="482"/>
    </w:pPr>
    <w:rPr>
      <w:snapToGrid w:val="0"/>
      <w:color w:val="000000"/>
      <w:kern w:val="0"/>
      <w:sz w:val="24"/>
      <w:szCs w:val="24"/>
    </w:rPr>
  </w:style>
  <w:style w:type="paragraph" w:customStyle="1" w:styleId="685">
    <w:name w:val="注解"/>
    <w:basedOn w:val="123"/>
    <w:qFormat/>
    <w:uiPriority w:val="0"/>
    <w:pPr>
      <w:spacing w:before="60" w:line="360" w:lineRule="exact"/>
      <w:ind w:firstLine="200" w:firstLineChars="200"/>
      <w:jc w:val="both"/>
    </w:pPr>
    <w:rPr>
      <w:b w:val="0"/>
      <w:bCs w:val="0"/>
      <w:sz w:val="21"/>
    </w:rPr>
  </w:style>
  <w:style w:type="character" w:customStyle="1" w:styleId="686">
    <w:name w:val="正文01 Char"/>
    <w:qFormat/>
    <w:uiPriority w:val="0"/>
    <w:rPr>
      <w:rFonts w:hint="eastAsia" w:ascii="宋体" w:hAnsi="宋体" w:eastAsia="宋体"/>
      <w:color w:val="000000"/>
      <w:kern w:val="2"/>
      <w:sz w:val="24"/>
      <w:szCs w:val="24"/>
      <w:lang w:val="en-US" w:eastAsia="zh-CN" w:bidi="ar-SA"/>
    </w:rPr>
  </w:style>
  <w:style w:type="paragraph" w:customStyle="1" w:styleId="687">
    <w:name w:val="1.1.1"/>
    <w:basedOn w:val="1"/>
    <w:qFormat/>
    <w:uiPriority w:val="0"/>
    <w:pPr>
      <w:snapToGrid w:val="0"/>
      <w:spacing w:before="120" w:after="120" w:line="240" w:lineRule="atLeast"/>
    </w:pPr>
    <w:rPr>
      <w:rFonts w:hint="eastAsia" w:ascii="楷体_GB2312" w:eastAsia="楷体_GB2312"/>
      <w:b/>
      <w:i/>
      <w:spacing w:val="6"/>
      <w:sz w:val="24"/>
      <w:szCs w:val="20"/>
    </w:rPr>
  </w:style>
  <w:style w:type="paragraph" w:customStyle="1" w:styleId="688">
    <w:name w:val="正文文本3"/>
    <w:qFormat/>
    <w:uiPriority w:val="0"/>
    <w:pPr>
      <w:keepNext/>
      <w:keepLines/>
      <w:widowControl w:val="0"/>
      <w:pBdr>
        <w:bottom w:val="single" w:color="auto" w:sz="6" w:space="0"/>
        <w:right w:val="single" w:color="auto" w:sz="6" w:space="0"/>
      </w:pBdr>
      <w:shd w:val="pct20" w:color="auto" w:fill="auto"/>
      <w:tabs>
        <w:tab w:val="left" w:pos="4040"/>
      </w:tabs>
      <w:spacing w:before="260" w:after="260" w:line="416" w:lineRule="auto"/>
      <w:jc w:val="both"/>
      <w:outlineLvl w:val="1"/>
    </w:pPr>
    <w:rPr>
      <w:rFonts w:ascii="Arial" w:hAnsi="Arial" w:eastAsia="黑体" w:cs="Times New Roman"/>
      <w:b/>
      <w:bCs/>
      <w:i/>
      <w:iCs/>
      <w:vanish/>
      <w:spacing w:val="10"/>
      <w:w w:val="65535"/>
      <w:kern w:val="2"/>
      <w:position w:val="-1"/>
      <w:sz w:val="21"/>
      <w:szCs w:val="21"/>
      <w:fitText w:val="2147483648" w:id="-1"/>
      <w:lang w:val="en-US" w:eastAsia="zh-CN" w:bidi="ar-SA"/>
      <w:eastAsianLayout w:id="1" w:combine="1"/>
    </w:rPr>
  </w:style>
  <w:style w:type="paragraph" w:customStyle="1" w:styleId="689">
    <w:name w:val="3级标题"/>
    <w:basedOn w:val="1"/>
    <w:qFormat/>
    <w:uiPriority w:val="0"/>
    <w:pPr>
      <w:spacing w:before="300" w:line="460" w:lineRule="atLeast"/>
      <w:outlineLvl w:val="2"/>
    </w:pPr>
    <w:rPr>
      <w:rFonts w:ascii="Arial" w:hAnsi="Arial" w:cs="Arial"/>
      <w:b/>
      <w:sz w:val="24"/>
      <w:szCs w:val="24"/>
    </w:rPr>
  </w:style>
  <w:style w:type="paragraph" w:customStyle="1" w:styleId="690">
    <w:name w:val="5"/>
    <w:basedOn w:val="1"/>
    <w:next w:val="54"/>
    <w:link w:val="691"/>
    <w:qFormat/>
    <w:uiPriority w:val="0"/>
    <w:pPr>
      <w:spacing w:after="120"/>
      <w:ind w:left="420" w:firstLine="420" w:firstLineChars="200"/>
    </w:pPr>
    <w:rPr>
      <w:rFonts w:ascii="宋体" w:hAnsi="宋体"/>
      <w:spacing w:val="6"/>
      <w:sz w:val="24"/>
      <w:szCs w:val="24"/>
      <w:lang w:val="zh-CN"/>
    </w:rPr>
  </w:style>
  <w:style w:type="character" w:customStyle="1" w:styleId="691">
    <w:name w:val="正文首行缩进 2 Char"/>
    <w:link w:val="690"/>
    <w:qFormat/>
    <w:uiPriority w:val="0"/>
    <w:rPr>
      <w:rFonts w:ascii="宋体" w:hAnsi="宋体"/>
      <w:spacing w:val="6"/>
      <w:kern w:val="2"/>
      <w:sz w:val="24"/>
      <w:szCs w:val="24"/>
      <w:lang w:val="zh-CN" w:eastAsia="zh-CN"/>
    </w:rPr>
  </w:style>
  <w:style w:type="paragraph" w:customStyle="1" w:styleId="692">
    <w:name w:val="表标题"/>
    <w:qFormat/>
    <w:uiPriority w:val="0"/>
    <w:pPr>
      <w:spacing w:before="156"/>
      <w:ind w:firstLine="840" w:firstLineChars="300"/>
    </w:pPr>
    <w:rPr>
      <w:rFonts w:hint="eastAsia" w:ascii="黑体" w:hAnsi="Times New Roman" w:eastAsia="黑体" w:cs="Times New Roman"/>
      <w:bCs/>
      <w:kern w:val="2"/>
      <w:sz w:val="28"/>
      <w:szCs w:val="24"/>
      <w:lang w:val="en-US" w:eastAsia="zh-CN" w:bidi="ar-SA"/>
    </w:rPr>
  </w:style>
  <w:style w:type="character" w:customStyle="1" w:styleId="693">
    <w:name w:val="表内文字 Char"/>
    <w:qFormat/>
    <w:uiPriority w:val="0"/>
    <w:rPr>
      <w:rFonts w:hint="eastAsia" w:ascii="宋体" w:hAnsi="Courier New" w:eastAsia="宋体" w:cs="Century"/>
      <w:kern w:val="2"/>
      <w:sz w:val="21"/>
      <w:szCs w:val="21"/>
      <w:lang w:val="en-US" w:eastAsia="zh-CN" w:bidi="ar-SA"/>
    </w:rPr>
  </w:style>
  <w:style w:type="paragraph" w:customStyle="1" w:styleId="694">
    <w:name w:val="样式 正文缩进 + 行距: 单倍行距"/>
    <w:basedOn w:val="5"/>
    <w:qFormat/>
    <w:uiPriority w:val="0"/>
    <w:pPr>
      <w:adjustRightInd w:val="0"/>
      <w:snapToGrid w:val="0"/>
      <w:spacing w:line="440" w:lineRule="exact"/>
    </w:pPr>
    <w:rPr>
      <w:rFonts w:eastAsia="仿宋_GB2312"/>
      <w:sz w:val="28"/>
    </w:rPr>
  </w:style>
  <w:style w:type="character" w:customStyle="1" w:styleId="695">
    <w:name w:val="正文首行缩进＋湿地 Char"/>
    <w:qFormat/>
    <w:uiPriority w:val="0"/>
    <w:rPr>
      <w:rFonts w:ascii="仿宋_GB2312" w:eastAsia="仿宋_GB2312"/>
      <w:sz w:val="28"/>
      <w:lang w:val="en-US" w:eastAsia="zh-CN" w:bidi="ar-SA"/>
    </w:rPr>
  </w:style>
  <w:style w:type="paragraph" w:customStyle="1" w:styleId="696">
    <w:name w:val="样式 样式 标题 3 + 右侧:  1 字符1 + 右侧:  1 字符"/>
    <w:basedOn w:val="1"/>
    <w:qFormat/>
    <w:uiPriority w:val="0"/>
    <w:pPr>
      <w:keepNext/>
      <w:keepLines/>
      <w:adjustRightInd w:val="0"/>
      <w:snapToGrid w:val="0"/>
      <w:spacing w:before="80" w:after="80" w:line="360" w:lineRule="auto"/>
      <w:outlineLvl w:val="2"/>
    </w:pPr>
    <w:rPr>
      <w:b/>
      <w:sz w:val="24"/>
      <w:szCs w:val="24"/>
    </w:rPr>
  </w:style>
  <w:style w:type="paragraph" w:customStyle="1" w:styleId="697">
    <w:name w:val="日期1"/>
    <w:basedOn w:val="1"/>
    <w:next w:val="1"/>
    <w:qFormat/>
    <w:uiPriority w:val="0"/>
    <w:pPr>
      <w:autoSpaceDE w:val="0"/>
      <w:autoSpaceDN w:val="0"/>
      <w:adjustRightInd w:val="0"/>
      <w:jc w:val="left"/>
      <w:textAlignment w:val="baseline"/>
    </w:pPr>
    <w:rPr>
      <w:rFonts w:ascii="宋体" w:hAnsi="Tms Rmn"/>
      <w:kern w:val="0"/>
      <w:sz w:val="24"/>
      <w:szCs w:val="20"/>
    </w:rPr>
  </w:style>
  <w:style w:type="paragraph" w:customStyle="1" w:styleId="698">
    <w:name w:val="样式 宋体 四号 行距: 1.5 倍行距 首行缩进:  2 字符"/>
    <w:basedOn w:val="1"/>
    <w:next w:val="1"/>
    <w:qFormat/>
    <w:uiPriority w:val="0"/>
    <w:pPr>
      <w:spacing w:line="360" w:lineRule="auto"/>
    </w:pPr>
    <w:rPr>
      <w:sz w:val="28"/>
      <w:szCs w:val="28"/>
    </w:rPr>
  </w:style>
  <w:style w:type="character" w:customStyle="1" w:styleId="699">
    <w:name w:val="注释标题 字符"/>
    <w:qFormat/>
    <w:uiPriority w:val="0"/>
    <w:rPr>
      <w:kern w:val="2"/>
      <w:sz w:val="21"/>
      <w:szCs w:val="22"/>
    </w:rPr>
  </w:style>
  <w:style w:type="paragraph" w:customStyle="1" w:styleId="700">
    <w:name w:val="Char12"/>
    <w:basedOn w:val="1"/>
    <w:next w:val="2"/>
    <w:qFormat/>
    <w:uiPriority w:val="0"/>
    <w:rPr>
      <w:sz w:val="28"/>
      <w:szCs w:val="28"/>
    </w:rPr>
  </w:style>
  <w:style w:type="paragraph" w:customStyle="1" w:styleId="701">
    <w:name w:val="样式 环评正文 Char Char + 首行缩进:  2 字符"/>
    <w:basedOn w:val="1"/>
    <w:qFormat/>
    <w:uiPriority w:val="0"/>
    <w:pPr>
      <w:widowControl/>
      <w:spacing w:line="440" w:lineRule="exact"/>
    </w:pPr>
    <w:rPr>
      <w:rFonts w:hint="eastAsia"/>
      <w:color w:val="000000"/>
      <w:kern w:val="21"/>
      <w:szCs w:val="20"/>
    </w:rPr>
  </w:style>
  <w:style w:type="paragraph" w:customStyle="1" w:styleId="702">
    <w:name w:val="表内5"/>
    <w:basedOn w:val="1"/>
    <w:qFormat/>
    <w:uiPriority w:val="0"/>
    <w:pPr>
      <w:tabs>
        <w:tab w:val="left" w:pos="4305"/>
      </w:tabs>
      <w:adjustRightInd w:val="0"/>
      <w:snapToGrid w:val="0"/>
      <w:spacing w:line="400" w:lineRule="exact"/>
    </w:pPr>
    <w:rPr>
      <w:rFonts w:ascii="宋体" w:hAnsi="宋体"/>
      <w:color w:val="000000"/>
      <w:szCs w:val="20"/>
    </w:rPr>
  </w:style>
  <w:style w:type="paragraph" w:customStyle="1" w:styleId="703">
    <w:name w:val="默认段落字体 Para Char Char Char Char Char Char Char"/>
    <w:basedOn w:val="1"/>
    <w:qFormat/>
    <w:uiPriority w:val="0"/>
    <w:rPr>
      <w:szCs w:val="20"/>
    </w:rPr>
  </w:style>
  <w:style w:type="paragraph" w:customStyle="1" w:styleId="704">
    <w:name w:val="表格文字2"/>
    <w:basedOn w:val="1"/>
    <w:qFormat/>
    <w:uiPriority w:val="0"/>
    <w:pPr>
      <w:tabs>
        <w:tab w:val="left" w:pos="277"/>
        <w:tab w:val="left" w:pos="600"/>
        <w:tab w:val="left" w:pos="780"/>
        <w:tab w:val="left" w:pos="2517"/>
      </w:tabs>
      <w:adjustRightInd w:val="0"/>
      <w:snapToGrid w:val="0"/>
      <w:spacing w:before="60" w:after="60"/>
      <w:jc w:val="center"/>
      <w:textAlignment w:val="baseline"/>
    </w:pPr>
    <w:rPr>
      <w:spacing w:val="5"/>
      <w:kern w:val="44"/>
      <w:szCs w:val="20"/>
    </w:rPr>
  </w:style>
  <w:style w:type="paragraph" w:customStyle="1" w:styleId="705">
    <w:name w:val="表格项目名称(五号)"/>
    <w:basedOn w:val="1"/>
    <w:qFormat/>
    <w:uiPriority w:val="0"/>
    <w:pPr>
      <w:snapToGrid w:val="0"/>
      <w:spacing w:line="280" w:lineRule="atLeast"/>
      <w:jc w:val="center"/>
    </w:pPr>
    <w:rPr>
      <w:szCs w:val="24"/>
    </w:rPr>
  </w:style>
  <w:style w:type="paragraph" w:customStyle="1" w:styleId="706">
    <w:name w:val="二级无标题条"/>
    <w:basedOn w:val="1"/>
    <w:qFormat/>
    <w:uiPriority w:val="0"/>
    <w:rPr>
      <w:szCs w:val="24"/>
    </w:rPr>
  </w:style>
  <w:style w:type="paragraph" w:customStyle="1" w:styleId="707">
    <w:name w:val="样式 标题 1篇标题 1 11 ghostgghost1 ghost1g1ghost11 ghost2g2..."/>
    <w:basedOn w:val="3"/>
    <w:qFormat/>
    <w:uiPriority w:val="0"/>
    <w:pPr>
      <w:pageBreakBefore/>
      <w:numPr>
        <w:numId w:val="0"/>
      </w:numPr>
      <w:tabs>
        <w:tab w:val="left" w:pos="360"/>
      </w:tabs>
      <w:snapToGrid w:val="0"/>
      <w:spacing w:before="480" w:beforeLines="200" w:after="360" w:afterLines="150"/>
      <w:ind w:left="360" w:hanging="360"/>
      <w:jc w:val="center"/>
    </w:pPr>
    <w:rPr>
      <w:rFonts w:ascii="Arial" w:hAnsi="Arial" w:eastAsia="黑体" w:cs="宋体"/>
      <w:bCs/>
      <w:sz w:val="36"/>
      <w:szCs w:val="20"/>
    </w:rPr>
  </w:style>
  <w:style w:type="paragraph" w:customStyle="1" w:styleId="708">
    <w:name w:val="样式 标题 2章宋三一、标题 1.1Title 22 headlinehheadlineS&amp;R2ERMH2...1"/>
    <w:basedOn w:val="4"/>
    <w:qFormat/>
    <w:uiPriority w:val="0"/>
    <w:pPr>
      <w:numPr>
        <w:ilvl w:val="0"/>
        <w:numId w:val="0"/>
      </w:numPr>
      <w:tabs>
        <w:tab w:val="left" w:pos="840"/>
      </w:tabs>
      <w:snapToGrid w:val="0"/>
      <w:spacing w:before="240" w:beforeLines="100" w:after="0" w:afterLines="0"/>
      <w:ind w:left="840" w:hanging="420"/>
      <w:jc w:val="both"/>
    </w:pPr>
    <w:rPr>
      <w:rFonts w:ascii="Arial" w:hAnsi="Arial" w:eastAsia="黑体" w:cs="宋体"/>
      <w:bCs/>
      <w:kern w:val="2"/>
      <w:sz w:val="32"/>
      <w:szCs w:val="20"/>
    </w:rPr>
  </w:style>
  <w:style w:type="paragraph" w:customStyle="1" w:styleId="709">
    <w:name w:val="样式 标题 3标题 3 Char Char Char Char Char Char Char Char Char Char C..."/>
    <w:basedOn w:val="6"/>
    <w:link w:val="710"/>
    <w:qFormat/>
    <w:uiPriority w:val="0"/>
    <w:pPr>
      <w:numPr>
        <w:ilvl w:val="0"/>
        <w:numId w:val="0"/>
      </w:numPr>
      <w:tabs>
        <w:tab w:val="left" w:pos="1260"/>
        <w:tab w:val="left" w:pos="2040"/>
      </w:tabs>
      <w:snapToGrid w:val="0"/>
      <w:spacing w:before="120" w:beforeLines="0" w:after="0" w:afterLines="0"/>
      <w:ind w:left="2040" w:leftChars="800" w:hanging="360" w:hangingChars="200"/>
    </w:pPr>
    <w:rPr>
      <w:rFonts w:ascii="Arial" w:hAnsi="Arial" w:eastAsia="黑体"/>
      <w:bCs/>
      <w:kern w:val="2"/>
      <w:sz w:val="30"/>
      <w:szCs w:val="20"/>
    </w:rPr>
  </w:style>
  <w:style w:type="character" w:customStyle="1" w:styleId="710">
    <w:name w:val="样式 标题 3标题 3 Char Char Char Char Char Char Char Char Char Char C... Char"/>
    <w:link w:val="709"/>
    <w:qFormat/>
    <w:uiPriority w:val="0"/>
    <w:rPr>
      <w:rFonts w:ascii="Arial" w:hAnsi="Arial" w:eastAsia="黑体"/>
      <w:b/>
      <w:bCs/>
      <w:kern w:val="2"/>
      <w:sz w:val="30"/>
      <w:lang w:val="zh-CN" w:eastAsia="zh-CN"/>
    </w:rPr>
  </w:style>
  <w:style w:type="paragraph" w:customStyle="1" w:styleId="711">
    <w:name w:val="7"/>
    <w:basedOn w:val="1"/>
    <w:qFormat/>
    <w:uiPriority w:val="0"/>
    <w:pPr>
      <w:widowControl/>
      <w:tabs>
        <w:tab w:val="left" w:pos="425"/>
      </w:tabs>
      <w:spacing w:before="100" w:beforeLines="100" w:after="160" w:line="240" w:lineRule="exact"/>
      <w:ind w:left="425" w:hanging="425"/>
      <w:jc w:val="left"/>
    </w:pPr>
    <w:rPr>
      <w:rFonts w:ascii="Verdana" w:hAnsi="Verdana"/>
      <w:kern w:val="0"/>
      <w:sz w:val="20"/>
      <w:szCs w:val="20"/>
      <w:lang w:eastAsia="en-US"/>
    </w:rPr>
  </w:style>
  <w:style w:type="paragraph" w:customStyle="1" w:styleId="712">
    <w:name w:val="正文首行缩进2字符"/>
    <w:qFormat/>
    <w:uiPriority w:val="0"/>
    <w:pPr>
      <w:widowControl w:val="0"/>
      <w:tabs>
        <w:tab w:val="left" w:pos="1437"/>
      </w:tabs>
      <w:spacing w:line="360" w:lineRule="auto"/>
      <w:ind w:firstLine="480" w:firstLineChars="200"/>
      <w:jc w:val="both"/>
    </w:pPr>
    <w:rPr>
      <w:rFonts w:ascii="Times New Roman" w:hAnsi="Times New Roman" w:eastAsia="宋体" w:cs="宋体"/>
      <w:sz w:val="24"/>
      <w:szCs w:val="24"/>
      <w:lang w:val="en-US" w:eastAsia="zh-CN" w:bidi="ar-SA"/>
    </w:rPr>
  </w:style>
  <w:style w:type="paragraph" w:customStyle="1" w:styleId="713">
    <w:name w:val="表格数字"/>
    <w:basedOn w:val="1"/>
    <w:qFormat/>
    <w:uiPriority w:val="0"/>
    <w:pPr>
      <w:jc w:val="right"/>
    </w:pPr>
    <w:rPr>
      <w:snapToGrid w:val="0"/>
      <w:kern w:val="0"/>
      <w:szCs w:val="21"/>
    </w:rPr>
  </w:style>
  <w:style w:type="paragraph" w:customStyle="1" w:styleId="714">
    <w:name w:val="表格文字居中"/>
    <w:basedOn w:val="1"/>
    <w:qFormat/>
    <w:uiPriority w:val="0"/>
    <w:pPr>
      <w:jc w:val="center"/>
    </w:pPr>
    <w:rPr>
      <w:snapToGrid w:val="0"/>
      <w:kern w:val="0"/>
      <w:sz w:val="24"/>
      <w:szCs w:val="24"/>
    </w:rPr>
  </w:style>
  <w:style w:type="character" w:customStyle="1" w:styleId="715">
    <w:name w:val="表格项目名称(五号) Char"/>
    <w:qFormat/>
    <w:uiPriority w:val="0"/>
    <w:rPr>
      <w:rFonts w:eastAsia="宋体"/>
      <w:snapToGrid w:val="0"/>
      <w:kern w:val="2"/>
      <w:sz w:val="21"/>
      <w:szCs w:val="28"/>
      <w:lang w:val="en-US" w:eastAsia="zh-CN" w:bidi="ar-SA"/>
    </w:rPr>
  </w:style>
  <w:style w:type="paragraph" w:customStyle="1" w:styleId="716">
    <w:name w:val="说明"/>
    <w:basedOn w:val="1"/>
    <w:qFormat/>
    <w:uiPriority w:val="0"/>
    <w:pPr>
      <w:tabs>
        <w:tab w:val="left" w:pos="7442"/>
      </w:tabs>
      <w:spacing w:line="276" w:lineRule="auto"/>
      <w:ind w:firstLine="432" w:firstLineChars="200"/>
    </w:pPr>
    <w:rPr>
      <w:rFonts w:ascii="幼圆" w:eastAsia="幼圆"/>
      <w:w w:val="120"/>
      <w:sz w:val="18"/>
      <w:szCs w:val="18"/>
    </w:rPr>
  </w:style>
  <w:style w:type="paragraph" w:customStyle="1" w:styleId="717">
    <w:name w:val="Char2 Char Char Char Char Char Char Char Char Char Char Char Char"/>
    <w:basedOn w:val="1"/>
    <w:next w:val="1"/>
    <w:qFormat/>
    <w:uiPriority w:val="0"/>
    <w:pPr>
      <w:spacing w:line="360" w:lineRule="auto"/>
      <w:ind w:firstLine="200" w:firstLineChars="200"/>
    </w:pPr>
    <w:rPr>
      <w:rFonts w:ascii="宋体" w:hAnsi="宋体" w:cs="宋体"/>
      <w:sz w:val="24"/>
      <w:szCs w:val="24"/>
    </w:rPr>
  </w:style>
  <w:style w:type="paragraph" w:customStyle="1" w:styleId="718">
    <w:name w:val="Char2 Char Char Char"/>
    <w:basedOn w:val="1"/>
    <w:next w:val="1"/>
    <w:qFormat/>
    <w:uiPriority w:val="0"/>
    <w:pPr>
      <w:spacing w:line="360" w:lineRule="auto"/>
      <w:ind w:firstLine="200" w:firstLineChars="200"/>
    </w:pPr>
    <w:rPr>
      <w:rFonts w:ascii="宋体" w:hAnsi="宋体" w:cs="宋体"/>
      <w:sz w:val="24"/>
      <w:szCs w:val="24"/>
    </w:rPr>
  </w:style>
  <w:style w:type="paragraph" w:customStyle="1" w:styleId="719">
    <w:name w:val="字元 字元1"/>
    <w:basedOn w:val="1"/>
    <w:qFormat/>
    <w:uiPriority w:val="0"/>
    <w:rPr>
      <w:szCs w:val="24"/>
    </w:rPr>
  </w:style>
  <w:style w:type="paragraph" w:customStyle="1" w:styleId="720">
    <w:name w:val="表内式样"/>
    <w:qFormat/>
    <w:uiPriority w:val="0"/>
    <w:pPr>
      <w:jc w:val="center"/>
    </w:pPr>
    <w:rPr>
      <w:rFonts w:ascii="Times New Roman" w:hAnsi="Times New Roman" w:eastAsia="楷体_GB2312" w:cs="Times New Roman"/>
      <w:color w:val="000000"/>
      <w:kern w:val="2"/>
      <w:sz w:val="21"/>
      <w:lang w:val="en-US" w:eastAsia="zh-CN" w:bidi="ar-SA"/>
    </w:rPr>
  </w:style>
  <w:style w:type="paragraph" w:customStyle="1" w:styleId="721">
    <w:name w:val="Char5 Char Char Char Char Char Char"/>
    <w:basedOn w:val="6"/>
    <w:qFormat/>
    <w:uiPriority w:val="0"/>
    <w:pPr>
      <w:numPr>
        <w:ilvl w:val="0"/>
        <w:numId w:val="0"/>
      </w:numPr>
      <w:tabs>
        <w:tab w:val="left" w:pos="360"/>
        <w:tab w:val="left" w:pos="900"/>
      </w:tabs>
      <w:snapToGrid w:val="0"/>
      <w:spacing w:before="0" w:beforeLines="0" w:after="0" w:afterLines="0"/>
      <w:ind w:left="542" w:leftChars="-12" w:firstLine="200" w:firstLineChars="200"/>
    </w:pPr>
    <w:rPr>
      <w:rFonts w:eastAsia="黑体"/>
      <w:snapToGrid w:val="0"/>
      <w:color w:val="000000"/>
      <w:kern w:val="2"/>
      <w:sz w:val="24"/>
      <w:szCs w:val="24"/>
    </w:rPr>
  </w:style>
  <w:style w:type="paragraph" w:customStyle="1" w:styleId="722">
    <w:name w:val="style2"/>
    <w:basedOn w:val="1"/>
    <w:qFormat/>
    <w:uiPriority w:val="0"/>
    <w:pPr>
      <w:widowControl/>
      <w:spacing w:before="100" w:beforeAutospacing="1" w:after="100" w:afterAutospacing="1"/>
      <w:jc w:val="left"/>
    </w:pPr>
    <w:rPr>
      <w:rFonts w:ascii="宋体" w:hAnsi="宋体" w:cs="宋体"/>
      <w:b/>
      <w:bCs/>
      <w:kern w:val="0"/>
      <w:sz w:val="27"/>
      <w:szCs w:val="27"/>
    </w:rPr>
  </w:style>
  <w:style w:type="paragraph" w:customStyle="1" w:styleId="723">
    <w:name w:val="字元 字元 Char Char 字元 字元1 Char Char Char"/>
    <w:basedOn w:val="1"/>
    <w:qFormat/>
    <w:uiPriority w:val="0"/>
    <w:rPr>
      <w:sz w:val="24"/>
      <w:szCs w:val="24"/>
    </w:rPr>
  </w:style>
  <w:style w:type="paragraph" w:customStyle="1" w:styleId="724">
    <w:name w:val="Char Char1 Char Char Char Char Char Char Char Char Char Char Char Char Char"/>
    <w:basedOn w:val="1"/>
    <w:qFormat/>
    <w:uiPriority w:val="0"/>
    <w:pPr>
      <w:spacing w:line="360" w:lineRule="auto"/>
      <w:ind w:firstLine="200" w:firstLineChars="200"/>
    </w:pPr>
    <w:rPr>
      <w:szCs w:val="20"/>
    </w:rPr>
  </w:style>
  <w:style w:type="paragraph" w:customStyle="1" w:styleId="725">
    <w:name w:val="字元 字元11"/>
    <w:basedOn w:val="1"/>
    <w:qFormat/>
    <w:uiPriority w:val="0"/>
    <w:rPr>
      <w:szCs w:val="20"/>
    </w:rPr>
  </w:style>
  <w:style w:type="paragraph" w:customStyle="1" w:styleId="726">
    <w:name w:val="Char Char2 Char"/>
    <w:basedOn w:val="6"/>
    <w:qFormat/>
    <w:uiPriority w:val="0"/>
    <w:pPr>
      <w:numPr>
        <w:ilvl w:val="0"/>
        <w:numId w:val="0"/>
      </w:numPr>
      <w:tabs>
        <w:tab w:val="left" w:pos="360"/>
        <w:tab w:val="left" w:pos="900"/>
      </w:tabs>
      <w:snapToGrid w:val="0"/>
      <w:spacing w:before="0" w:beforeLines="0" w:after="0" w:afterLines="0"/>
      <w:ind w:left="542" w:leftChars="-12" w:firstLine="200" w:firstLineChars="200"/>
    </w:pPr>
    <w:rPr>
      <w:rFonts w:eastAsia="黑体"/>
      <w:snapToGrid w:val="0"/>
      <w:color w:val="000000"/>
      <w:kern w:val="2"/>
      <w:sz w:val="24"/>
      <w:szCs w:val="24"/>
    </w:rPr>
  </w:style>
  <w:style w:type="character" w:customStyle="1" w:styleId="727">
    <w:name w:val="环评正文 Char"/>
    <w:qFormat/>
    <w:uiPriority w:val="0"/>
    <w:rPr>
      <w:rFonts w:ascii="Times New Roman" w:hAnsi="Times New Roman"/>
      <w:color w:val="000000"/>
      <w:sz w:val="24"/>
      <w:lang w:val="zh-CN"/>
    </w:rPr>
  </w:style>
  <w:style w:type="paragraph" w:customStyle="1" w:styleId="728">
    <w:name w:val="Char Char1 Char Char Char Char Char Char Char Char Char Char Char Char Char1"/>
    <w:basedOn w:val="1"/>
    <w:qFormat/>
    <w:uiPriority w:val="0"/>
    <w:pPr>
      <w:spacing w:line="360" w:lineRule="auto"/>
      <w:ind w:firstLine="200" w:firstLineChars="200"/>
    </w:pPr>
    <w:rPr>
      <w:rFonts w:ascii="宋体" w:hAnsi="宋体"/>
      <w:sz w:val="24"/>
      <w:szCs w:val="20"/>
    </w:rPr>
  </w:style>
  <w:style w:type="character" w:customStyle="1" w:styleId="729">
    <w:name w:val="环评正文 Char Char Char"/>
    <w:link w:val="730"/>
    <w:qFormat/>
    <w:uiPriority w:val="0"/>
    <w:rPr>
      <w:color w:val="000000"/>
      <w:kern w:val="21"/>
      <w:sz w:val="24"/>
    </w:rPr>
  </w:style>
  <w:style w:type="paragraph" w:customStyle="1" w:styleId="730">
    <w:name w:val="环评正文 Char Char"/>
    <w:link w:val="729"/>
    <w:qFormat/>
    <w:uiPriority w:val="0"/>
    <w:pPr>
      <w:spacing w:line="360" w:lineRule="exact"/>
      <w:ind w:firstLine="200" w:firstLineChars="200"/>
    </w:pPr>
    <w:rPr>
      <w:rFonts w:ascii="Times New Roman" w:hAnsi="Times New Roman" w:eastAsia="宋体" w:cs="Times New Roman"/>
      <w:color w:val="000000"/>
      <w:kern w:val="21"/>
      <w:sz w:val="24"/>
      <w:lang w:val="en-US" w:eastAsia="zh-CN" w:bidi="ar-SA"/>
    </w:rPr>
  </w:style>
  <w:style w:type="paragraph" w:customStyle="1" w:styleId="731">
    <w:name w:val="报告"/>
    <w:basedOn w:val="1"/>
    <w:qFormat/>
    <w:uiPriority w:val="0"/>
    <w:pPr>
      <w:overflowPunct w:val="0"/>
      <w:autoSpaceDE w:val="0"/>
      <w:autoSpaceDN w:val="0"/>
      <w:adjustRightInd w:val="0"/>
      <w:spacing w:before="20" w:beforeLines="20" w:after="20" w:afterLines="20" w:line="440" w:lineRule="atLeast"/>
      <w:ind w:firstLine="200" w:firstLineChars="200"/>
      <w:textAlignment w:val="baseline"/>
    </w:pPr>
    <w:rPr>
      <w:kern w:val="0"/>
      <w:sz w:val="24"/>
      <w:szCs w:val="20"/>
    </w:rPr>
  </w:style>
  <w:style w:type="paragraph" w:customStyle="1" w:styleId="732">
    <w:name w:val="正文（首行缩进）"/>
    <w:basedOn w:val="1"/>
    <w:link w:val="733"/>
    <w:qFormat/>
    <w:uiPriority w:val="0"/>
    <w:pPr>
      <w:widowControl/>
      <w:overflowPunct w:val="0"/>
      <w:topLinePunct/>
      <w:autoSpaceDE w:val="0"/>
      <w:autoSpaceDN w:val="0"/>
      <w:adjustRightInd w:val="0"/>
      <w:snapToGrid w:val="0"/>
      <w:spacing w:line="360" w:lineRule="auto"/>
      <w:ind w:firstLine="200" w:firstLineChars="200"/>
      <w:textAlignment w:val="baseline"/>
    </w:pPr>
    <w:rPr>
      <w:rFonts w:ascii="宋体" w:hAnsi="宋体"/>
      <w:bCs/>
      <w:snapToGrid w:val="0"/>
      <w:color w:val="000000"/>
      <w:sz w:val="24"/>
      <w:szCs w:val="24"/>
      <w:lang w:val="zh-CN"/>
    </w:rPr>
  </w:style>
  <w:style w:type="character" w:customStyle="1" w:styleId="733">
    <w:name w:val="正文（首行缩进） Char1"/>
    <w:link w:val="732"/>
    <w:qFormat/>
    <w:uiPriority w:val="0"/>
    <w:rPr>
      <w:rFonts w:ascii="宋体" w:hAnsi="宋体"/>
      <w:bCs/>
      <w:snapToGrid w:val="0"/>
      <w:color w:val="000000"/>
      <w:kern w:val="2"/>
      <w:sz w:val="24"/>
      <w:szCs w:val="24"/>
      <w:lang w:val="zh-CN" w:eastAsia="zh-CN"/>
    </w:rPr>
  </w:style>
  <w:style w:type="character" w:customStyle="1" w:styleId="734">
    <w:name w:val="新正文 Char"/>
    <w:link w:val="735"/>
    <w:qFormat/>
    <w:uiPriority w:val="0"/>
    <w:rPr>
      <w:rFonts w:ascii="宋体"/>
      <w:sz w:val="24"/>
    </w:rPr>
  </w:style>
  <w:style w:type="paragraph" w:customStyle="1" w:styleId="735">
    <w:name w:val="新正文"/>
    <w:basedOn w:val="1"/>
    <w:link w:val="734"/>
    <w:qFormat/>
    <w:uiPriority w:val="0"/>
    <w:pPr>
      <w:tabs>
        <w:tab w:val="left" w:pos="8295"/>
      </w:tabs>
      <w:spacing w:line="460" w:lineRule="exact"/>
      <w:ind w:firstLine="200" w:firstLineChars="200"/>
    </w:pPr>
    <w:rPr>
      <w:rFonts w:ascii="宋体"/>
      <w:kern w:val="0"/>
      <w:sz w:val="24"/>
      <w:szCs w:val="20"/>
    </w:rPr>
  </w:style>
  <w:style w:type="paragraph" w:customStyle="1" w:styleId="736">
    <w:name w:val="xl67"/>
    <w:basedOn w:val="1"/>
    <w:qFormat/>
    <w:uiPriority w:val="0"/>
    <w:pPr>
      <w:widowControl/>
      <w:pBdr>
        <w:left w:val="single" w:color="auto" w:sz="4" w:space="0"/>
      </w:pBdr>
      <w:spacing w:before="100" w:beforeAutospacing="1" w:after="100" w:afterAutospacing="1"/>
    </w:pPr>
    <w:rPr>
      <w:rFonts w:hint="eastAsia" w:ascii="仿宋_GB2312" w:hAnsi="宋体" w:eastAsia="仿宋_GB2312"/>
      <w:kern w:val="0"/>
      <w:sz w:val="24"/>
      <w:szCs w:val="20"/>
    </w:rPr>
  </w:style>
  <w:style w:type="paragraph" w:customStyle="1" w:styleId="737">
    <w:name w:val="正"/>
    <w:basedOn w:val="1"/>
    <w:qFormat/>
    <w:uiPriority w:val="0"/>
    <w:pPr>
      <w:ind w:firstLine="200"/>
    </w:pPr>
    <w:rPr>
      <w:sz w:val="24"/>
      <w:szCs w:val="24"/>
    </w:rPr>
  </w:style>
  <w:style w:type="paragraph" w:customStyle="1" w:styleId="738">
    <w:name w:val="正文首行缩进＋湿地"/>
    <w:basedOn w:val="1"/>
    <w:qFormat/>
    <w:uiPriority w:val="0"/>
    <w:pPr>
      <w:spacing w:line="400" w:lineRule="exact"/>
      <w:ind w:firstLine="493" w:firstLineChars="176"/>
      <w:jc w:val="left"/>
    </w:pPr>
    <w:rPr>
      <w:rFonts w:ascii="仿宋_GB2312" w:eastAsia="仿宋_GB2312"/>
      <w:kern w:val="0"/>
      <w:sz w:val="28"/>
      <w:szCs w:val="20"/>
    </w:rPr>
  </w:style>
  <w:style w:type="paragraph" w:customStyle="1" w:styleId="739">
    <w:name w:val="样式 标题 2 + 宋体"/>
    <w:basedOn w:val="4"/>
    <w:qFormat/>
    <w:uiPriority w:val="0"/>
    <w:pPr>
      <w:numPr>
        <w:numId w:val="0"/>
      </w:numPr>
      <w:tabs>
        <w:tab w:val="left" w:pos="720"/>
      </w:tabs>
      <w:adjustRightInd w:val="0"/>
      <w:snapToGrid w:val="0"/>
      <w:spacing w:before="120" w:beforeLines="0" w:after="120" w:afterLines="0" w:line="240" w:lineRule="auto"/>
      <w:ind w:left="576" w:hanging="576"/>
      <w:jc w:val="both"/>
    </w:pPr>
    <w:rPr>
      <w:rFonts w:ascii="宋体" w:hAnsi="宋体" w:eastAsia="仿宋_GB2312"/>
      <w:bCs/>
      <w:kern w:val="2"/>
      <w:sz w:val="28"/>
      <w:szCs w:val="32"/>
    </w:rPr>
  </w:style>
  <w:style w:type="paragraph" w:customStyle="1" w:styleId="740">
    <w:name w:val="正文3"/>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character" w:customStyle="1" w:styleId="741">
    <w:name w:val="样式 表格 + (符号) 宋体 四号1 Char"/>
    <w:qFormat/>
    <w:uiPriority w:val="0"/>
    <w:rPr>
      <w:rFonts w:ascii="仿宋_GB2312" w:eastAsia="仿宋_GB2312"/>
      <w:color w:val="000000"/>
      <w:kern w:val="2"/>
      <w:sz w:val="21"/>
      <w:szCs w:val="18"/>
      <w:lang w:val="en-US" w:eastAsia="zh-CN" w:bidi="ar-SA"/>
    </w:rPr>
  </w:style>
  <w:style w:type="paragraph" w:customStyle="1" w:styleId="742">
    <w:name w:val="样式 标题 2 + (西文) 仿宋_GB2312 (中文) 仿宋_GB2312"/>
    <w:basedOn w:val="4"/>
    <w:uiPriority w:val="0"/>
    <w:pPr>
      <w:numPr>
        <w:numId w:val="0"/>
      </w:numPr>
      <w:tabs>
        <w:tab w:val="left" w:pos="720"/>
      </w:tabs>
      <w:spacing w:before="0" w:beforeLines="0" w:after="0" w:afterLines="0" w:line="415" w:lineRule="auto"/>
      <w:ind w:left="576" w:hanging="576"/>
      <w:jc w:val="both"/>
    </w:pPr>
    <w:rPr>
      <w:rFonts w:ascii="仿宋_GB2312" w:hAnsi="仿宋_GB2312" w:eastAsia="仿宋_GB2312"/>
      <w:bCs/>
      <w:kern w:val="2"/>
      <w:sz w:val="30"/>
      <w:szCs w:val="32"/>
    </w:rPr>
  </w:style>
  <w:style w:type="paragraph" w:customStyle="1" w:styleId="743">
    <w:name w:val="样式 标题 3 + 右侧:  1 字符"/>
    <w:basedOn w:val="6"/>
    <w:qFormat/>
    <w:uiPriority w:val="0"/>
    <w:pPr>
      <w:numPr>
        <w:numId w:val="0"/>
      </w:numPr>
      <w:tabs>
        <w:tab w:val="left" w:pos="0"/>
        <w:tab w:val="left" w:pos="407"/>
      </w:tabs>
      <w:adjustRightInd w:val="0"/>
      <w:snapToGrid w:val="0"/>
      <w:spacing w:before="120" w:beforeLines="0" w:after="120" w:afterLines="0" w:line="440" w:lineRule="exact"/>
      <w:ind w:right="210" w:rightChars="100"/>
    </w:pPr>
    <w:rPr>
      <w:rFonts w:ascii="宋体" w:hAnsi="宋体" w:eastAsia="仿宋_GB2312" w:cs="宋体"/>
      <w:b w:val="0"/>
      <w:kern w:val="2"/>
      <w:sz w:val="28"/>
      <w:szCs w:val="20"/>
    </w:rPr>
  </w:style>
  <w:style w:type="paragraph" w:customStyle="1" w:styleId="744">
    <w:name w:val="样式 标题 3 + 右侧:  1 字符1"/>
    <w:basedOn w:val="6"/>
    <w:link w:val="745"/>
    <w:qFormat/>
    <w:uiPriority w:val="0"/>
    <w:pPr>
      <w:numPr>
        <w:numId w:val="0"/>
      </w:numPr>
      <w:tabs>
        <w:tab w:val="left" w:pos="0"/>
      </w:tabs>
      <w:adjustRightInd w:val="0"/>
      <w:snapToGrid w:val="0"/>
      <w:spacing w:before="120" w:beforeLines="0" w:after="120" w:afterLines="0" w:line="440" w:lineRule="exact"/>
      <w:ind w:right="100" w:rightChars="100"/>
    </w:pPr>
    <w:rPr>
      <w:rFonts w:ascii="宋体" w:hAnsi="宋体" w:eastAsia="仿宋_GB2312"/>
      <w:kern w:val="2"/>
      <w:sz w:val="28"/>
      <w:szCs w:val="20"/>
    </w:rPr>
  </w:style>
  <w:style w:type="character" w:customStyle="1" w:styleId="745">
    <w:name w:val="样式 标题 3 + 右侧:  1 字符1 Char"/>
    <w:link w:val="744"/>
    <w:qFormat/>
    <w:uiPriority w:val="0"/>
    <w:rPr>
      <w:rFonts w:ascii="宋体" w:hAnsi="宋体" w:eastAsia="仿宋_GB2312"/>
      <w:b/>
      <w:kern w:val="2"/>
      <w:sz w:val="28"/>
      <w:lang w:val="zh-CN" w:eastAsia="zh-CN"/>
    </w:rPr>
  </w:style>
  <w:style w:type="paragraph" w:customStyle="1" w:styleId="746">
    <w:name w:val="样式 标题 3 + 右侧:  1 字符2"/>
    <w:basedOn w:val="6"/>
    <w:qFormat/>
    <w:uiPriority w:val="0"/>
    <w:pPr>
      <w:numPr>
        <w:numId w:val="0"/>
      </w:numPr>
      <w:tabs>
        <w:tab w:val="left" w:pos="0"/>
        <w:tab w:val="left" w:pos="737"/>
      </w:tabs>
      <w:adjustRightInd w:val="0"/>
      <w:snapToGrid w:val="0"/>
      <w:spacing w:before="120" w:beforeLines="0" w:after="120" w:afterLines="0" w:line="440" w:lineRule="exact"/>
      <w:ind w:left="1440"/>
    </w:pPr>
    <w:rPr>
      <w:rFonts w:ascii="宋体" w:hAnsi="宋体" w:eastAsia="仿宋_GB2312" w:cs="宋体"/>
      <w:b w:val="0"/>
      <w:kern w:val="2"/>
      <w:sz w:val="28"/>
      <w:szCs w:val="20"/>
    </w:rPr>
  </w:style>
  <w:style w:type="paragraph" w:customStyle="1" w:styleId="747">
    <w:name w:val="样式 标题 3 + 仿宋_GB2312"/>
    <w:basedOn w:val="6"/>
    <w:qFormat/>
    <w:uiPriority w:val="0"/>
    <w:pPr>
      <w:numPr>
        <w:numId w:val="0"/>
      </w:numPr>
      <w:tabs>
        <w:tab w:val="left" w:pos="0"/>
      </w:tabs>
      <w:adjustRightInd w:val="0"/>
      <w:snapToGrid w:val="0"/>
      <w:spacing w:before="120" w:beforeLines="0" w:after="120" w:afterLines="0" w:line="440" w:lineRule="exact"/>
    </w:pPr>
    <w:rPr>
      <w:rFonts w:hAnsi="宋体" w:eastAsia="宋体"/>
      <w:b w:val="0"/>
      <w:sz w:val="24"/>
      <w:szCs w:val="24"/>
    </w:rPr>
  </w:style>
  <w:style w:type="paragraph" w:customStyle="1" w:styleId="748">
    <w:name w:val="表格 规划"/>
    <w:basedOn w:val="1"/>
    <w:link w:val="749"/>
    <w:qFormat/>
    <w:uiPriority w:val="0"/>
    <w:pPr>
      <w:snapToGrid w:val="0"/>
      <w:spacing w:line="300" w:lineRule="exact"/>
      <w:jc w:val="center"/>
    </w:pPr>
    <w:rPr>
      <w:rFonts w:ascii="宋体" w:hAnsi="宋体"/>
      <w:color w:val="000000"/>
      <w:szCs w:val="21"/>
      <w:lang w:val="zh-CN"/>
    </w:rPr>
  </w:style>
  <w:style w:type="character" w:customStyle="1" w:styleId="749">
    <w:name w:val="表格 规划 Char"/>
    <w:link w:val="748"/>
    <w:qFormat/>
    <w:uiPriority w:val="0"/>
    <w:rPr>
      <w:rFonts w:ascii="宋体" w:hAnsi="宋体"/>
      <w:color w:val="000000"/>
      <w:kern w:val="2"/>
      <w:sz w:val="21"/>
      <w:szCs w:val="21"/>
      <w:lang w:val="zh-CN" w:eastAsia="zh-CN"/>
    </w:rPr>
  </w:style>
  <w:style w:type="paragraph" w:customStyle="1" w:styleId="750">
    <w:name w:val="河石管道 表头"/>
    <w:qFormat/>
    <w:uiPriority w:val="0"/>
    <w:pPr>
      <w:widowControl w:val="0"/>
      <w:adjustRightInd w:val="0"/>
      <w:snapToGrid w:val="0"/>
      <w:jc w:val="center"/>
    </w:pPr>
    <w:rPr>
      <w:rFonts w:ascii="Times New Roman" w:hAnsi="Times New Roman" w:eastAsia="宋体" w:cs="Times New Roman"/>
      <w:b/>
      <w:sz w:val="21"/>
      <w:lang w:val="en-US" w:eastAsia="zh-CN" w:bidi="ar-SA"/>
    </w:rPr>
  </w:style>
  <w:style w:type="paragraph" w:customStyle="1" w:styleId="751">
    <w:name w:val="标准条文"/>
    <w:qFormat/>
    <w:uiPriority w:val="0"/>
    <w:pPr>
      <w:spacing w:beforeLines="20" w:afterLines="20"/>
      <w:ind w:firstLine="200" w:firstLineChars="200"/>
    </w:pPr>
    <w:rPr>
      <w:rFonts w:ascii="Times New Roman" w:hAnsi="Times New Roman" w:eastAsia="宋体" w:cs="Times New Roman"/>
      <w:bCs/>
      <w:kern w:val="2"/>
      <w:sz w:val="21"/>
      <w:szCs w:val="24"/>
      <w:lang w:val="en-US" w:eastAsia="zh-CN" w:bidi="ar-SA"/>
    </w:rPr>
  </w:style>
  <w:style w:type="character" w:customStyle="1" w:styleId="752">
    <w:name w:val="Char Char14"/>
    <w:qFormat/>
    <w:uiPriority w:val="0"/>
    <w:rPr>
      <w:rFonts w:ascii="Times New Roman" w:hAnsi="Times New Roman"/>
      <w:kern w:val="2"/>
      <w:sz w:val="30"/>
      <w:szCs w:val="24"/>
      <w:lang w:val="zh-CN" w:eastAsia="zh-CN"/>
    </w:rPr>
  </w:style>
  <w:style w:type="character" w:customStyle="1" w:styleId="753">
    <w:name w:val="报告正文 Char1"/>
    <w:qFormat/>
    <w:uiPriority w:val="0"/>
    <w:rPr>
      <w:rFonts w:ascii="宋体" w:eastAsia="宋体"/>
      <w:kern w:val="2"/>
      <w:sz w:val="28"/>
      <w:szCs w:val="24"/>
      <w:lang w:val="en-US" w:eastAsia="zh-CN" w:bidi="ar-SA"/>
    </w:rPr>
  </w:style>
  <w:style w:type="character" w:customStyle="1" w:styleId="754">
    <w:name w:val="Char Char15"/>
    <w:qFormat/>
    <w:uiPriority w:val="0"/>
    <w:rPr>
      <w:rFonts w:ascii="Times New Roman" w:hAnsi="Times New Roman"/>
      <w:b/>
      <w:bCs/>
      <w:kern w:val="2"/>
      <w:sz w:val="24"/>
      <w:szCs w:val="24"/>
      <w:lang w:val="zh-CN" w:eastAsia="zh-CN"/>
    </w:rPr>
  </w:style>
  <w:style w:type="paragraph" w:customStyle="1" w:styleId="755">
    <w:name w:val="Char Char Char Char Char Char Char1"/>
    <w:basedOn w:val="1"/>
    <w:qFormat/>
    <w:uiPriority w:val="0"/>
    <w:rPr>
      <w:sz w:val="24"/>
      <w:szCs w:val="24"/>
    </w:rPr>
  </w:style>
  <w:style w:type="paragraph" w:customStyle="1" w:styleId="756">
    <w:name w:val="Char13 Char Char Char Char Char Char Char Char Char Char Char Char"/>
    <w:basedOn w:val="1"/>
    <w:qFormat/>
    <w:uiPriority w:val="0"/>
    <w:pPr>
      <w:tabs>
        <w:tab w:val="left" w:pos="794"/>
        <w:tab w:val="left" w:pos="1191"/>
        <w:tab w:val="left" w:pos="1588"/>
        <w:tab w:val="left" w:pos="1985"/>
      </w:tabs>
      <w:autoSpaceDE w:val="0"/>
      <w:autoSpaceDN w:val="0"/>
      <w:adjustRightInd w:val="0"/>
      <w:spacing w:before="136"/>
    </w:pPr>
    <w:rPr>
      <w:rFonts w:ascii="Tahoma" w:hAnsi="Tahoma"/>
      <w:sz w:val="24"/>
      <w:szCs w:val="24"/>
      <w:lang w:val="en-GB"/>
    </w:rPr>
  </w:style>
  <w:style w:type="paragraph" w:customStyle="1" w:styleId="757">
    <w:name w:val="陈新正文"/>
    <w:basedOn w:val="1"/>
    <w:link w:val="758"/>
    <w:uiPriority w:val="0"/>
    <w:pPr>
      <w:widowControl/>
      <w:overflowPunct w:val="0"/>
      <w:adjustRightInd w:val="0"/>
      <w:snapToGrid w:val="0"/>
      <w:spacing w:line="360" w:lineRule="auto"/>
      <w:ind w:firstLine="480" w:firstLineChars="200"/>
    </w:pPr>
    <w:rPr>
      <w:color w:val="000000"/>
      <w:kern w:val="0"/>
      <w:sz w:val="24"/>
      <w:szCs w:val="20"/>
      <w:lang w:val="zh-CN" w:bidi="en-US"/>
    </w:rPr>
  </w:style>
  <w:style w:type="character" w:customStyle="1" w:styleId="758">
    <w:name w:val="陈新正文 Char"/>
    <w:link w:val="757"/>
    <w:qFormat/>
    <w:uiPriority w:val="0"/>
    <w:rPr>
      <w:color w:val="000000"/>
      <w:sz w:val="24"/>
      <w:lang w:val="zh-CN" w:eastAsia="zh-CN" w:bidi="en-US"/>
    </w:rPr>
  </w:style>
  <w:style w:type="paragraph" w:customStyle="1" w:styleId="759">
    <w:name w:val="3"/>
    <w:basedOn w:val="1"/>
    <w:next w:val="54"/>
    <w:qFormat/>
    <w:uiPriority w:val="0"/>
    <w:pPr>
      <w:spacing w:after="120"/>
      <w:ind w:left="420" w:firstLine="420" w:firstLineChars="200"/>
    </w:pPr>
    <w:rPr>
      <w:rFonts w:ascii="宋体" w:hAnsi="宋体"/>
      <w:spacing w:val="6"/>
      <w:sz w:val="24"/>
      <w:szCs w:val="24"/>
      <w:lang w:val="zh-CN"/>
    </w:rPr>
  </w:style>
  <w:style w:type="character" w:customStyle="1" w:styleId="760">
    <w:name w:val="文本样式 Char Char"/>
    <w:qFormat/>
    <w:uiPriority w:val="0"/>
    <w:rPr>
      <w:rFonts w:eastAsia="宋体" w:cs="宋体"/>
      <w:kern w:val="2"/>
      <w:sz w:val="24"/>
      <w:lang w:val="en-US" w:eastAsia="zh-CN" w:bidi="ar-SA"/>
    </w:rPr>
  </w:style>
  <w:style w:type="character" w:customStyle="1" w:styleId="761">
    <w:name w:val="表格标题 居中 Char"/>
    <w:link w:val="762"/>
    <w:qFormat/>
    <w:uiPriority w:val="0"/>
    <w:rPr>
      <w:rFonts w:cs="宋体"/>
      <w:b/>
      <w:bCs/>
      <w:kern w:val="2"/>
      <w:sz w:val="24"/>
    </w:rPr>
  </w:style>
  <w:style w:type="paragraph" w:customStyle="1" w:styleId="762">
    <w:name w:val="表格标题 居中"/>
    <w:basedOn w:val="121"/>
    <w:link w:val="761"/>
    <w:qFormat/>
    <w:uiPriority w:val="0"/>
    <w:pPr>
      <w:ind w:firstLine="0" w:firstLineChars="0"/>
      <w:jc w:val="center"/>
    </w:pPr>
    <w:rPr>
      <w:b/>
      <w:bCs/>
    </w:rPr>
  </w:style>
  <w:style w:type="paragraph" w:customStyle="1" w:styleId="763">
    <w:name w:val="正文~"/>
    <w:basedOn w:val="275"/>
    <w:link w:val="764"/>
    <w:qFormat/>
    <w:uiPriority w:val="0"/>
    <w:pPr>
      <w:widowControl w:val="0"/>
      <w:ind w:firstLine="480"/>
      <w:jc w:val="both"/>
    </w:pPr>
  </w:style>
  <w:style w:type="character" w:customStyle="1" w:styleId="764">
    <w:name w:val="正文~ 字符"/>
    <w:link w:val="763"/>
    <w:qFormat/>
    <w:uiPriority w:val="0"/>
    <w:rPr>
      <w:kern w:val="2"/>
      <w:sz w:val="24"/>
      <w:szCs w:val="24"/>
      <w:lang w:val="zh-CN" w:eastAsia="zh-CN"/>
    </w:rPr>
  </w:style>
  <w:style w:type="paragraph" w:customStyle="1" w:styleId="765">
    <w:name w:val="表格题头~"/>
    <w:basedOn w:val="1"/>
    <w:link w:val="766"/>
    <w:qFormat/>
    <w:uiPriority w:val="0"/>
    <w:pPr>
      <w:spacing w:before="120" w:beforeLines="50"/>
      <w:jc w:val="center"/>
    </w:pPr>
    <w:rPr>
      <w:b/>
      <w:iCs/>
      <w:color w:val="000000"/>
      <w:sz w:val="24"/>
      <w:szCs w:val="24"/>
      <w:lang w:val="zh-CN"/>
    </w:rPr>
  </w:style>
  <w:style w:type="character" w:customStyle="1" w:styleId="766">
    <w:name w:val="表格题头~ 字符"/>
    <w:link w:val="765"/>
    <w:qFormat/>
    <w:uiPriority w:val="0"/>
    <w:rPr>
      <w:b/>
      <w:iCs/>
      <w:color w:val="000000"/>
      <w:kern w:val="2"/>
      <w:sz w:val="24"/>
      <w:szCs w:val="24"/>
      <w:lang w:val="zh-CN" w:eastAsia="zh-CN"/>
    </w:rPr>
  </w:style>
  <w:style w:type="character" w:customStyle="1" w:styleId="767">
    <w:name w:val="页脚 字符"/>
    <w:qFormat/>
    <w:uiPriority w:val="99"/>
  </w:style>
  <w:style w:type="character" w:customStyle="1" w:styleId="768">
    <w:name w:val="批注文字 字符"/>
    <w:qFormat/>
    <w:uiPriority w:val="99"/>
    <w:rPr>
      <w:rFonts w:eastAsia="仿宋_GB2312"/>
      <w:kern w:val="2"/>
      <w:sz w:val="32"/>
    </w:rPr>
  </w:style>
  <w:style w:type="character" w:customStyle="1" w:styleId="769">
    <w:name w:val="a表格 Char Char"/>
    <w:qFormat/>
    <w:uiPriority w:val="0"/>
    <w:rPr>
      <w:rFonts w:ascii="Times New Roman" w:hAnsi="Times New Roman" w:eastAsia="宋体"/>
      <w:kern w:val="2"/>
      <w:sz w:val="21"/>
      <w:szCs w:val="24"/>
    </w:rPr>
  </w:style>
  <w:style w:type="table" w:customStyle="1" w:styleId="770">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771">
    <w:name w:val="页眉 字符"/>
    <w:qFormat/>
    <w:uiPriority w:val="99"/>
    <w:rPr>
      <w:sz w:val="18"/>
      <w:szCs w:val="18"/>
    </w:rPr>
  </w:style>
  <w:style w:type="character" w:customStyle="1" w:styleId="772">
    <w:name w:val="批注框文本 字符"/>
    <w:uiPriority w:val="0"/>
    <w:rPr>
      <w:sz w:val="18"/>
      <w:szCs w:val="18"/>
    </w:rPr>
  </w:style>
  <w:style w:type="paragraph" w:customStyle="1" w:styleId="773">
    <w:name w:val="图 居中"/>
    <w:basedOn w:val="1"/>
    <w:qFormat/>
    <w:uiPriority w:val="0"/>
    <w:pPr>
      <w:jc w:val="center"/>
    </w:pPr>
    <w:rPr>
      <w:sz w:val="24"/>
      <w:szCs w:val="24"/>
    </w:rPr>
  </w:style>
  <w:style w:type="paragraph" w:customStyle="1" w:styleId="774">
    <w:name w:val="样式 注释 + 非加粗 首行缩进:  2 字符"/>
    <w:basedOn w:val="1"/>
    <w:qFormat/>
    <w:uiPriority w:val="0"/>
    <w:pPr>
      <w:widowControl/>
      <w:spacing w:before="60" w:after="50" w:afterLines="50"/>
      <w:ind w:firstLine="200" w:firstLineChars="200"/>
      <w:jc w:val="left"/>
    </w:pPr>
    <w:rPr>
      <w:rFonts w:cs="宋体"/>
      <w:kern w:val="0"/>
      <w:sz w:val="18"/>
      <w:szCs w:val="20"/>
      <w:lang w:eastAsia="en-US" w:bidi="en-US"/>
    </w:rPr>
  </w:style>
  <w:style w:type="paragraph" w:customStyle="1" w:styleId="775">
    <w:name w:val="表格文字格式"/>
    <w:basedOn w:val="1"/>
    <w:qFormat/>
    <w:uiPriority w:val="0"/>
    <w:pPr>
      <w:spacing w:after="120"/>
      <w:jc w:val="center"/>
    </w:pPr>
    <w:rPr>
      <w:rFonts w:hint="eastAsia" w:ascii="宋体" w:hAnsi="宋体"/>
      <w:color w:val="000000"/>
      <w:kern w:val="28"/>
    </w:rPr>
  </w:style>
  <w:style w:type="paragraph" w:customStyle="1" w:styleId="776">
    <w:name w:val="样式 北京表格内容 + 自动设置"/>
    <w:basedOn w:val="777"/>
    <w:link w:val="779"/>
    <w:qFormat/>
    <w:uiPriority w:val="0"/>
    <w:rPr>
      <w:bCs w:val="0"/>
    </w:rPr>
  </w:style>
  <w:style w:type="paragraph" w:customStyle="1" w:styleId="777">
    <w:name w:val="北京表格内容"/>
    <w:next w:val="1"/>
    <w:link w:val="778"/>
    <w:qFormat/>
    <w:uiPriority w:val="0"/>
    <w:pPr>
      <w:spacing w:line="280" w:lineRule="exact"/>
      <w:jc w:val="center"/>
    </w:pPr>
    <w:rPr>
      <w:rFonts w:ascii="Times New Roman" w:hAnsi="Times New Roman" w:eastAsia="宋体" w:cs="Times New Roman"/>
      <w:bCs/>
      <w:color w:val="000000"/>
      <w:kern w:val="2"/>
      <w:sz w:val="18"/>
      <w:szCs w:val="24"/>
      <w:lang w:val="en-US" w:eastAsia="zh-CN" w:bidi="ar-SA"/>
    </w:rPr>
  </w:style>
  <w:style w:type="character" w:customStyle="1" w:styleId="778">
    <w:name w:val="北京表格内容 Char"/>
    <w:link w:val="777"/>
    <w:qFormat/>
    <w:locked/>
    <w:uiPriority w:val="0"/>
    <w:rPr>
      <w:bCs/>
      <w:color w:val="000000"/>
      <w:kern w:val="2"/>
      <w:sz w:val="18"/>
      <w:szCs w:val="24"/>
    </w:rPr>
  </w:style>
  <w:style w:type="character" w:customStyle="1" w:styleId="779">
    <w:name w:val="样式 北京表格内容 + 自动设置 Char"/>
    <w:link w:val="776"/>
    <w:qFormat/>
    <w:uiPriority w:val="0"/>
    <w:rPr>
      <w:color w:val="000000"/>
      <w:kern w:val="2"/>
      <w:sz w:val="18"/>
      <w:szCs w:val="24"/>
    </w:rPr>
  </w:style>
  <w:style w:type="paragraph" w:customStyle="1" w:styleId="780">
    <w:name w:val="图表内容"/>
    <w:basedOn w:val="1"/>
    <w:qFormat/>
    <w:uiPriority w:val="0"/>
    <w:pPr>
      <w:ind w:firstLine="602" w:firstLineChars="200"/>
      <w:jc w:val="center"/>
    </w:pPr>
    <w:rPr>
      <w:kern w:val="0"/>
      <w:sz w:val="20"/>
      <w:szCs w:val="20"/>
    </w:rPr>
  </w:style>
  <w:style w:type="character" w:customStyle="1" w:styleId="781">
    <w:name w:val="常用 Char Char"/>
    <w:link w:val="782"/>
    <w:qFormat/>
    <w:uiPriority w:val="0"/>
    <w:rPr>
      <w:kern w:val="2"/>
      <w:sz w:val="28"/>
    </w:rPr>
  </w:style>
  <w:style w:type="paragraph" w:customStyle="1" w:styleId="782">
    <w:name w:val="常用"/>
    <w:basedOn w:val="1"/>
    <w:link w:val="781"/>
    <w:qFormat/>
    <w:uiPriority w:val="0"/>
    <w:pPr>
      <w:adjustRightInd w:val="0"/>
      <w:snapToGrid w:val="0"/>
      <w:spacing w:line="360" w:lineRule="auto"/>
      <w:ind w:firstLine="200" w:firstLineChars="200"/>
    </w:pPr>
    <w:rPr>
      <w:sz w:val="28"/>
      <w:szCs w:val="20"/>
    </w:rPr>
  </w:style>
  <w:style w:type="character" w:customStyle="1" w:styleId="783">
    <w:name w:val="题注 字符1"/>
    <w:qFormat/>
    <w:locked/>
    <w:uiPriority w:val="0"/>
    <w:rPr>
      <w:rFonts w:ascii="宋体" w:hAnsi="宋体" w:cs="Arial"/>
      <w:b/>
      <w:kern w:val="2"/>
      <w:sz w:val="24"/>
      <w:szCs w:val="24"/>
    </w:rPr>
  </w:style>
  <w:style w:type="paragraph" w:customStyle="1" w:styleId="784">
    <w:name w:val="样式 5文章(治) + 首行缩进:  2 字符"/>
    <w:qFormat/>
    <w:uiPriority w:val="0"/>
    <w:pPr>
      <w:widowControl w:val="0"/>
      <w:adjustRightInd w:val="0"/>
      <w:snapToGrid w:val="0"/>
      <w:spacing w:line="360" w:lineRule="auto"/>
      <w:ind w:firstLine="200" w:firstLineChars="200"/>
      <w:jc w:val="both"/>
    </w:pPr>
    <w:rPr>
      <w:rFonts w:ascii="Times New Roman" w:hAnsi="Times New Roman" w:eastAsia="宋体" w:cs="宋体"/>
      <w:kern w:val="2"/>
      <w:sz w:val="24"/>
      <w:lang w:val="en-US" w:eastAsia="zh-CN" w:bidi="ar-SA"/>
    </w:rPr>
  </w:style>
  <w:style w:type="paragraph" w:customStyle="1" w:styleId="785">
    <w:name w:val="北京表头"/>
    <w:next w:val="1"/>
    <w:qFormat/>
    <w:uiPriority w:val="0"/>
    <w:pPr>
      <w:spacing w:line="360" w:lineRule="auto"/>
      <w:jc w:val="center"/>
    </w:pPr>
    <w:rPr>
      <w:rFonts w:ascii="Times New Roman" w:hAnsi="Times New Roman" w:eastAsia="黑体" w:cs="Times New Roman"/>
      <w:bCs/>
      <w:color w:val="000000"/>
      <w:kern w:val="2"/>
      <w:sz w:val="21"/>
      <w:szCs w:val="24"/>
      <w:lang w:val="en-US" w:eastAsia="zh-CN" w:bidi="ar-SA"/>
    </w:rPr>
  </w:style>
  <w:style w:type="character" w:customStyle="1" w:styleId="786">
    <w:name w:val="题注 字符"/>
    <w:qFormat/>
    <w:uiPriority w:val="0"/>
    <w:rPr>
      <w:rFonts w:ascii="Arial" w:hAnsi="Arial" w:eastAsia="黑体" w:cs="Arial"/>
      <w:kern w:val="2"/>
      <w:sz w:val="18"/>
      <w:szCs w:val="24"/>
    </w:rPr>
  </w:style>
  <w:style w:type="character" w:customStyle="1" w:styleId="787">
    <w:name w:val="正文缩进 字符"/>
    <w:uiPriority w:val="0"/>
    <w:rPr>
      <w:kern w:val="2"/>
      <w:sz w:val="21"/>
    </w:rPr>
  </w:style>
  <w:style w:type="character" w:customStyle="1" w:styleId="788">
    <w:name w:val="列表段落 字符"/>
    <w:qFormat/>
    <w:uiPriority w:val="34"/>
    <w:rPr>
      <w:rFonts w:ascii="Calibri" w:hAnsi="Calibri" w:cs="宋体"/>
      <w:sz w:val="24"/>
      <w:szCs w:val="22"/>
    </w:rPr>
  </w:style>
  <w:style w:type="character" w:customStyle="1" w:styleId="789">
    <w:name w:val="标题 8 字符"/>
    <w:qFormat/>
    <w:uiPriority w:val="99"/>
    <w:rPr>
      <w:rFonts w:ascii="Arial" w:hAnsi="Arial" w:eastAsia="黑体"/>
      <w:kern w:val="2"/>
      <w:sz w:val="24"/>
      <w:szCs w:val="24"/>
    </w:rPr>
  </w:style>
  <w:style w:type="character" w:customStyle="1" w:styleId="790">
    <w:name w:val="正文文本 3 字符"/>
    <w:qFormat/>
    <w:uiPriority w:val="0"/>
    <w:rPr>
      <w:rFonts w:ascii="宋体" w:hAnsi="宋体"/>
      <w:b/>
      <w:bCs/>
      <w:sz w:val="72"/>
      <w:szCs w:val="72"/>
    </w:rPr>
  </w:style>
  <w:style w:type="character" w:customStyle="1" w:styleId="791">
    <w:name w:val="列表 字符"/>
    <w:qFormat/>
    <w:uiPriority w:val="0"/>
    <w:rPr>
      <w:rFonts w:ascii="宋体" w:hAnsi="宋体" w:cs="宋体"/>
      <w:sz w:val="24"/>
      <w:szCs w:val="24"/>
    </w:rPr>
  </w:style>
  <w:style w:type="character" w:customStyle="1" w:styleId="792">
    <w:name w:val="纯文本 字符"/>
    <w:qFormat/>
    <w:uiPriority w:val="0"/>
    <w:rPr>
      <w:rFonts w:ascii="宋体" w:hAnsi="Courier New" w:cs="Courier New"/>
      <w:kern w:val="2"/>
      <w:sz w:val="24"/>
      <w:szCs w:val="21"/>
    </w:rPr>
  </w:style>
  <w:style w:type="character" w:customStyle="1" w:styleId="793">
    <w:name w:val="标题 9 字符"/>
    <w:qFormat/>
    <w:uiPriority w:val="99"/>
    <w:rPr>
      <w:rFonts w:ascii="Arial" w:hAnsi="Arial" w:eastAsia="黑体"/>
      <w:kern w:val="2"/>
      <w:sz w:val="24"/>
      <w:szCs w:val="21"/>
    </w:rPr>
  </w:style>
  <w:style w:type="character" w:customStyle="1" w:styleId="794">
    <w:name w:val="HTML 预设格式 字符"/>
    <w:qFormat/>
    <w:uiPriority w:val="99"/>
    <w:rPr>
      <w:rFonts w:ascii="Arial" w:hAnsi="Arial"/>
      <w:sz w:val="21"/>
      <w:szCs w:val="21"/>
    </w:rPr>
  </w:style>
  <w:style w:type="character" w:customStyle="1" w:styleId="795">
    <w:name w:val="标题 7 字符"/>
    <w:qFormat/>
    <w:uiPriority w:val="99"/>
    <w:rPr>
      <w:b/>
      <w:bCs/>
      <w:kern w:val="2"/>
      <w:sz w:val="24"/>
      <w:szCs w:val="24"/>
    </w:rPr>
  </w:style>
  <w:style w:type="character" w:customStyle="1" w:styleId="796">
    <w:name w:val="无间隔 字符"/>
    <w:qFormat/>
    <w:uiPriority w:val="0"/>
    <w:rPr>
      <w:szCs w:val="21"/>
      <w:lang w:val="en-GB"/>
    </w:rPr>
  </w:style>
  <w:style w:type="character" w:customStyle="1" w:styleId="797">
    <w:name w:val="标题 字符"/>
    <w:qFormat/>
    <w:uiPriority w:val="99"/>
    <w:rPr>
      <w:rFonts w:ascii="Cambria" w:hAnsi="Cambria"/>
      <w:b/>
      <w:bCs/>
      <w:color w:val="000000"/>
      <w:kern w:val="2"/>
      <w:sz w:val="32"/>
      <w:szCs w:val="32"/>
    </w:rPr>
  </w:style>
  <w:style w:type="character" w:customStyle="1" w:styleId="798">
    <w:name w:val="正文文本缩进 字符"/>
    <w:qFormat/>
    <w:uiPriority w:val="0"/>
    <w:rPr>
      <w:kern w:val="2"/>
      <w:sz w:val="24"/>
      <w:szCs w:val="24"/>
    </w:rPr>
  </w:style>
  <w:style w:type="character" w:customStyle="1" w:styleId="799">
    <w:name w:val="称呼 字符1"/>
    <w:qFormat/>
    <w:uiPriority w:val="0"/>
    <w:rPr>
      <w:kern w:val="2"/>
      <w:sz w:val="21"/>
      <w:szCs w:val="24"/>
    </w:rPr>
  </w:style>
  <w:style w:type="character" w:customStyle="1" w:styleId="800">
    <w:name w:val="6666666 Char"/>
    <w:link w:val="801"/>
    <w:qFormat/>
    <w:uiPriority w:val="0"/>
    <w:rPr>
      <w:sz w:val="24"/>
      <w:szCs w:val="24"/>
    </w:rPr>
  </w:style>
  <w:style w:type="paragraph" w:customStyle="1" w:styleId="801">
    <w:name w:val="a6666666"/>
    <w:basedOn w:val="1"/>
    <w:link w:val="800"/>
    <w:qFormat/>
    <w:uiPriority w:val="0"/>
    <w:pPr>
      <w:spacing w:line="360" w:lineRule="auto"/>
    </w:pPr>
    <w:rPr>
      <w:kern w:val="0"/>
      <w:sz w:val="24"/>
      <w:szCs w:val="24"/>
    </w:rPr>
  </w:style>
  <w:style w:type="character" w:customStyle="1" w:styleId="802">
    <w:name w:val="页脚 字符1"/>
    <w:uiPriority w:val="0"/>
    <w:rPr>
      <w:kern w:val="2"/>
      <w:sz w:val="18"/>
      <w:szCs w:val="22"/>
    </w:rPr>
  </w:style>
  <w:style w:type="character" w:customStyle="1" w:styleId="803">
    <w:name w:val="正文文本首行缩进 字符"/>
    <w:qFormat/>
    <w:uiPriority w:val="99"/>
    <w:rPr>
      <w:kern w:val="2"/>
      <w:sz w:val="24"/>
      <w:szCs w:val="24"/>
    </w:rPr>
  </w:style>
  <w:style w:type="character" w:customStyle="1" w:styleId="804">
    <w:name w:val="标题 5 字符"/>
    <w:qFormat/>
    <w:uiPriority w:val="0"/>
    <w:rPr>
      <w:b/>
      <w:bCs/>
      <w:kern w:val="2"/>
      <w:sz w:val="24"/>
      <w:szCs w:val="24"/>
    </w:rPr>
  </w:style>
  <w:style w:type="character" w:customStyle="1" w:styleId="805">
    <w:name w:val="副标题 字符"/>
    <w:qFormat/>
    <w:uiPriority w:val="0"/>
    <w:rPr>
      <w:rFonts w:ascii="Cambria" w:hAnsi="Cambria"/>
      <w:b/>
      <w:bCs/>
      <w:kern w:val="28"/>
      <w:sz w:val="30"/>
      <w:szCs w:val="32"/>
    </w:rPr>
  </w:style>
  <w:style w:type="character" w:customStyle="1" w:styleId="806">
    <w:name w:val="正文文本 2 字符"/>
    <w:qFormat/>
    <w:uiPriority w:val="0"/>
    <w:rPr>
      <w:rFonts w:ascii="宋体" w:hAnsi="宋体"/>
      <w:sz w:val="24"/>
      <w:szCs w:val="24"/>
    </w:rPr>
  </w:style>
  <w:style w:type="character" w:customStyle="1" w:styleId="807">
    <w:name w:val="注释标题 字符1"/>
    <w:qFormat/>
    <w:uiPriority w:val="0"/>
    <w:rPr>
      <w:kern w:val="2"/>
      <w:sz w:val="21"/>
      <w:szCs w:val="24"/>
    </w:rPr>
  </w:style>
  <w:style w:type="character" w:customStyle="1" w:styleId="808">
    <w:name w:val="日期 字符"/>
    <w:qFormat/>
    <w:uiPriority w:val="99"/>
    <w:rPr>
      <w:sz w:val="28"/>
    </w:rPr>
  </w:style>
  <w:style w:type="character" w:customStyle="1" w:styleId="809">
    <w:name w:val="脚注文本 字符"/>
    <w:qFormat/>
    <w:locked/>
    <w:uiPriority w:val="0"/>
    <w:rPr>
      <w:sz w:val="18"/>
    </w:rPr>
  </w:style>
  <w:style w:type="character" w:customStyle="1" w:styleId="810">
    <w:name w:val="标题 6 字符"/>
    <w:qFormat/>
    <w:uiPriority w:val="0"/>
    <w:rPr>
      <w:rFonts w:ascii="Arial" w:hAnsi="Arial" w:eastAsia="黑体"/>
      <w:b/>
      <w:bCs/>
      <w:kern w:val="2"/>
      <w:sz w:val="24"/>
      <w:szCs w:val="24"/>
    </w:rPr>
  </w:style>
  <w:style w:type="character" w:customStyle="1" w:styleId="811">
    <w:name w:val="正文文本缩进 3 字符"/>
    <w:qFormat/>
    <w:uiPriority w:val="0"/>
    <w:rPr>
      <w:kern w:val="2"/>
      <w:sz w:val="16"/>
      <w:szCs w:val="16"/>
    </w:rPr>
  </w:style>
  <w:style w:type="character" w:customStyle="1" w:styleId="812">
    <w:name w:val="页眉 字符1"/>
    <w:qFormat/>
    <w:uiPriority w:val="0"/>
    <w:rPr>
      <w:kern w:val="2"/>
      <w:sz w:val="18"/>
      <w:szCs w:val="22"/>
    </w:rPr>
  </w:style>
  <w:style w:type="character" w:customStyle="1" w:styleId="813">
    <w:name w:val="批注框文本 字符1"/>
    <w:qFormat/>
    <w:uiPriority w:val="99"/>
    <w:rPr>
      <w:kern w:val="2"/>
      <w:sz w:val="18"/>
      <w:szCs w:val="18"/>
    </w:rPr>
  </w:style>
  <w:style w:type="character" w:customStyle="1" w:styleId="814">
    <w:name w:val="正文文本 字符"/>
    <w:qFormat/>
    <w:uiPriority w:val="0"/>
    <w:rPr>
      <w:kern w:val="2"/>
      <w:sz w:val="21"/>
      <w:szCs w:val="22"/>
    </w:rPr>
  </w:style>
  <w:style w:type="character" w:customStyle="1" w:styleId="815">
    <w:name w:val="文档结构图 字符"/>
    <w:qFormat/>
    <w:uiPriority w:val="0"/>
    <w:rPr>
      <w:rFonts w:ascii="宋体"/>
      <w:kern w:val="2"/>
      <w:sz w:val="18"/>
      <w:szCs w:val="18"/>
    </w:rPr>
  </w:style>
  <w:style w:type="character" w:customStyle="1" w:styleId="816">
    <w:name w:val="正文文本缩进 2 字符"/>
    <w:qFormat/>
    <w:uiPriority w:val="0"/>
    <w:rPr>
      <w:kern w:val="2"/>
      <w:sz w:val="24"/>
      <w:szCs w:val="24"/>
    </w:rPr>
  </w:style>
  <w:style w:type="paragraph" w:customStyle="1" w:styleId="817">
    <w:name w:val="Other|1"/>
    <w:basedOn w:val="1"/>
    <w:uiPriority w:val="0"/>
    <w:pPr>
      <w:ind w:firstLine="160"/>
    </w:pPr>
    <w:rPr>
      <w:rFonts w:ascii="Calibri" w:hAnsi="Calibri"/>
      <w:sz w:val="20"/>
      <w:szCs w:val="20"/>
    </w:rPr>
  </w:style>
  <w:style w:type="character" w:customStyle="1" w:styleId="818">
    <w:name w:val="宏文本 字符1"/>
    <w:semiHidden/>
    <w:qFormat/>
    <w:uiPriority w:val="0"/>
    <w:rPr>
      <w:rFonts w:ascii="Courier New" w:hAnsi="Courier New"/>
      <w:kern w:val="2"/>
      <w:sz w:val="24"/>
      <w:szCs w:val="24"/>
    </w:rPr>
  </w:style>
  <w:style w:type="character" w:customStyle="1" w:styleId="819">
    <w:name w:val="5段落 Char"/>
    <w:link w:val="820"/>
    <w:qFormat/>
    <w:uiPriority w:val="0"/>
    <w:rPr>
      <w:color w:val="000000"/>
      <w:kern w:val="2"/>
      <w:sz w:val="24"/>
      <w:szCs w:val="24"/>
    </w:rPr>
  </w:style>
  <w:style w:type="paragraph" w:customStyle="1" w:styleId="820">
    <w:name w:val="5段落"/>
    <w:basedOn w:val="1"/>
    <w:link w:val="819"/>
    <w:uiPriority w:val="0"/>
    <w:pPr>
      <w:spacing w:line="360" w:lineRule="auto"/>
      <w:ind w:firstLine="480" w:firstLineChars="200"/>
    </w:pPr>
    <w:rPr>
      <w:color w:val="000000"/>
      <w:sz w:val="24"/>
      <w:szCs w:val="24"/>
    </w:rPr>
  </w:style>
  <w:style w:type="character" w:customStyle="1" w:styleId="821">
    <w:name w:val="6标题-表头 Char"/>
    <w:link w:val="822"/>
    <w:qFormat/>
    <w:uiPriority w:val="0"/>
    <w:rPr>
      <w:b/>
      <w:bCs/>
      <w:kern w:val="2"/>
      <w:sz w:val="24"/>
      <w:szCs w:val="24"/>
    </w:rPr>
  </w:style>
  <w:style w:type="paragraph" w:customStyle="1" w:styleId="822">
    <w:name w:val="6标题-表头"/>
    <w:basedOn w:val="1"/>
    <w:next w:val="1"/>
    <w:link w:val="821"/>
    <w:qFormat/>
    <w:uiPriority w:val="0"/>
    <w:pPr>
      <w:spacing w:before="100" w:beforeAutospacing="1" w:after="100" w:afterAutospacing="1" w:line="360" w:lineRule="auto"/>
      <w:jc w:val="center"/>
    </w:pPr>
    <w:rPr>
      <w:b/>
      <w:bCs/>
      <w:sz w:val="24"/>
      <w:szCs w:val="24"/>
    </w:rPr>
  </w:style>
  <w:style w:type="paragraph" w:customStyle="1" w:styleId="823">
    <w:name w:val="9表格内容"/>
    <w:basedOn w:val="1"/>
    <w:next w:val="1"/>
    <w:qFormat/>
    <w:uiPriority w:val="0"/>
    <w:pPr>
      <w:jc w:val="center"/>
    </w:pPr>
    <w:rPr>
      <w:szCs w:val="21"/>
    </w:rPr>
  </w:style>
  <w:style w:type="character" w:customStyle="1" w:styleId="824">
    <w:name w:val="批注文字 字符2"/>
    <w:qFormat/>
    <w:uiPriority w:val="0"/>
    <w:rPr>
      <w:rFonts w:ascii="Times New Roman" w:hAnsi="Times New Roman" w:eastAsia="宋体" w:cs="Times New Roman"/>
      <w:sz w:val="24"/>
    </w:rPr>
  </w:style>
  <w:style w:type="paragraph" w:customStyle="1" w:styleId="825">
    <w:name w:val="表头图例"/>
    <w:basedOn w:val="1"/>
    <w:link w:val="826"/>
    <w:qFormat/>
    <w:uiPriority w:val="0"/>
    <w:pPr>
      <w:spacing w:line="360" w:lineRule="auto"/>
      <w:jc w:val="center"/>
    </w:pPr>
    <w:rPr>
      <w:rFonts w:hAnsi="宋体"/>
      <w:b/>
      <w:color w:val="000000"/>
      <w:kern w:val="0"/>
      <w:sz w:val="24"/>
      <w:szCs w:val="24"/>
    </w:rPr>
  </w:style>
  <w:style w:type="character" w:customStyle="1" w:styleId="826">
    <w:name w:val="表头图例 字符"/>
    <w:link w:val="825"/>
    <w:qFormat/>
    <w:uiPriority w:val="0"/>
    <w:rPr>
      <w:rFonts w:hAnsi="宋体"/>
      <w:b/>
      <w:color w:val="000000"/>
      <w:sz w:val="24"/>
      <w:szCs w:val="24"/>
    </w:rPr>
  </w:style>
  <w:style w:type="character" w:customStyle="1" w:styleId="827">
    <w:name w:val="正文文本缩进 2 字符1"/>
    <w:qFormat/>
    <w:uiPriority w:val="0"/>
    <w:rPr>
      <w:kern w:val="2"/>
      <w:sz w:val="24"/>
      <w:szCs w:val="24"/>
    </w:rPr>
  </w:style>
  <w:style w:type="paragraph" w:customStyle="1" w:styleId="828">
    <w:name w:val="lin表格中"/>
    <w:qFormat/>
    <w:uiPriority w:val="0"/>
    <w:pPr>
      <w:adjustRightInd w:val="0"/>
      <w:snapToGrid w:val="0"/>
      <w:jc w:val="center"/>
    </w:pPr>
    <w:rPr>
      <w:rFonts w:ascii="Times New Roman" w:hAnsi="Times New Roman" w:eastAsia="宋体" w:cs="Times New Roman"/>
      <w:kern w:val="2"/>
      <w:sz w:val="18"/>
      <w:szCs w:val="21"/>
      <w:lang w:val="en-US" w:eastAsia="zh-CN" w:bidi="ar-SA"/>
    </w:rPr>
  </w:style>
  <w:style w:type="character" w:customStyle="1" w:styleId="829">
    <w:name w:val="表题 Char"/>
    <w:qFormat/>
    <w:locked/>
    <w:uiPriority w:val="0"/>
    <w:rPr>
      <w:rFonts w:eastAsia="黑体"/>
      <w:kern w:val="2"/>
      <w:sz w:val="24"/>
    </w:rPr>
  </w:style>
  <w:style w:type="paragraph" w:customStyle="1" w:styleId="830">
    <w:name w:val="ZH表格内字体"/>
    <w:basedOn w:val="1"/>
    <w:qFormat/>
    <w:uiPriority w:val="0"/>
    <w:pPr>
      <w:snapToGrid w:val="0"/>
      <w:jc w:val="center"/>
    </w:pPr>
    <w:rPr>
      <w:szCs w:val="21"/>
    </w:rPr>
  </w:style>
  <w:style w:type="paragraph" w:customStyle="1" w:styleId="831">
    <w:name w:val="附图附件"/>
    <w:basedOn w:val="53"/>
    <w:link w:val="832"/>
    <w:qFormat/>
    <w:uiPriority w:val="0"/>
    <w:pPr>
      <w:ind w:firstLine="0" w:firstLineChars="0"/>
    </w:pPr>
    <w:rPr>
      <w:b/>
      <w:bCs w:val="0"/>
      <w:sz w:val="28"/>
      <w:szCs w:val="28"/>
    </w:rPr>
  </w:style>
  <w:style w:type="character" w:customStyle="1" w:styleId="832">
    <w:name w:val="附图附件 字符"/>
    <w:link w:val="831"/>
    <w:qFormat/>
    <w:uiPriority w:val="0"/>
    <w:rPr>
      <w:b/>
      <w:kern w:val="2"/>
      <w:sz w:val="28"/>
      <w:szCs w:val="28"/>
      <w:lang w:val="en-US" w:eastAsia="zh-CN" w:bidi="ar-SA"/>
    </w:rPr>
  </w:style>
  <w:style w:type="character" w:styleId="833">
    <w:name w:val="Placeholder Text"/>
    <w:basedOn w:val="59"/>
    <w:unhideWhenUsed/>
    <w:qFormat/>
    <w:uiPriority w:val="99"/>
    <w:rPr>
      <w:color w:val="808080"/>
    </w:rPr>
  </w:style>
  <w:style w:type="paragraph" w:customStyle="1" w:styleId="834">
    <w:name w:val="Char Char Char Char Char Char Char2"/>
    <w:basedOn w:val="1"/>
    <w:qFormat/>
    <w:uiPriority w:val="0"/>
    <w:pPr>
      <w:snapToGrid w:val="0"/>
      <w:spacing w:line="440" w:lineRule="atLeast"/>
      <w:ind w:firstLine="723" w:firstLineChars="200"/>
      <w:jc w:val="left"/>
    </w:pPr>
    <w:rPr>
      <w:rFonts w:ascii="宋体" w:eastAsia="Times New Roman"/>
      <w:b/>
      <w:kern w:val="0"/>
      <w:sz w:val="36"/>
      <w:szCs w:val="24"/>
    </w:rPr>
  </w:style>
  <w:style w:type="character" w:customStyle="1" w:styleId="835">
    <w:name w:val="宁德正文 Char Char"/>
    <w:link w:val="836"/>
    <w:qFormat/>
    <w:uiPriority w:val="0"/>
    <w:rPr>
      <w:rFonts w:ascii="宋体" w:hAnsi="宋体" w:cs="宋体"/>
      <w:sz w:val="28"/>
      <w:szCs w:val="24"/>
    </w:rPr>
  </w:style>
  <w:style w:type="paragraph" w:customStyle="1" w:styleId="836">
    <w:name w:val="宁德正文"/>
    <w:basedOn w:val="48"/>
    <w:link w:val="835"/>
    <w:qFormat/>
    <w:uiPriority w:val="0"/>
    <w:pPr>
      <w:widowControl w:val="0"/>
      <w:spacing w:before="0" w:beforeAutospacing="0" w:after="0" w:afterAutospacing="0"/>
      <w:ind w:firstLine="200" w:firstLineChars="200"/>
    </w:pPr>
    <w:rPr>
      <w:rFonts w:ascii="宋体" w:hAnsi="宋体" w:eastAsia="宋体" w:cs="宋体"/>
      <w:sz w:val="28"/>
    </w:rPr>
  </w:style>
  <w:style w:type="character" w:customStyle="1" w:styleId="837">
    <w:name w:val="批注文字 Char1"/>
    <w:semiHidden/>
    <w:qFormat/>
    <w:uiPriority w:val="0"/>
    <w:rPr>
      <w:kern w:val="2"/>
      <w:sz w:val="21"/>
      <w:szCs w:val="24"/>
    </w:rPr>
  </w:style>
  <w:style w:type="character" w:customStyle="1" w:styleId="838">
    <w:name w:val="正文文本缩进 3 Char1"/>
    <w:semiHidden/>
    <w:qFormat/>
    <w:uiPriority w:val="0"/>
    <w:rPr>
      <w:kern w:val="2"/>
      <w:sz w:val="16"/>
      <w:szCs w:val="16"/>
    </w:rPr>
  </w:style>
  <w:style w:type="character" w:customStyle="1" w:styleId="839">
    <w:name w:val="科泰正文6 Char"/>
    <w:link w:val="840"/>
    <w:qFormat/>
    <w:locked/>
    <w:uiPriority w:val="0"/>
    <w:rPr>
      <w:sz w:val="28"/>
      <w:szCs w:val="28"/>
    </w:rPr>
  </w:style>
  <w:style w:type="paragraph" w:customStyle="1" w:styleId="840">
    <w:name w:val="科泰正文6"/>
    <w:basedOn w:val="1"/>
    <w:next w:val="1"/>
    <w:link w:val="839"/>
    <w:qFormat/>
    <w:uiPriority w:val="0"/>
    <w:pPr>
      <w:spacing w:line="520" w:lineRule="exact"/>
      <w:ind w:firstLine="560" w:firstLineChars="200"/>
    </w:pPr>
    <w:rPr>
      <w:kern w:val="0"/>
      <w:sz w:val="28"/>
      <w:szCs w:val="28"/>
    </w:rPr>
  </w:style>
  <w:style w:type="character" w:customStyle="1" w:styleId="841">
    <w:name w:val="纯文本 Char"/>
    <w:qFormat/>
    <w:uiPriority w:val="0"/>
    <w:rPr>
      <w:rFonts w:ascii="宋体" w:hAnsi="Courier New" w:eastAsia="宋体" w:cs="Courier New"/>
      <w:kern w:val="2"/>
      <w:sz w:val="21"/>
      <w:szCs w:val="21"/>
      <w:lang w:val="en-US" w:eastAsia="zh-CN" w:bidi="ar-SA"/>
    </w:rPr>
  </w:style>
  <w:style w:type="character" w:customStyle="1" w:styleId="842">
    <w:name w:val="注释标题 Char2"/>
    <w:semiHidden/>
    <w:qFormat/>
    <w:uiPriority w:val="99"/>
    <w:rPr>
      <w:kern w:val="2"/>
      <w:sz w:val="21"/>
      <w:szCs w:val="24"/>
    </w:rPr>
  </w:style>
  <w:style w:type="character" w:customStyle="1" w:styleId="843">
    <w:name w:val="普通文字 Char Char6"/>
    <w:qFormat/>
    <w:uiPriority w:val="0"/>
    <w:rPr>
      <w:rFonts w:hint="eastAsia" w:ascii="宋体" w:hAnsi="Courier New" w:eastAsia="宋体" w:cs="Courier New"/>
      <w:kern w:val="2"/>
      <w:sz w:val="21"/>
      <w:szCs w:val="21"/>
      <w:lang w:val="en-US" w:eastAsia="zh-CN" w:bidi="ar-SA"/>
    </w:rPr>
  </w:style>
  <w:style w:type="character" w:customStyle="1" w:styleId="844">
    <w:name w:val="ohm表内容 Char"/>
    <w:link w:val="845"/>
    <w:qFormat/>
    <w:locked/>
    <w:uiPriority w:val="0"/>
    <w:rPr>
      <w:sz w:val="21"/>
      <w:szCs w:val="24"/>
    </w:rPr>
  </w:style>
  <w:style w:type="paragraph" w:customStyle="1" w:styleId="845">
    <w:name w:val="ohm表内容"/>
    <w:basedOn w:val="1"/>
    <w:link w:val="844"/>
    <w:qFormat/>
    <w:uiPriority w:val="0"/>
    <w:pPr>
      <w:jc w:val="left"/>
    </w:pPr>
    <w:rPr>
      <w:kern w:val="0"/>
      <w:szCs w:val="24"/>
    </w:rPr>
  </w:style>
  <w:style w:type="character" w:customStyle="1" w:styleId="846">
    <w:name w:val="页眉 Char2"/>
    <w:semiHidden/>
    <w:qFormat/>
    <w:uiPriority w:val="99"/>
    <w:rPr>
      <w:kern w:val="2"/>
      <w:sz w:val="18"/>
      <w:szCs w:val="18"/>
    </w:rPr>
  </w:style>
  <w:style w:type="character" w:customStyle="1" w:styleId="847">
    <w:name w:val="宋体 四号 行距: 1.5 倍行距1 Char"/>
    <w:link w:val="848"/>
    <w:qFormat/>
    <w:uiPriority w:val="0"/>
    <w:rPr>
      <w:rFonts w:ascii="宋体" w:hAnsi="宋体" w:cs="宋体"/>
      <w:kern w:val="2"/>
      <w:sz w:val="28"/>
    </w:rPr>
  </w:style>
  <w:style w:type="paragraph" w:customStyle="1" w:styleId="848">
    <w:name w:val="宋体 四号 行距: 1.5 倍行距1"/>
    <w:basedOn w:val="1"/>
    <w:link w:val="847"/>
    <w:qFormat/>
    <w:uiPriority w:val="0"/>
    <w:pPr>
      <w:adjustRightInd w:val="0"/>
      <w:snapToGrid w:val="0"/>
      <w:spacing w:line="360" w:lineRule="auto"/>
      <w:ind w:firstLine="200" w:firstLineChars="200"/>
      <w:jc w:val="left"/>
    </w:pPr>
    <w:rPr>
      <w:rFonts w:ascii="宋体" w:hAnsi="宋体" w:cs="宋体"/>
      <w:sz w:val="28"/>
      <w:szCs w:val="20"/>
    </w:rPr>
  </w:style>
  <w:style w:type="character" w:customStyle="1" w:styleId="849">
    <w:name w:val="批注框文本 Char2"/>
    <w:semiHidden/>
    <w:qFormat/>
    <w:uiPriority w:val="99"/>
    <w:rPr>
      <w:kern w:val="2"/>
      <w:sz w:val="18"/>
      <w:szCs w:val="18"/>
    </w:rPr>
  </w:style>
  <w:style w:type="character" w:customStyle="1" w:styleId="850">
    <w:name w:val="页脚 Char2"/>
    <w:semiHidden/>
    <w:qFormat/>
    <w:uiPriority w:val="99"/>
    <w:rPr>
      <w:kern w:val="2"/>
      <w:sz w:val="18"/>
      <w:szCs w:val="18"/>
    </w:rPr>
  </w:style>
  <w:style w:type="character" w:customStyle="1" w:styleId="851">
    <w:name w:val="正文文本 2 Char1"/>
    <w:semiHidden/>
    <w:qFormat/>
    <w:uiPriority w:val="0"/>
    <w:rPr>
      <w:kern w:val="2"/>
      <w:sz w:val="21"/>
      <w:szCs w:val="24"/>
    </w:rPr>
  </w:style>
  <w:style w:type="character" w:customStyle="1" w:styleId="852">
    <w:name w:val="ohm正文 Char"/>
    <w:link w:val="853"/>
    <w:qFormat/>
    <w:uiPriority w:val="0"/>
    <w:rPr>
      <w:kern w:val="2"/>
      <w:sz w:val="28"/>
      <w:szCs w:val="24"/>
      <w:lang w:val="en-GB"/>
    </w:rPr>
  </w:style>
  <w:style w:type="paragraph" w:customStyle="1" w:styleId="853">
    <w:name w:val="ohm正文"/>
    <w:basedOn w:val="1"/>
    <w:link w:val="852"/>
    <w:qFormat/>
    <w:uiPriority w:val="0"/>
    <w:pPr>
      <w:adjustRightInd w:val="0"/>
      <w:spacing w:line="360" w:lineRule="auto"/>
      <w:ind w:firstLine="480" w:firstLineChars="200"/>
    </w:pPr>
    <w:rPr>
      <w:sz w:val="28"/>
      <w:szCs w:val="24"/>
      <w:lang w:val="en-GB"/>
    </w:rPr>
  </w:style>
  <w:style w:type="character" w:customStyle="1" w:styleId="854">
    <w:name w:val="标题 2 Char1"/>
    <w:semiHidden/>
    <w:qFormat/>
    <w:uiPriority w:val="0"/>
    <w:rPr>
      <w:rFonts w:ascii="Calibri Light" w:hAnsi="Calibri Light" w:eastAsia="宋体" w:cs="Times New Roman"/>
      <w:b/>
      <w:bCs/>
      <w:kern w:val="2"/>
      <w:sz w:val="32"/>
      <w:szCs w:val="32"/>
    </w:rPr>
  </w:style>
  <w:style w:type="character" w:customStyle="1" w:styleId="855">
    <w:name w:val="宁德正文 Char"/>
    <w:qFormat/>
    <w:locked/>
    <w:uiPriority w:val="0"/>
    <w:rPr>
      <w:rFonts w:ascii="宋体" w:hAnsi="宋体" w:cs="宋体"/>
      <w:sz w:val="28"/>
      <w:szCs w:val="24"/>
    </w:rPr>
  </w:style>
  <w:style w:type="character" w:customStyle="1" w:styleId="856">
    <w:name w:val="正文文本 2 Char2"/>
    <w:semiHidden/>
    <w:qFormat/>
    <w:uiPriority w:val="99"/>
    <w:rPr>
      <w:kern w:val="2"/>
      <w:sz w:val="21"/>
      <w:szCs w:val="24"/>
    </w:rPr>
  </w:style>
  <w:style w:type="character" w:customStyle="1" w:styleId="857">
    <w:name w:val="日期 Char1"/>
    <w:semiHidden/>
    <w:qFormat/>
    <w:uiPriority w:val="0"/>
    <w:rPr>
      <w:kern w:val="2"/>
      <w:sz w:val="21"/>
      <w:szCs w:val="24"/>
    </w:rPr>
  </w:style>
  <w:style w:type="character" w:customStyle="1" w:styleId="858">
    <w:name w:val="样式 宋体 四号 黑色"/>
    <w:qFormat/>
    <w:uiPriority w:val="0"/>
    <w:rPr>
      <w:rFonts w:ascii="宋体" w:hAnsi="宋体"/>
      <w:color w:val="000000"/>
      <w:sz w:val="28"/>
    </w:rPr>
  </w:style>
  <w:style w:type="character" w:customStyle="1" w:styleId="859">
    <w:name w:val="样式29 Char"/>
    <w:link w:val="860"/>
    <w:qFormat/>
    <w:locked/>
    <w:uiPriority w:val="0"/>
    <w:rPr>
      <w:sz w:val="24"/>
      <w:szCs w:val="22"/>
    </w:rPr>
  </w:style>
  <w:style w:type="paragraph" w:customStyle="1" w:styleId="860">
    <w:name w:val="样式29"/>
    <w:basedOn w:val="5"/>
    <w:link w:val="859"/>
    <w:qFormat/>
    <w:uiPriority w:val="0"/>
    <w:pPr>
      <w:ind w:firstLine="200" w:firstLineChars="200"/>
      <w:contextualSpacing/>
    </w:pPr>
    <w:rPr>
      <w:kern w:val="0"/>
      <w:sz w:val="24"/>
      <w:szCs w:val="22"/>
      <w:lang w:val="en-US"/>
    </w:rPr>
  </w:style>
  <w:style w:type="character" w:customStyle="1" w:styleId="861">
    <w:name w:val="正文缩进 Char1"/>
    <w:qFormat/>
    <w:uiPriority w:val="0"/>
    <w:rPr>
      <w:rFonts w:ascii="宋体" w:hAnsi="宋体"/>
      <w:sz w:val="24"/>
      <w:lang w:val="en-US" w:eastAsia="zh-CN" w:bidi="ar-SA"/>
    </w:rPr>
  </w:style>
  <w:style w:type="character" w:customStyle="1" w:styleId="862">
    <w:name w:val="页脚 Char3"/>
    <w:semiHidden/>
    <w:qFormat/>
    <w:uiPriority w:val="99"/>
    <w:rPr>
      <w:kern w:val="2"/>
      <w:sz w:val="18"/>
      <w:szCs w:val="18"/>
    </w:rPr>
  </w:style>
  <w:style w:type="character" w:customStyle="1" w:styleId="863">
    <w:name w:val="注释标题 Char1"/>
    <w:semiHidden/>
    <w:qFormat/>
    <w:uiPriority w:val="0"/>
    <w:rPr>
      <w:kern w:val="2"/>
      <w:sz w:val="21"/>
      <w:szCs w:val="24"/>
    </w:rPr>
  </w:style>
  <w:style w:type="character" w:customStyle="1" w:styleId="864">
    <w:name w:val="文档结构图 Char2"/>
    <w:semiHidden/>
    <w:qFormat/>
    <w:uiPriority w:val="99"/>
    <w:rPr>
      <w:rFonts w:ascii="Microsoft YaHei UI" w:eastAsia="Microsoft YaHei UI"/>
      <w:kern w:val="2"/>
      <w:sz w:val="18"/>
      <w:szCs w:val="18"/>
    </w:rPr>
  </w:style>
  <w:style w:type="character" w:customStyle="1" w:styleId="865">
    <w:name w:val="正文文本 Char1"/>
    <w:semiHidden/>
    <w:qFormat/>
    <w:uiPriority w:val="99"/>
    <w:rPr>
      <w:kern w:val="2"/>
      <w:sz w:val="21"/>
      <w:szCs w:val="24"/>
    </w:rPr>
  </w:style>
  <w:style w:type="character" w:customStyle="1" w:styleId="866">
    <w:name w:val="样式 四号 + 首行缩进:  2 字符 Char Char"/>
    <w:link w:val="867"/>
    <w:qFormat/>
    <w:uiPriority w:val="0"/>
    <w:rPr>
      <w:rFonts w:cs="宋体"/>
      <w:kern w:val="2"/>
      <w:sz w:val="28"/>
    </w:rPr>
  </w:style>
  <w:style w:type="paragraph" w:customStyle="1" w:styleId="867">
    <w:name w:val="样式 四号 + 首行缩进:  2 字符"/>
    <w:basedOn w:val="1"/>
    <w:link w:val="866"/>
    <w:qFormat/>
    <w:uiPriority w:val="0"/>
    <w:pPr>
      <w:adjustRightInd w:val="0"/>
      <w:snapToGrid w:val="0"/>
      <w:spacing w:line="300" w:lineRule="auto"/>
      <w:ind w:firstLine="560" w:firstLineChars="200"/>
    </w:pPr>
    <w:rPr>
      <w:rFonts w:cs="宋体"/>
      <w:sz w:val="28"/>
      <w:szCs w:val="20"/>
    </w:rPr>
  </w:style>
  <w:style w:type="character" w:customStyle="1" w:styleId="868">
    <w:name w:val="正文文本缩进 3 Char2"/>
    <w:semiHidden/>
    <w:qFormat/>
    <w:uiPriority w:val="99"/>
    <w:rPr>
      <w:kern w:val="2"/>
      <w:sz w:val="16"/>
      <w:szCs w:val="16"/>
    </w:rPr>
  </w:style>
  <w:style w:type="character" w:customStyle="1" w:styleId="869">
    <w:name w:val="页脚 Char1"/>
    <w:semiHidden/>
    <w:qFormat/>
    <w:locked/>
    <w:uiPriority w:val="0"/>
    <w:rPr>
      <w:rFonts w:ascii="宋体" w:hAnsi="宋体"/>
      <w:kern w:val="2"/>
      <w:sz w:val="18"/>
      <w:szCs w:val="18"/>
    </w:rPr>
  </w:style>
  <w:style w:type="character" w:customStyle="1" w:styleId="870">
    <w:name w:val="标题 1 Char1"/>
    <w:qFormat/>
    <w:uiPriority w:val="0"/>
    <w:rPr>
      <w:b/>
      <w:bCs/>
      <w:kern w:val="44"/>
      <w:sz w:val="44"/>
      <w:szCs w:val="44"/>
    </w:rPr>
  </w:style>
  <w:style w:type="character" w:customStyle="1" w:styleId="871">
    <w:name w:val="标题 4 Char2"/>
    <w:semiHidden/>
    <w:qFormat/>
    <w:uiPriority w:val="0"/>
    <w:rPr>
      <w:rFonts w:ascii="Calibri Light" w:hAnsi="Calibri Light" w:eastAsia="宋体" w:cs="Times New Roman"/>
      <w:b/>
      <w:bCs/>
      <w:kern w:val="2"/>
      <w:sz w:val="28"/>
      <w:szCs w:val="28"/>
    </w:rPr>
  </w:style>
  <w:style w:type="paragraph" w:customStyle="1" w:styleId="872">
    <w:name w:val="段"/>
    <w:qFormat/>
    <w:uiPriority w:val="0"/>
    <w:pPr>
      <w:tabs>
        <w:tab w:val="center" w:pos="4201"/>
        <w:tab w:val="right" w:leader="dot" w:pos="9298"/>
      </w:tabs>
      <w:autoSpaceDE w:val="0"/>
      <w:autoSpaceDN w:val="0"/>
      <w:ind w:firstLine="420" w:firstLineChars="200"/>
      <w:jc w:val="both"/>
    </w:pPr>
    <w:rPr>
      <w:rFonts w:ascii="宋体" w:hAnsi="宋体" w:eastAsia="宋体" w:cs="Times New Roman"/>
      <w:sz w:val="21"/>
      <w:lang w:val="en-US" w:eastAsia="zh-CN" w:bidi="ar-SA"/>
    </w:rPr>
  </w:style>
  <w:style w:type="character" w:customStyle="1" w:styleId="873">
    <w:name w:val="第一条"/>
    <w:basedOn w:val="59"/>
    <w:qFormat/>
    <w:uiPriority w:val="0"/>
  </w:style>
  <w:style w:type="character" w:customStyle="1" w:styleId="874">
    <w:name w:val="样式 样式 样式 首行缩进:  2 字符 + 居中 + 行距: 固定值 17 磅 Char"/>
    <w:link w:val="875"/>
    <w:qFormat/>
    <w:locked/>
    <w:uiPriority w:val="0"/>
    <w:rPr>
      <w:rFonts w:ascii="宋体" w:hAnsi="宋体" w:cs="宋体"/>
      <w:color w:val="000000"/>
      <w:kern w:val="2"/>
      <w:sz w:val="21"/>
    </w:rPr>
  </w:style>
  <w:style w:type="paragraph" w:customStyle="1" w:styleId="875">
    <w:name w:val="样式 样式 样式 首行缩进:  2 字符 + 居中 + 行距: 固定值 17 磅"/>
    <w:basedOn w:val="1"/>
    <w:link w:val="874"/>
    <w:qFormat/>
    <w:uiPriority w:val="0"/>
    <w:pPr>
      <w:adjustRightInd w:val="0"/>
      <w:snapToGrid w:val="0"/>
      <w:spacing w:line="340" w:lineRule="exact"/>
      <w:jc w:val="center"/>
      <w:outlineLvl w:val="2"/>
    </w:pPr>
    <w:rPr>
      <w:rFonts w:ascii="宋体" w:hAnsi="宋体" w:cs="宋体"/>
      <w:color w:val="000000"/>
      <w:szCs w:val="20"/>
    </w:rPr>
  </w:style>
  <w:style w:type="character" w:customStyle="1" w:styleId="876">
    <w:name w:val="正文文本缩进 Char2"/>
    <w:semiHidden/>
    <w:qFormat/>
    <w:uiPriority w:val="99"/>
    <w:rPr>
      <w:kern w:val="2"/>
      <w:sz w:val="21"/>
      <w:szCs w:val="24"/>
    </w:rPr>
  </w:style>
  <w:style w:type="character" w:customStyle="1" w:styleId="877">
    <w:name w:val="标题 3 Char1"/>
    <w:semiHidden/>
    <w:qFormat/>
    <w:uiPriority w:val="0"/>
    <w:rPr>
      <w:b/>
      <w:bCs/>
      <w:kern w:val="2"/>
      <w:sz w:val="32"/>
      <w:szCs w:val="32"/>
    </w:rPr>
  </w:style>
  <w:style w:type="character" w:customStyle="1" w:styleId="878">
    <w:name w:val="批注文字 Char2"/>
    <w:semiHidden/>
    <w:qFormat/>
    <w:uiPriority w:val="99"/>
    <w:rPr>
      <w:kern w:val="2"/>
      <w:sz w:val="21"/>
      <w:szCs w:val="24"/>
    </w:rPr>
  </w:style>
  <w:style w:type="character" w:customStyle="1" w:styleId="879">
    <w:name w:val="正文文本缩进 2 Char2"/>
    <w:semiHidden/>
    <w:qFormat/>
    <w:uiPriority w:val="99"/>
    <w:rPr>
      <w:kern w:val="2"/>
      <w:sz w:val="21"/>
      <w:szCs w:val="24"/>
    </w:rPr>
  </w:style>
  <w:style w:type="character" w:customStyle="1" w:styleId="880">
    <w:name w:val="第一条1"/>
    <w:qFormat/>
    <w:uiPriority w:val="0"/>
    <w:rPr>
      <w:rFonts w:hint="eastAsia" w:ascii="黑体" w:eastAsia="黑体"/>
      <w:sz w:val="24"/>
      <w:szCs w:val="24"/>
    </w:rPr>
  </w:style>
  <w:style w:type="character" w:customStyle="1" w:styleId="881">
    <w:name w:val="正文文本缩进 Char1"/>
    <w:semiHidden/>
    <w:qFormat/>
    <w:uiPriority w:val="0"/>
    <w:rPr>
      <w:kern w:val="2"/>
      <w:sz w:val="21"/>
      <w:szCs w:val="24"/>
    </w:rPr>
  </w:style>
  <w:style w:type="character" w:customStyle="1" w:styleId="882">
    <w:name w:val="普通(网站) Char"/>
    <w:qFormat/>
    <w:locked/>
    <w:uiPriority w:val="0"/>
    <w:rPr>
      <w:kern w:val="2"/>
      <w:sz w:val="18"/>
      <w:szCs w:val="18"/>
    </w:rPr>
  </w:style>
  <w:style w:type="character" w:customStyle="1" w:styleId="883">
    <w:name w:val="日期 Char2"/>
    <w:semiHidden/>
    <w:qFormat/>
    <w:uiPriority w:val="99"/>
    <w:rPr>
      <w:kern w:val="2"/>
      <w:sz w:val="21"/>
      <w:szCs w:val="24"/>
    </w:rPr>
  </w:style>
  <w:style w:type="character" w:customStyle="1" w:styleId="884">
    <w:name w:val="批注主题 Char2"/>
    <w:semiHidden/>
    <w:qFormat/>
    <w:uiPriority w:val="99"/>
    <w:rPr>
      <w:b/>
      <w:bCs/>
      <w:kern w:val="2"/>
      <w:sz w:val="21"/>
      <w:szCs w:val="24"/>
    </w:rPr>
  </w:style>
  <w:style w:type="character" w:customStyle="1" w:styleId="885">
    <w:name w:val="文档结构图 Char1"/>
    <w:semiHidden/>
    <w:qFormat/>
    <w:uiPriority w:val="0"/>
    <w:rPr>
      <w:rFonts w:ascii="Microsoft YaHei UI" w:eastAsia="Microsoft YaHei UI"/>
      <w:kern w:val="2"/>
      <w:sz w:val="18"/>
      <w:szCs w:val="18"/>
    </w:rPr>
  </w:style>
  <w:style w:type="paragraph" w:customStyle="1" w:styleId="886">
    <w:name w:val="正文首行缩进1"/>
    <w:basedOn w:val="23"/>
    <w:qFormat/>
    <w:uiPriority w:val="99"/>
    <w:pPr>
      <w:adjustRightInd w:val="0"/>
      <w:spacing w:after="0" w:line="312" w:lineRule="auto"/>
      <w:ind w:firstLine="567"/>
    </w:pPr>
    <w:rPr>
      <w:kern w:val="0"/>
      <w:sz w:val="28"/>
      <w:szCs w:val="20"/>
    </w:rPr>
  </w:style>
  <w:style w:type="paragraph" w:customStyle="1" w:styleId="887">
    <w:name w:val="样式 样式 样式 样式 zx正文标题 + 非加粗 首行缩进:  2 字符 行距: 单倍行距 + + + 首行缩进:  2 字符"/>
    <w:basedOn w:val="1"/>
    <w:qFormat/>
    <w:uiPriority w:val="99"/>
    <w:pPr>
      <w:spacing w:line="560" w:lineRule="exact"/>
      <w:ind w:firstLine="560" w:firstLineChars="200"/>
      <w:jc w:val="left"/>
      <w:outlineLvl w:val="1"/>
    </w:pPr>
    <w:rPr>
      <w:rFonts w:eastAsia="黑体" w:cs="宋体"/>
      <w:kern w:val="0"/>
      <w:sz w:val="28"/>
      <w:szCs w:val="20"/>
    </w:rPr>
  </w:style>
  <w:style w:type="paragraph" w:customStyle="1" w:styleId="888">
    <w:name w:val="样式 zx表格标题 + 段前: 0.5 行 段后: 0.5 行"/>
    <w:basedOn w:val="1"/>
    <w:qFormat/>
    <w:uiPriority w:val="99"/>
    <w:pPr>
      <w:tabs>
        <w:tab w:val="left" w:pos="540"/>
      </w:tabs>
      <w:adjustRightInd w:val="0"/>
      <w:spacing w:beforeLines="50" w:afterLines="50"/>
      <w:ind w:left="-140" w:leftChars="-50" w:right="-140" w:rightChars="-50"/>
      <w:jc w:val="center"/>
      <w:outlineLvl w:val="3"/>
    </w:pPr>
    <w:rPr>
      <w:rFonts w:ascii="宋体" w:hAnsi="宋体" w:eastAsia="黑体" w:cs="宋体"/>
      <w:b/>
      <w:color w:val="000000"/>
      <w:spacing w:val="-18"/>
      <w:kern w:val="0"/>
      <w:sz w:val="24"/>
      <w:szCs w:val="21"/>
      <w:lang w:val="en-GB"/>
    </w:rPr>
  </w:style>
  <w:style w:type="paragraph" w:customStyle="1" w:styleId="889">
    <w:name w:val="正文文字缩进 3"/>
    <w:basedOn w:val="1"/>
    <w:uiPriority w:val="0"/>
    <w:pPr>
      <w:widowControl/>
      <w:spacing w:line="527" w:lineRule="atLeast"/>
      <w:ind w:firstLine="419"/>
      <w:textAlignment w:val="baseline"/>
    </w:pPr>
    <w:rPr>
      <w:rFonts w:ascii="宋体"/>
      <w:color w:val="FF0000"/>
      <w:kern w:val="0"/>
      <w:szCs w:val="20"/>
      <w:u w:color="000000"/>
    </w:rPr>
  </w:style>
  <w:style w:type="paragraph" w:customStyle="1" w:styleId="890">
    <w:name w:val="样式 样式 样式 样式 样式 (西文) 宋体 + 首行缩进:  2 字符 + + 首行缩进:  2 字符 + 首行缩进:  2 ..."/>
    <w:basedOn w:val="1"/>
    <w:qFormat/>
    <w:uiPriority w:val="0"/>
    <w:pPr>
      <w:widowControl/>
      <w:spacing w:line="440" w:lineRule="exact"/>
      <w:ind w:firstLine="200" w:firstLineChars="200"/>
    </w:pPr>
    <w:rPr>
      <w:rFonts w:cs="宋体"/>
      <w:color w:val="000000"/>
      <w:kern w:val="0"/>
      <w:sz w:val="28"/>
      <w:szCs w:val="20"/>
    </w:rPr>
  </w:style>
  <w:style w:type="paragraph" w:customStyle="1" w:styleId="891">
    <w:name w:val="正文文字 2"/>
    <w:basedOn w:val="1"/>
    <w:qFormat/>
    <w:uiPriority w:val="0"/>
    <w:pPr>
      <w:widowControl/>
      <w:spacing w:after="119" w:line="634" w:lineRule="atLeast"/>
      <w:ind w:firstLine="419"/>
      <w:textAlignment w:val="baseline"/>
    </w:pPr>
    <w:rPr>
      <w:color w:val="000000"/>
      <w:kern w:val="0"/>
      <w:szCs w:val="20"/>
      <w:u w:color="000000"/>
    </w:rPr>
  </w:style>
  <w:style w:type="paragraph" w:customStyle="1" w:styleId="892">
    <w:name w:val="科泰标题表格7"/>
    <w:basedOn w:val="1"/>
    <w:next w:val="1"/>
    <w:uiPriority w:val="99"/>
    <w:pPr>
      <w:spacing w:line="440" w:lineRule="exact"/>
      <w:jc w:val="center"/>
      <w:outlineLvl w:val="4"/>
    </w:pPr>
    <w:rPr>
      <w:rFonts w:eastAsia="黑体"/>
      <w:b/>
      <w:kern w:val="3"/>
      <w:sz w:val="24"/>
      <w:szCs w:val="20"/>
    </w:rPr>
  </w:style>
  <w:style w:type="paragraph" w:customStyle="1" w:styleId="893">
    <w:name w:val="样式 (中文) 仿宋_GB2312 小二 加粗 居中 段前: 7.8 磅 段后: 7.8 磅 行距: 固定值 26 磅"/>
    <w:basedOn w:val="1"/>
    <w:qFormat/>
    <w:uiPriority w:val="0"/>
    <w:pPr>
      <w:adjustRightInd w:val="0"/>
      <w:snapToGrid w:val="0"/>
      <w:spacing w:beforeLines="200" w:afterLines="200" w:line="360" w:lineRule="auto"/>
      <w:ind w:firstLine="1430" w:firstLineChars="445"/>
    </w:pPr>
    <w:rPr>
      <w:rFonts w:ascii="黑体" w:hAnsi="华文中宋" w:eastAsia="黑体"/>
      <w:b/>
      <w:kern w:val="3"/>
      <w:sz w:val="32"/>
      <w:szCs w:val="32"/>
    </w:rPr>
  </w:style>
  <w:style w:type="paragraph" w:customStyle="1" w:styleId="894">
    <w:name w:val="正文内容"/>
    <w:basedOn w:val="1"/>
    <w:qFormat/>
    <w:uiPriority w:val="0"/>
    <w:pPr>
      <w:ind w:firstLine="560" w:firstLineChars="200"/>
    </w:pPr>
    <w:rPr>
      <w:rFonts w:ascii="宋体" w:hAnsi="宋体"/>
      <w:kern w:val="0"/>
      <w:sz w:val="28"/>
      <w:szCs w:val="28"/>
    </w:rPr>
  </w:style>
  <w:style w:type="paragraph" w:customStyle="1" w:styleId="895">
    <w:name w:val="正文　2"/>
    <w:basedOn w:val="1"/>
    <w:qFormat/>
    <w:uiPriority w:val="99"/>
    <w:pPr>
      <w:ind w:firstLine="420" w:firstLineChars="200"/>
    </w:pPr>
    <w:rPr>
      <w:rFonts w:ascii="宋体" w:hAnsi="宋体" w:cs="宋体"/>
      <w:color w:val="000000"/>
      <w:kern w:val="3"/>
      <w:szCs w:val="20"/>
    </w:rPr>
  </w:style>
  <w:style w:type="paragraph" w:customStyle="1" w:styleId="896">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897">
    <w:name w:val="封面标准名称"/>
    <w:qFormat/>
    <w:uiPriority w:val="0"/>
    <w:pPr>
      <w:framePr w:w="9638" w:h="6917" w:wrap="around" w:vAnchor="margin" w:hAnchor="margin" w:xAlign="center" w:y="5955" w:anchorLock="1"/>
      <w:widowControl w:val="0"/>
      <w:spacing w:line="680" w:lineRule="exact"/>
      <w:jc w:val="center"/>
    </w:pPr>
    <w:rPr>
      <w:rFonts w:ascii="黑体" w:hAnsi="Times New Roman" w:eastAsia="黑体" w:cs="Times New Roman"/>
      <w:sz w:val="52"/>
      <w:lang w:val="en-US" w:eastAsia="zh-CN" w:bidi="ar-SA"/>
    </w:rPr>
  </w:style>
  <w:style w:type="paragraph" w:customStyle="1" w:styleId="898">
    <w:name w:val="样式 样式 样式 样式 样式 (西文) 宋体 + 首行缩进:  2 字符 + + 首行缩进:  2 字符 + 首行缩进:  2 ...1"/>
    <w:basedOn w:val="1"/>
    <w:qFormat/>
    <w:uiPriority w:val="0"/>
    <w:pPr>
      <w:widowControl/>
      <w:spacing w:line="440" w:lineRule="exact"/>
      <w:ind w:firstLine="200" w:firstLineChars="200"/>
    </w:pPr>
    <w:rPr>
      <w:rFonts w:cs="宋体"/>
      <w:color w:val="000000"/>
      <w:kern w:val="0"/>
      <w:sz w:val="28"/>
      <w:szCs w:val="20"/>
    </w:rPr>
  </w:style>
  <w:style w:type="paragraph" w:customStyle="1" w:styleId="899">
    <w:name w:val="样式3"/>
    <w:basedOn w:val="6"/>
    <w:qFormat/>
    <w:uiPriority w:val="0"/>
    <w:pPr>
      <w:keepNext w:val="0"/>
      <w:keepLines w:val="0"/>
      <w:numPr>
        <w:ilvl w:val="0"/>
        <w:numId w:val="0"/>
      </w:numPr>
      <w:spacing w:before="0" w:beforeLines="0" w:after="0" w:afterLines="0" w:line="0" w:lineRule="atLeast"/>
      <w:outlineLvl w:val="9"/>
    </w:pPr>
    <w:rPr>
      <w:rFonts w:ascii="宋体" w:hAnsi="宋体" w:eastAsia="黑体"/>
      <w:kern w:val="2"/>
      <w:sz w:val="21"/>
      <w:szCs w:val="21"/>
      <w:lang w:val="en-US"/>
    </w:rPr>
  </w:style>
  <w:style w:type="paragraph" w:customStyle="1" w:styleId="900">
    <w:name w:val="样式"/>
    <w:qFormat/>
    <w:uiPriority w:val="0"/>
    <w:pPr>
      <w:widowControl w:val="0"/>
      <w:autoSpaceDE w:val="0"/>
      <w:autoSpaceDN w:val="0"/>
      <w:adjustRightInd w:val="0"/>
    </w:pPr>
    <w:rPr>
      <w:rFonts w:ascii="Courier New" w:hAnsi="Courier New" w:eastAsia="宋体" w:cs="Times New Roman"/>
      <w:sz w:val="24"/>
      <w:lang w:val="en-US" w:eastAsia="zh-CN" w:bidi="ar-SA"/>
    </w:rPr>
  </w:style>
  <w:style w:type="paragraph" w:customStyle="1" w:styleId="901">
    <w:name w:val="样式 标题 2标题 2 Char Char标题 2 Char +"/>
    <w:basedOn w:val="4"/>
    <w:qFormat/>
    <w:uiPriority w:val="0"/>
    <w:pPr>
      <w:keepNext w:val="0"/>
      <w:numPr>
        <w:ilvl w:val="0"/>
        <w:numId w:val="0"/>
      </w:numPr>
      <w:tabs>
        <w:tab w:val="left" w:pos="567"/>
      </w:tabs>
      <w:spacing w:before="0" w:beforeLines="0" w:after="0" w:afterLines="0" w:line="240" w:lineRule="auto"/>
      <w:ind w:left="567" w:hanging="567"/>
    </w:pPr>
    <w:rPr>
      <w:rFonts w:ascii="Times New Roman" w:hAnsi="Times New Roman" w:eastAsia="黑体"/>
      <w:b w:val="0"/>
      <w:kern w:val="0"/>
      <w:sz w:val="24"/>
      <w:szCs w:val="32"/>
      <w:lang w:val="en-US"/>
    </w:rPr>
  </w:style>
  <w:style w:type="paragraph" w:customStyle="1" w:styleId="902">
    <w:name w:val="样式 样式 样式 样式 (中文) 仿宋_GB2312 四号 左侧:  0.99 厘米 行距: 固定值 20 磅 + 左侧:  2..."/>
    <w:basedOn w:val="1"/>
    <w:qFormat/>
    <w:uiPriority w:val="0"/>
    <w:pPr>
      <w:spacing w:line="520" w:lineRule="exact"/>
      <w:ind w:firstLine="200" w:firstLineChars="200"/>
    </w:pPr>
    <w:rPr>
      <w:rFonts w:eastAsia="仿宋_GB2312" w:cs="宋体"/>
      <w:kern w:val="3"/>
      <w:sz w:val="28"/>
      <w:szCs w:val="20"/>
    </w:rPr>
  </w:style>
  <w:style w:type="paragraph" w:customStyle="1" w:styleId="903">
    <w:name w:val="宏福3"/>
    <w:basedOn w:val="6"/>
    <w:semiHidden/>
    <w:qFormat/>
    <w:uiPriority w:val="0"/>
    <w:pPr>
      <w:numPr>
        <w:ilvl w:val="0"/>
        <w:numId w:val="0"/>
      </w:numPr>
      <w:adjustRightInd w:val="0"/>
      <w:spacing w:before="240" w:beforeLines="0" w:after="0" w:afterLines="0" w:line="240" w:lineRule="auto"/>
      <w:outlineLvl w:val="9"/>
    </w:pPr>
    <w:rPr>
      <w:rFonts w:eastAsia="黑体"/>
      <w:kern w:val="2"/>
      <w:sz w:val="28"/>
      <w:szCs w:val="28"/>
      <w:lang w:val="en-US"/>
    </w:rPr>
  </w:style>
  <w:style w:type="paragraph" w:customStyle="1" w:styleId="904">
    <w:name w:val="样式 小四 加粗 居中 行距: 固定值 15 磅"/>
    <w:basedOn w:val="1"/>
    <w:qFormat/>
    <w:uiPriority w:val="99"/>
    <w:pPr>
      <w:spacing w:line="320" w:lineRule="exact"/>
      <w:jc w:val="center"/>
    </w:pPr>
    <w:rPr>
      <w:rFonts w:cs="宋体"/>
      <w:b/>
      <w:bCs/>
      <w:kern w:val="3"/>
      <w:sz w:val="24"/>
      <w:szCs w:val="20"/>
    </w:rPr>
  </w:style>
  <w:style w:type="paragraph" w:customStyle="1" w:styleId="905">
    <w:name w:val="正文W"/>
    <w:basedOn w:val="1"/>
    <w:qFormat/>
    <w:uiPriority w:val="0"/>
    <w:pPr>
      <w:ind w:firstLine="560" w:firstLineChars="200"/>
    </w:pPr>
    <w:rPr>
      <w:rFonts w:ascii="宋体" w:hAnsi="宋体"/>
      <w:kern w:val="3"/>
      <w:sz w:val="28"/>
      <w:szCs w:val="28"/>
    </w:rPr>
  </w:style>
  <w:style w:type="paragraph" w:customStyle="1" w:styleId="906">
    <w:name w:val="样式7"/>
    <w:basedOn w:val="4"/>
    <w:uiPriority w:val="0"/>
    <w:pPr>
      <w:numPr>
        <w:ilvl w:val="0"/>
        <w:numId w:val="0"/>
      </w:numPr>
      <w:spacing w:line="415" w:lineRule="auto"/>
    </w:pPr>
    <w:rPr>
      <w:rFonts w:ascii="Arial" w:hAnsi="Arial" w:eastAsia="黑体"/>
      <w:bCs/>
      <w:kern w:val="3"/>
      <w:sz w:val="28"/>
      <w:szCs w:val="32"/>
      <w:lang w:val="en-US"/>
    </w:rPr>
  </w:style>
  <w:style w:type="paragraph" w:customStyle="1" w:styleId="907">
    <w:name w:val="列出段落2"/>
    <w:basedOn w:val="1"/>
    <w:qFormat/>
    <w:uiPriority w:val="1"/>
    <w:pPr>
      <w:ind w:left="1029" w:hanging="489"/>
    </w:pPr>
    <w:rPr>
      <w:rFonts w:ascii="Microsoft JhengHei" w:hAnsi="Microsoft JhengHei" w:eastAsia="Microsoft JhengHei" w:cs="Microsoft JhengHei"/>
      <w:kern w:val="3"/>
      <w:szCs w:val="20"/>
    </w:rPr>
  </w:style>
  <w:style w:type="paragraph" w:customStyle="1" w:styleId="908">
    <w:name w:val="正文C1"/>
    <w:basedOn w:val="54"/>
    <w:qFormat/>
    <w:uiPriority w:val="0"/>
    <w:pPr>
      <w:tabs>
        <w:tab w:val="left" w:pos="420"/>
        <w:tab w:val="left" w:pos="870"/>
        <w:tab w:val="left" w:pos="3150"/>
      </w:tabs>
      <w:autoSpaceDE w:val="0"/>
      <w:autoSpaceDN w:val="0"/>
      <w:adjustRightInd w:val="0"/>
      <w:snapToGrid w:val="0"/>
      <w:spacing w:after="0" w:line="336" w:lineRule="auto"/>
      <w:ind w:left="0" w:leftChars="0" w:firstLine="200" w:firstLineChars="0"/>
      <w:textAlignment w:val="baseline"/>
    </w:pPr>
    <w:rPr>
      <w:rFonts w:ascii="宋体"/>
      <w:kern w:val="0"/>
      <w:sz w:val="24"/>
      <w:szCs w:val="28"/>
    </w:rPr>
  </w:style>
  <w:style w:type="paragraph" w:customStyle="1" w:styleId="909">
    <w:name w:val="列出段落3"/>
    <w:basedOn w:val="1"/>
    <w:unhideWhenUsed/>
    <w:qFormat/>
    <w:uiPriority w:val="99"/>
    <w:pPr>
      <w:ind w:firstLine="420" w:firstLineChars="200"/>
    </w:pPr>
    <w:rPr>
      <w:kern w:val="3"/>
      <w:szCs w:val="20"/>
    </w:rPr>
  </w:style>
  <w:style w:type="paragraph" w:customStyle="1" w:styleId="910">
    <w:name w:val="正1"/>
    <w:basedOn w:val="1"/>
    <w:qFormat/>
    <w:uiPriority w:val="0"/>
    <w:pPr>
      <w:spacing w:line="520" w:lineRule="atLeast"/>
      <w:ind w:firstLine="200" w:firstLineChars="200"/>
    </w:pPr>
    <w:rPr>
      <w:rFonts w:ascii="宋体" w:hAnsi="宋体"/>
      <w:szCs w:val="28"/>
    </w:rPr>
  </w:style>
  <w:style w:type="paragraph" w:customStyle="1" w:styleId="911">
    <w:name w:val="zx正文标题"/>
    <w:basedOn w:val="1"/>
    <w:next w:val="1"/>
    <w:link w:val="912"/>
    <w:qFormat/>
    <w:uiPriority w:val="0"/>
    <w:pPr>
      <w:spacing w:line="520" w:lineRule="exact"/>
      <w:ind w:firstLine="562" w:firstLineChars="200"/>
      <w:jc w:val="left"/>
      <w:outlineLvl w:val="2"/>
    </w:pPr>
    <w:rPr>
      <w:rFonts w:ascii="黑体" w:hAnsi="宋体" w:eastAsia="黑体" w:cs="宋体"/>
      <w:b/>
      <w:bCs/>
      <w:kern w:val="0"/>
      <w:sz w:val="28"/>
      <w:szCs w:val="28"/>
    </w:rPr>
  </w:style>
  <w:style w:type="character" w:customStyle="1" w:styleId="912">
    <w:name w:val="zx正文标题 Char"/>
    <w:link w:val="911"/>
    <w:qFormat/>
    <w:uiPriority w:val="0"/>
    <w:rPr>
      <w:rFonts w:ascii="黑体" w:hAnsi="宋体" w:eastAsia="黑体" w:cs="宋体"/>
      <w:b/>
      <w:bCs/>
      <w:sz w:val="28"/>
      <w:szCs w:val="28"/>
    </w:rPr>
  </w:style>
  <w:style w:type="paragraph" w:customStyle="1" w:styleId="913">
    <w:name w:val="连江正文"/>
    <w:basedOn w:val="1"/>
    <w:qFormat/>
    <w:uiPriority w:val="0"/>
    <w:pPr>
      <w:snapToGrid w:val="0"/>
      <w:spacing w:line="520" w:lineRule="atLeast"/>
      <w:ind w:firstLine="560" w:firstLineChars="200"/>
    </w:pPr>
    <w:rPr>
      <w:rFonts w:ascii="宋体" w:hAnsi="宋体" w:cs="宋体"/>
      <w:sz w:val="28"/>
      <w:szCs w:val="24"/>
    </w:rPr>
  </w:style>
  <w:style w:type="character" w:customStyle="1" w:styleId="914">
    <w:name w:val="zx表格标题 Char"/>
    <w:link w:val="915"/>
    <w:qFormat/>
    <w:uiPriority w:val="0"/>
    <w:rPr>
      <w:rFonts w:ascii="宋体" w:hAnsi="宋体" w:cs="Arial"/>
      <w:b/>
      <w:color w:val="000000"/>
      <w:kern w:val="2"/>
      <w:sz w:val="24"/>
      <w:szCs w:val="24"/>
    </w:rPr>
  </w:style>
  <w:style w:type="paragraph" w:customStyle="1" w:styleId="915">
    <w:name w:val="zx表格标题"/>
    <w:basedOn w:val="1"/>
    <w:next w:val="1"/>
    <w:link w:val="914"/>
    <w:qFormat/>
    <w:uiPriority w:val="0"/>
    <w:pPr>
      <w:adjustRightInd w:val="0"/>
      <w:spacing w:beforeLines="50" w:afterLines="50"/>
      <w:jc w:val="center"/>
      <w:outlineLvl w:val="2"/>
    </w:pPr>
    <w:rPr>
      <w:rFonts w:ascii="宋体" w:hAnsi="宋体" w:cs="Arial"/>
      <w:b/>
      <w:color w:val="000000"/>
      <w:sz w:val="24"/>
      <w:szCs w:val="24"/>
    </w:rPr>
  </w:style>
  <w:style w:type="character" w:customStyle="1" w:styleId="916">
    <w:name w:val="zw1"/>
    <w:qFormat/>
    <w:uiPriority w:val="0"/>
    <w:rPr>
      <w:rFonts w:hint="eastAsia" w:ascii="宋体" w:hAnsi="宋体" w:eastAsia="宋体"/>
      <w:sz w:val="22"/>
      <w:szCs w:val="22"/>
    </w:rPr>
  </w:style>
  <w:style w:type="character" w:customStyle="1" w:styleId="917">
    <w:name w:val="zx表格11 Char"/>
    <w:link w:val="918"/>
    <w:qFormat/>
    <w:uiPriority w:val="0"/>
    <w:rPr>
      <w:rFonts w:ascii="宋体" w:hAnsi="宋体" w:cs="Arial"/>
      <w:sz w:val="21"/>
      <w:szCs w:val="21"/>
    </w:rPr>
  </w:style>
  <w:style w:type="paragraph" w:customStyle="1" w:styleId="918">
    <w:name w:val="zx表格11"/>
    <w:basedOn w:val="1"/>
    <w:link w:val="917"/>
    <w:uiPriority w:val="0"/>
    <w:pPr>
      <w:framePr w:hSpace="180" w:wrap="around" w:vAnchor="text" w:hAnchor="text" w:y="1"/>
      <w:widowControl/>
    </w:pPr>
    <w:rPr>
      <w:rFonts w:ascii="宋体" w:hAnsi="宋体" w:cs="Arial"/>
      <w:kern w:val="0"/>
      <w:szCs w:val="21"/>
    </w:rPr>
  </w:style>
  <w:style w:type="character" w:customStyle="1" w:styleId="919">
    <w:name w:val="zx表格1 Char"/>
    <w:link w:val="920"/>
    <w:qFormat/>
    <w:uiPriority w:val="0"/>
    <w:rPr>
      <w:rFonts w:ascii="宋体" w:hAnsi="宋体"/>
      <w:kern w:val="2"/>
      <w:sz w:val="21"/>
      <w:szCs w:val="21"/>
    </w:rPr>
  </w:style>
  <w:style w:type="paragraph" w:customStyle="1" w:styleId="920">
    <w:name w:val="zx表格1"/>
    <w:basedOn w:val="1"/>
    <w:link w:val="919"/>
    <w:qFormat/>
    <w:uiPriority w:val="0"/>
    <w:pPr>
      <w:adjustRightInd w:val="0"/>
      <w:jc w:val="center"/>
    </w:pPr>
    <w:rPr>
      <w:rFonts w:ascii="宋体" w:hAnsi="宋体"/>
      <w:szCs w:val="21"/>
    </w:rPr>
  </w:style>
  <w:style w:type="character" w:customStyle="1" w:styleId="921">
    <w:name w:val="环评文本-lutos Char"/>
    <w:link w:val="922"/>
    <w:qFormat/>
    <w:locked/>
    <w:uiPriority w:val="0"/>
    <w:rPr>
      <w:color w:val="000000"/>
      <w:sz w:val="24"/>
      <w:szCs w:val="24"/>
    </w:rPr>
  </w:style>
  <w:style w:type="paragraph" w:customStyle="1" w:styleId="922">
    <w:name w:val="环评文本-lutos"/>
    <w:basedOn w:val="1"/>
    <w:next w:val="1"/>
    <w:link w:val="921"/>
    <w:qFormat/>
    <w:uiPriority w:val="0"/>
    <w:pPr>
      <w:tabs>
        <w:tab w:val="left" w:pos="6120"/>
      </w:tabs>
      <w:topLinePunct/>
      <w:spacing w:line="480" w:lineRule="exact"/>
      <w:ind w:firstLine="480" w:firstLineChars="200"/>
      <w:jc w:val="left"/>
    </w:pPr>
    <w:rPr>
      <w:color w:val="000000"/>
      <w:kern w:val="0"/>
      <w:sz w:val="24"/>
      <w:szCs w:val="24"/>
    </w:rPr>
  </w:style>
  <w:style w:type="character" w:customStyle="1" w:styleId="923">
    <w:name w:val="OHM表格1 Char"/>
    <w:link w:val="924"/>
    <w:qFormat/>
    <w:uiPriority w:val="0"/>
    <w:rPr>
      <w:rFonts w:ascii="宋体" w:hAnsi="宋体"/>
      <w:kern w:val="2"/>
      <w:sz w:val="21"/>
      <w:szCs w:val="24"/>
    </w:rPr>
  </w:style>
  <w:style w:type="paragraph" w:customStyle="1" w:styleId="924">
    <w:name w:val="OHM表格1"/>
    <w:basedOn w:val="1"/>
    <w:link w:val="923"/>
    <w:qFormat/>
    <w:uiPriority w:val="0"/>
    <w:pPr>
      <w:adjustRightInd w:val="0"/>
      <w:jc w:val="center"/>
    </w:pPr>
    <w:rPr>
      <w:rFonts w:ascii="宋体" w:hAnsi="宋体"/>
      <w:szCs w:val="24"/>
    </w:rPr>
  </w:style>
  <w:style w:type="character" w:customStyle="1" w:styleId="925">
    <w:name w:val="表格正文 字符"/>
    <w:qFormat/>
    <w:uiPriority w:val="0"/>
    <w:rPr>
      <w:rFonts w:ascii="宋体" w:hAnsi="宋体" w:cs="宋体"/>
      <w:kern w:val="2"/>
      <w:sz w:val="21"/>
    </w:rPr>
  </w:style>
  <w:style w:type="character" w:customStyle="1" w:styleId="926">
    <w:name w:val="KT表格标题 Char Char"/>
    <w:link w:val="927"/>
    <w:qFormat/>
    <w:uiPriority w:val="0"/>
    <w:rPr>
      <w:rFonts w:ascii="宋体" w:hAnsi="宋体" w:eastAsia="黑体" w:cs="Arial"/>
      <w:b/>
      <w:kern w:val="2"/>
      <w:sz w:val="24"/>
      <w:szCs w:val="24"/>
    </w:rPr>
  </w:style>
  <w:style w:type="paragraph" w:customStyle="1" w:styleId="927">
    <w:name w:val="KT表格标题"/>
    <w:basedOn w:val="1"/>
    <w:next w:val="1"/>
    <w:link w:val="926"/>
    <w:qFormat/>
    <w:uiPriority w:val="0"/>
    <w:pPr>
      <w:adjustRightInd w:val="0"/>
      <w:spacing w:line="560" w:lineRule="exact"/>
      <w:jc w:val="center"/>
      <w:outlineLvl w:val="3"/>
    </w:pPr>
    <w:rPr>
      <w:rFonts w:ascii="宋体" w:hAnsi="宋体" w:eastAsia="黑体" w:cs="Arial"/>
      <w:b/>
      <w:sz w:val="24"/>
      <w:szCs w:val="24"/>
    </w:rPr>
  </w:style>
  <w:style w:type="paragraph" w:customStyle="1" w:styleId="928">
    <w:name w:val="zw"/>
    <w:basedOn w:val="1"/>
    <w:qFormat/>
    <w:uiPriority w:val="0"/>
    <w:pPr>
      <w:widowControl/>
      <w:spacing w:before="100" w:beforeAutospacing="1" w:after="100" w:afterAutospacing="1" w:line="440" w:lineRule="atLeast"/>
      <w:jc w:val="left"/>
    </w:pPr>
    <w:rPr>
      <w:rFonts w:ascii="宋体" w:hAnsi="宋体" w:cs="宋体"/>
      <w:kern w:val="0"/>
      <w:sz w:val="22"/>
    </w:rPr>
  </w:style>
  <w:style w:type="character" w:customStyle="1" w:styleId="929">
    <w:name w:val="表格内容+居中 Char"/>
    <w:link w:val="930"/>
    <w:unhideWhenUsed/>
    <w:qFormat/>
    <w:uiPriority w:val="0"/>
  </w:style>
  <w:style w:type="paragraph" w:customStyle="1" w:styleId="930">
    <w:name w:val="表格内容+居中"/>
    <w:basedOn w:val="1"/>
    <w:link w:val="929"/>
    <w:unhideWhenUsed/>
    <w:qFormat/>
    <w:uiPriority w:val="0"/>
    <w:pPr>
      <w:widowControl/>
      <w:jc w:val="center"/>
    </w:pPr>
    <w:rPr>
      <w:kern w:val="0"/>
      <w:sz w:val="20"/>
      <w:szCs w:val="20"/>
    </w:rPr>
  </w:style>
  <w:style w:type="paragraph" w:customStyle="1" w:styleId="931">
    <w:name w:val="zx表格左对齐"/>
    <w:basedOn w:val="1"/>
    <w:qFormat/>
    <w:uiPriority w:val="0"/>
    <w:pPr>
      <w:widowControl/>
      <w:spacing w:beforeAutospacing="1" w:afterAutospacing="1"/>
    </w:pPr>
    <w:rPr>
      <w:rFonts w:ascii="宋体" w:hAnsi="宋体" w:cs="宋体"/>
      <w:color w:val="000000"/>
      <w:szCs w:val="20"/>
    </w:rPr>
  </w:style>
  <w:style w:type="paragraph" w:customStyle="1" w:styleId="932">
    <w:name w:val="zx表格居中"/>
    <w:basedOn w:val="1"/>
    <w:qFormat/>
    <w:uiPriority w:val="0"/>
    <w:rPr>
      <w:kern w:val="3"/>
      <w:szCs w:val="20"/>
    </w:rPr>
  </w:style>
  <w:style w:type="paragraph" w:customStyle="1" w:styleId="933">
    <w:name w:val="TOC 标题12"/>
    <w:basedOn w:val="3"/>
    <w:next w:val="1"/>
    <w:uiPriority w:val="39"/>
    <w:pPr>
      <w:widowControl/>
      <w:numPr>
        <w:numId w:val="0"/>
      </w:numPr>
      <w:spacing w:before="480" w:beforeLines="100" w:after="0" w:afterLines="0" w:line="276" w:lineRule="auto"/>
      <w:outlineLvl w:val="9"/>
    </w:pPr>
    <w:rPr>
      <w:rFonts w:ascii="Cambria" w:hAnsi="Cambria" w:eastAsia="宋体"/>
      <w:b w:val="0"/>
      <w:bCs/>
      <w:color w:val="365F91"/>
      <w:kern w:val="0"/>
      <w:sz w:val="28"/>
      <w:szCs w:val="28"/>
      <w:lang w:val="en-US"/>
    </w:rPr>
  </w:style>
  <w:style w:type="character" w:customStyle="1" w:styleId="934">
    <w:name w:val="不明显强调1"/>
    <w:qFormat/>
    <w:uiPriority w:val="99"/>
    <w:rPr>
      <w:rFonts w:cs="Times New Roman"/>
      <w:i/>
      <w:iCs/>
      <w:color w:val="404040"/>
    </w:rPr>
  </w:style>
  <w:style w:type="paragraph" w:customStyle="1" w:styleId="935">
    <w:name w:val="首行缩进：2字符"/>
    <w:basedOn w:val="1"/>
    <w:qFormat/>
    <w:uiPriority w:val="99"/>
    <w:pPr>
      <w:ind w:firstLine="560" w:firstLineChars="200"/>
    </w:pPr>
    <w:rPr>
      <w:rFonts w:ascii="Calibri" w:hAnsi="Calibri" w:cs="宋体"/>
      <w:sz w:val="28"/>
      <w:szCs w:val="20"/>
    </w:rPr>
  </w:style>
  <w:style w:type="paragraph" w:styleId="936">
    <w:name w:val="Quote"/>
    <w:basedOn w:val="1"/>
    <w:next w:val="1"/>
    <w:link w:val="937"/>
    <w:uiPriority w:val="29"/>
    <w:pPr>
      <w:spacing w:line="560" w:lineRule="exact"/>
      <w:ind w:firstLine="200" w:firstLineChars="200"/>
    </w:pPr>
    <w:rPr>
      <w:i/>
      <w:iCs/>
      <w:color w:val="000000"/>
      <w:sz w:val="28"/>
    </w:rPr>
  </w:style>
  <w:style w:type="character" w:customStyle="1" w:styleId="937">
    <w:name w:val="引用 字符"/>
    <w:basedOn w:val="59"/>
    <w:link w:val="936"/>
    <w:qFormat/>
    <w:uiPriority w:val="29"/>
    <w:rPr>
      <w:i/>
      <w:iCs/>
      <w:color w:val="000000"/>
      <w:kern w:val="2"/>
      <w:sz w:val="28"/>
      <w:szCs w:val="22"/>
    </w:rPr>
  </w:style>
  <w:style w:type="paragraph" w:customStyle="1" w:styleId="938">
    <w:name w:val="xl2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939">
    <w:name w:val="链接"/>
    <w:qFormat/>
    <w:uiPriority w:val="0"/>
    <w:pPr>
      <w:widowControl w:val="0"/>
      <w:autoSpaceDE w:val="0"/>
      <w:autoSpaceDN w:val="0"/>
      <w:adjustRightInd w:val="0"/>
      <w:ind w:left="720"/>
    </w:pPr>
    <w:rPr>
      <w:rFonts w:ascii="Times New Roman" w:hAnsi="Times New Roman" w:eastAsia="宋体" w:cs="Times New Roman"/>
      <w:color w:val="0000FF"/>
      <w:sz w:val="21"/>
      <w:szCs w:val="21"/>
      <w:u w:val="single"/>
      <w:lang w:val="en-US" w:eastAsia="zh-CN" w:bidi="ar-SA"/>
    </w:rPr>
  </w:style>
  <w:style w:type="paragraph" w:customStyle="1" w:styleId="940">
    <w:name w:val="康泰表格标题"/>
    <w:basedOn w:val="941"/>
    <w:next w:val="1"/>
    <w:qFormat/>
    <w:uiPriority w:val="0"/>
    <w:rPr>
      <w:b w:val="0"/>
      <w:bCs/>
    </w:rPr>
  </w:style>
  <w:style w:type="paragraph" w:customStyle="1" w:styleId="941">
    <w:name w:val="科泰表格标题"/>
    <w:basedOn w:val="1"/>
    <w:next w:val="1"/>
    <w:qFormat/>
    <w:uiPriority w:val="0"/>
    <w:pPr>
      <w:adjustRightInd w:val="0"/>
      <w:spacing w:line="600" w:lineRule="exact"/>
      <w:ind w:firstLine="200" w:firstLineChars="200"/>
      <w:jc w:val="center"/>
      <w:outlineLvl w:val="3"/>
    </w:pPr>
    <w:rPr>
      <w:rFonts w:ascii="宋体" w:hAnsi="宋体" w:eastAsia="黑体"/>
      <w:b/>
      <w:kern w:val="0"/>
      <w:sz w:val="24"/>
    </w:rPr>
  </w:style>
  <w:style w:type="paragraph" w:customStyle="1" w:styleId="942">
    <w:name w:val="康泰正文"/>
    <w:basedOn w:val="1"/>
    <w:qFormat/>
    <w:uiPriority w:val="0"/>
    <w:pPr>
      <w:adjustRightInd w:val="0"/>
      <w:spacing w:line="500" w:lineRule="exact"/>
      <w:ind w:firstLine="560" w:firstLineChars="200"/>
      <w:jc w:val="left"/>
    </w:pPr>
    <w:rPr>
      <w:sz w:val="28"/>
      <w:lang w:val="zh-CN"/>
    </w:rPr>
  </w:style>
  <w:style w:type="character" w:customStyle="1" w:styleId="943">
    <w:name w:val="font51"/>
    <w:basedOn w:val="59"/>
    <w:qFormat/>
    <w:uiPriority w:val="0"/>
    <w:rPr>
      <w:rFonts w:hint="eastAsia" w:ascii="宋体" w:hAnsi="宋体" w:eastAsia="宋体" w:cs="宋体"/>
      <w:i/>
      <w:color w:val="000000"/>
      <w:sz w:val="22"/>
      <w:szCs w:val="22"/>
      <w:u w:val="none"/>
    </w:rPr>
  </w:style>
  <w:style w:type="character" w:customStyle="1" w:styleId="944">
    <w:name w:val="font61"/>
    <w:basedOn w:val="59"/>
    <w:qFormat/>
    <w:uiPriority w:val="0"/>
    <w:rPr>
      <w:rFonts w:ascii="Microsoft Sans Serif" w:hAnsi="Microsoft Sans Serif" w:eastAsia="Microsoft Sans Serif" w:cs="Microsoft Sans Serif"/>
      <w:i/>
      <w:color w:val="000000"/>
      <w:sz w:val="22"/>
      <w:szCs w:val="22"/>
      <w:u w:val="none"/>
    </w:rPr>
  </w:style>
  <w:style w:type="paragraph" w:customStyle="1" w:styleId="945">
    <w:name w:val="S-目录2"/>
    <w:basedOn w:val="1"/>
    <w:qFormat/>
    <w:uiPriority w:val="0"/>
    <w:pPr>
      <w:spacing w:before="120" w:beforeLines="50" w:line="360" w:lineRule="auto"/>
      <w:ind w:firstLine="200" w:firstLineChars="200"/>
    </w:pPr>
    <w:rPr>
      <w:rFonts w:ascii="宋体" w:hAnsi="宋体"/>
      <w:b/>
      <w:color w:val="FF0000"/>
      <w:kern w:val="0"/>
      <w:sz w:val="28"/>
      <w:szCs w:val="28"/>
      <w:lang w:val="zh-CN"/>
    </w:rPr>
  </w:style>
  <w:style w:type="paragraph" w:customStyle="1" w:styleId="946">
    <w:name w:val="康泰项目标题2"/>
    <w:basedOn w:val="947"/>
    <w:qFormat/>
    <w:uiPriority w:val="0"/>
    <w:pPr>
      <w:ind w:firstLine="504"/>
      <w:outlineLvl w:val="3"/>
    </w:pPr>
    <w:rPr>
      <w:rFonts w:ascii="Calibri" w:hAnsi="Calibri" w:cs="宋体"/>
      <w:bCs/>
      <w:szCs w:val="20"/>
    </w:rPr>
  </w:style>
  <w:style w:type="paragraph" w:customStyle="1" w:styleId="947">
    <w:name w:val="康泰项目标题"/>
    <w:basedOn w:val="1"/>
    <w:next w:val="942"/>
    <w:qFormat/>
    <w:uiPriority w:val="0"/>
    <w:pPr>
      <w:adjustRightInd w:val="0"/>
      <w:spacing w:line="560" w:lineRule="exact"/>
      <w:ind w:firstLine="200" w:firstLineChars="200"/>
      <w:outlineLvl w:val="2"/>
    </w:pPr>
    <w:rPr>
      <w:rFonts w:eastAsia="黑体"/>
      <w:b/>
      <w:sz w:val="28"/>
      <w:szCs w:val="28"/>
    </w:rPr>
  </w:style>
  <w:style w:type="paragraph" w:customStyle="1" w:styleId="948">
    <w:name w:val="表内正文-Q"/>
    <w:next w:val="1"/>
    <w:uiPriority w:val="0"/>
    <w:pPr>
      <w:adjustRightInd w:val="0"/>
      <w:snapToGrid w:val="0"/>
      <w:jc w:val="center"/>
    </w:pPr>
    <w:rPr>
      <w:rFonts w:ascii="Times New Roman" w:hAnsi="Times New Roman" w:eastAsia="宋体" w:cs="Times New Roman"/>
      <w:kern w:val="2"/>
      <w:sz w:val="21"/>
      <w:szCs w:val="24"/>
      <w:lang w:val="en-US" w:eastAsia="zh-CN" w:bidi="ar-SA"/>
    </w:rPr>
  </w:style>
  <w:style w:type="paragraph" w:customStyle="1" w:styleId="949">
    <w:name w:val="新佑正文"/>
    <w:link w:val="950"/>
    <w:qFormat/>
    <w:uiPriority w:val="0"/>
    <w:pPr>
      <w:spacing w:line="360" w:lineRule="auto"/>
      <w:ind w:firstLine="200" w:firstLineChars="200"/>
    </w:pPr>
    <w:rPr>
      <w:rFonts w:ascii="Times New Roman" w:hAnsi="Times New Roman" w:eastAsia="宋体" w:cstheme="minorBidi"/>
      <w:kern w:val="2"/>
      <w:sz w:val="24"/>
      <w:szCs w:val="22"/>
      <w:lang w:val="en-US" w:eastAsia="zh-CN" w:bidi="ar-SA"/>
    </w:rPr>
  </w:style>
  <w:style w:type="character" w:customStyle="1" w:styleId="950">
    <w:name w:val="新佑正文 Char"/>
    <w:basedOn w:val="59"/>
    <w:link w:val="949"/>
    <w:qFormat/>
    <w:uiPriority w:val="0"/>
    <w:rPr>
      <w:rFonts w:cstheme="minorBidi"/>
      <w:kern w:val="2"/>
      <w:sz w:val="24"/>
      <w:szCs w:val="22"/>
    </w:rPr>
  </w:style>
  <w:style w:type="character" w:customStyle="1" w:styleId="951">
    <w:name w:val="表格内容 字符"/>
    <w:uiPriority w:val="0"/>
    <w:rPr>
      <w:rFonts w:ascii="宋体" w:hAnsi="宋体"/>
      <w:shadow/>
      <w:kern w:val="2"/>
      <w:sz w:val="21"/>
      <w:szCs w:val="24"/>
    </w:rPr>
  </w:style>
  <w:style w:type="character" w:customStyle="1" w:styleId="952">
    <w:name w:val="副标题 Char"/>
    <w:basedOn w:val="59"/>
    <w:qFormat/>
    <w:uiPriority w:val="0"/>
    <w:rPr>
      <w:rFonts w:asciiTheme="majorHAnsi" w:hAnsiTheme="majorHAnsi" w:cstheme="majorBidi"/>
      <w:b/>
      <w:bCs/>
      <w:kern w:val="28"/>
      <w:sz w:val="32"/>
      <w:szCs w:val="32"/>
    </w:rPr>
  </w:style>
  <w:style w:type="character" w:customStyle="1" w:styleId="953">
    <w:name w:val="表格标题 Char"/>
    <w:qFormat/>
    <w:uiPriority w:val="0"/>
    <w:rPr>
      <w:rFonts w:ascii="Times New Roman" w:hAnsi="Times New Roman" w:eastAsia="宋体"/>
      <w:b/>
      <w:sz w:val="24"/>
      <w:lang w:val="en-US" w:eastAsia="zh-CN"/>
    </w:rPr>
  </w:style>
  <w:style w:type="character" w:customStyle="1" w:styleId="954">
    <w:name w:val="标题4 Char"/>
    <w:link w:val="955"/>
    <w:qFormat/>
    <w:uiPriority w:val="0"/>
    <w:rPr>
      <w:b/>
      <w:kern w:val="2"/>
      <w:sz w:val="24"/>
      <w:szCs w:val="24"/>
    </w:rPr>
  </w:style>
  <w:style w:type="paragraph" w:customStyle="1" w:styleId="955">
    <w:name w:val="标题4"/>
    <w:basedOn w:val="1"/>
    <w:next w:val="1"/>
    <w:link w:val="954"/>
    <w:qFormat/>
    <w:uiPriority w:val="0"/>
    <w:pPr>
      <w:widowControl/>
      <w:tabs>
        <w:tab w:val="left" w:pos="1980"/>
        <w:tab w:val="left" w:pos="3825"/>
        <w:tab w:val="left" w:pos="4680"/>
      </w:tabs>
      <w:spacing w:line="360" w:lineRule="auto"/>
      <w:jc w:val="left"/>
    </w:pPr>
    <w:rPr>
      <w:b/>
      <w:sz w:val="24"/>
      <w:szCs w:val="24"/>
    </w:rPr>
  </w:style>
  <w:style w:type="paragraph" w:customStyle="1" w:styleId="956">
    <w:name w:val="表格的字刘"/>
    <w:basedOn w:val="1"/>
    <w:qFormat/>
    <w:uiPriority w:val="0"/>
    <w:pPr>
      <w:pBdr>
        <w:top w:val="none" w:color="auto" w:sz="0" w:space="1"/>
        <w:left w:val="none" w:color="auto" w:sz="0" w:space="4"/>
        <w:bottom w:val="none" w:color="auto" w:sz="0" w:space="1"/>
        <w:right w:val="none" w:color="auto" w:sz="0" w:space="4"/>
      </w:pBdr>
      <w:jc w:val="center"/>
    </w:pPr>
    <w:rPr>
      <w:szCs w:val="24"/>
    </w:rPr>
  </w:style>
  <w:style w:type="character" w:customStyle="1" w:styleId="957">
    <w:name w:val="表格的字 Char"/>
    <w:link w:val="958"/>
    <w:qFormat/>
    <w:uiPriority w:val="0"/>
    <w:rPr>
      <w:kern w:val="2"/>
      <w:sz w:val="21"/>
      <w:szCs w:val="21"/>
    </w:rPr>
  </w:style>
  <w:style w:type="paragraph" w:customStyle="1" w:styleId="958">
    <w:name w:val="表格的字"/>
    <w:basedOn w:val="53"/>
    <w:link w:val="957"/>
    <w:uiPriority w:val="0"/>
    <w:pPr>
      <w:spacing w:line="240" w:lineRule="auto"/>
      <w:ind w:firstLine="0" w:firstLineChars="0"/>
      <w:jc w:val="center"/>
    </w:pPr>
    <w:rPr>
      <w:bCs w:val="0"/>
      <w:sz w:val="21"/>
      <w:szCs w:val="21"/>
    </w:rPr>
  </w:style>
  <w:style w:type="character" w:customStyle="1" w:styleId="959">
    <w:name w:val="正文文本 Char"/>
    <w:qFormat/>
    <w:uiPriority w:val="0"/>
    <w:rPr>
      <w:rFonts w:ascii="Times New Roman" w:hAnsi="Times New Roman" w:cs="Times New Roman"/>
    </w:rPr>
  </w:style>
  <w:style w:type="character" w:customStyle="1" w:styleId="960">
    <w:name w:val="标题 1 Char"/>
    <w:qFormat/>
    <w:uiPriority w:val="9"/>
    <w:rPr>
      <w:rFonts w:ascii="Times New Roman" w:hAnsi="Times New Roman" w:eastAsia="宋体"/>
      <w:b/>
      <w:kern w:val="44"/>
      <w:sz w:val="36"/>
    </w:rPr>
  </w:style>
  <w:style w:type="character" w:customStyle="1" w:styleId="961">
    <w:name w:val="标题 3 Char"/>
    <w:uiPriority w:val="9"/>
    <w:rPr>
      <w:rFonts w:ascii="Times New Roman" w:hAnsi="Times New Roman" w:eastAsia="宋体"/>
      <w:b/>
      <w:sz w:val="24"/>
    </w:rPr>
  </w:style>
  <w:style w:type="character" w:customStyle="1" w:styleId="962">
    <w:name w:val="标题 4 Char"/>
    <w:qFormat/>
    <w:uiPriority w:val="9"/>
    <w:rPr>
      <w:rFonts w:ascii="Times New Roman" w:hAnsi="Times New Roman" w:eastAsia="宋体"/>
      <w:sz w:val="24"/>
    </w:rPr>
  </w:style>
  <w:style w:type="character" w:customStyle="1" w:styleId="963">
    <w:name w:val="正文首行缩进 Char"/>
    <w:qFormat/>
    <w:uiPriority w:val="99"/>
    <w:rPr>
      <w:rFonts w:ascii="Times New Roman" w:hAnsi="Times New Roman" w:eastAsia="宋体"/>
    </w:rPr>
  </w:style>
  <w:style w:type="paragraph" w:customStyle="1" w:styleId="964">
    <w:name w:val="表格内容（叶）"/>
    <w:basedOn w:val="1"/>
    <w:link w:val="966"/>
    <w:qFormat/>
    <w:uiPriority w:val="0"/>
    <w:pPr>
      <w:jc w:val="center"/>
    </w:pPr>
    <w:rPr>
      <w:rFonts w:hAnsi="宋体"/>
      <w:szCs w:val="21"/>
    </w:rPr>
  </w:style>
  <w:style w:type="paragraph" w:customStyle="1" w:styleId="965">
    <w:name w:val="标题5（F）"/>
    <w:basedOn w:val="8"/>
    <w:link w:val="967"/>
    <w:qFormat/>
    <w:uiPriority w:val="0"/>
  </w:style>
  <w:style w:type="character" w:customStyle="1" w:styleId="966">
    <w:name w:val="表格内容（叶） 字符"/>
    <w:basedOn w:val="59"/>
    <w:link w:val="964"/>
    <w:qFormat/>
    <w:uiPriority w:val="0"/>
    <w:rPr>
      <w:rFonts w:hAnsi="宋体"/>
      <w:kern w:val="2"/>
      <w:sz w:val="21"/>
      <w:szCs w:val="21"/>
    </w:rPr>
  </w:style>
  <w:style w:type="character" w:customStyle="1" w:styleId="967">
    <w:name w:val="标题5（F） 字符"/>
    <w:basedOn w:val="73"/>
    <w:link w:val="965"/>
    <w:qFormat/>
    <w:uiPriority w:val="0"/>
    <w:rPr>
      <w:kern w:val="2"/>
      <w:sz w:val="24"/>
      <w:szCs w:val="24"/>
      <w:lang w:val="zh-CN" w:eastAsia="zh-CN"/>
    </w:rPr>
  </w:style>
  <w:style w:type="character" w:customStyle="1" w:styleId="968">
    <w:name w:val="批注文字 Char"/>
    <w:qFormat/>
    <w:uiPriority w:val="0"/>
    <w:rPr>
      <w:kern w:val="2"/>
      <w:sz w:val="24"/>
      <w:szCs w:val="22"/>
    </w:rPr>
  </w:style>
  <w:style w:type="character" w:customStyle="1" w:styleId="969">
    <w:name w:val="未处理的提及1"/>
    <w:basedOn w:val="59"/>
    <w:semiHidden/>
    <w:unhideWhenUsed/>
    <w:qFormat/>
    <w:uiPriority w:val="99"/>
    <w:rPr>
      <w:color w:val="605E5C"/>
      <w:shd w:val="clear" w:color="auto" w:fill="E1DFDD"/>
    </w:rPr>
  </w:style>
  <w:style w:type="paragraph" w:customStyle="1" w:styleId="970">
    <w:name w:val="Char Char15 Char Char Char Char"/>
    <w:basedOn w:val="1"/>
    <w:qFormat/>
    <w:uiPriority w:val="0"/>
    <w:pPr>
      <w:spacing w:before="100" w:beforeLines="100" w:after="50" w:afterLines="50" w:line="480" w:lineRule="auto"/>
      <w:jc w:val="center"/>
    </w:pPr>
    <w:rPr>
      <w:rFonts w:eastAsia="楷体_GB2312"/>
      <w:b/>
      <w:sz w:val="44"/>
      <w:szCs w:val="44"/>
    </w:rPr>
  </w:style>
  <w:style w:type="paragraph" w:customStyle="1" w:styleId="971">
    <w:name w:val="TOC 标题11"/>
    <w:basedOn w:val="3"/>
    <w:next w:val="1"/>
    <w:qFormat/>
    <w:uiPriority w:val="99"/>
    <w:pPr>
      <w:widowControl/>
      <w:numPr>
        <w:numId w:val="0"/>
      </w:numPr>
      <w:spacing w:before="480" w:beforeLines="100" w:after="0" w:afterLines="0" w:line="276" w:lineRule="auto"/>
      <w:outlineLvl w:val="9"/>
    </w:pPr>
    <w:rPr>
      <w:rFonts w:ascii="Cambria" w:hAnsi="Cambria" w:eastAsia="宋体"/>
      <w:b w:val="0"/>
      <w:bCs/>
      <w:color w:val="365F91"/>
      <w:kern w:val="0"/>
      <w:sz w:val="28"/>
      <w:szCs w:val="28"/>
      <w:lang w:val="en-US"/>
    </w:rPr>
  </w:style>
  <w:style w:type="character" w:customStyle="1" w:styleId="972">
    <w:name w:val="未处理的提及11"/>
    <w:basedOn w:val="59"/>
    <w:semiHidden/>
    <w:unhideWhenUsed/>
    <w:qFormat/>
    <w:uiPriority w:val="99"/>
    <w:rPr>
      <w:color w:val="605E5C"/>
      <w:shd w:val="clear" w:color="auto" w:fill="E1DFDD"/>
    </w:rPr>
  </w:style>
  <w:style w:type="paragraph" w:customStyle="1" w:styleId="973">
    <w:name w:val="样式 金皇-表（图）头 + 首行缩进:  0 字符"/>
    <w:qFormat/>
    <w:uiPriority w:val="0"/>
    <w:pPr>
      <w:widowControl w:val="0"/>
      <w:adjustRightInd w:val="0"/>
      <w:snapToGrid w:val="0"/>
      <w:jc w:val="center"/>
    </w:pPr>
    <w:rPr>
      <w:rFonts w:ascii="Times New Roman" w:hAnsi="Times New Roman" w:eastAsia="黑体" w:cs="宋体"/>
      <w:b/>
      <w:bCs/>
      <w:kern w:val="2"/>
      <w:sz w:val="24"/>
      <w:lang w:val="en-US" w:eastAsia="zh-CN" w:bidi="ar-SA"/>
    </w:rPr>
  </w:style>
  <w:style w:type="paragraph" w:customStyle="1" w:styleId="974">
    <w:name w:val="样式 金皇-表（图）头 + 首行缩进:  2 字符 行距: 单倍行距"/>
    <w:qFormat/>
    <w:uiPriority w:val="0"/>
    <w:pPr>
      <w:widowControl w:val="0"/>
      <w:adjustRightInd w:val="0"/>
      <w:snapToGrid w:val="0"/>
      <w:ind w:firstLine="200" w:firstLineChars="200"/>
      <w:jc w:val="center"/>
    </w:pPr>
    <w:rPr>
      <w:rFonts w:ascii="Times New Roman" w:hAnsi="Times New Roman" w:eastAsia="黑体" w:cs="宋体"/>
      <w:b/>
      <w:bCs/>
      <w:kern w:val="2"/>
      <w:sz w:val="24"/>
      <w:lang w:val="en-US" w:eastAsia="zh-CN" w:bidi="ar-SA"/>
    </w:rPr>
  </w:style>
  <w:style w:type="table" w:customStyle="1" w:styleId="975">
    <w:name w:val="网格型2"/>
    <w:basedOn w:val="5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76">
    <w:name w:val="font8"/>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977">
    <w:name w:val="TOC Heading"/>
    <w:basedOn w:val="3"/>
    <w:next w:val="1"/>
    <w:unhideWhenUsed/>
    <w:qFormat/>
    <w:uiPriority w:val="39"/>
    <w:pPr>
      <w:widowControl/>
      <w:numPr>
        <w:numId w:val="0"/>
      </w:numPr>
      <w:spacing w:before="240" w:beforeLines="0" w:after="0" w:afterLines="0" w:line="259" w:lineRule="auto"/>
      <w:outlineLvl w:val="9"/>
    </w:pPr>
    <w:rPr>
      <w:rFonts w:asciiTheme="majorHAnsi" w:hAnsiTheme="majorHAnsi" w:eastAsiaTheme="majorEastAsia" w:cstheme="majorBidi"/>
      <w:b w:val="0"/>
      <w:color w:val="2F5597" w:themeColor="accent1" w:themeShade="BF"/>
      <w:kern w:val="0"/>
      <w:sz w:val="32"/>
      <w:szCs w:val="32"/>
      <w:lang w:val="en-US"/>
    </w:rPr>
  </w:style>
  <w:style w:type="paragraph" w:customStyle="1" w:styleId="978">
    <w:name w:val="Revision"/>
    <w:hidden/>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theme" Target="theme/theme1.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jpe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48D5D-ACC4-4619-BB47-9E069C0824BA}">
  <ds:schemaRefs/>
</ds:datastoreItem>
</file>

<file path=docProps/app.xml><?xml version="1.0" encoding="utf-8"?>
<Properties xmlns="http://schemas.openxmlformats.org/officeDocument/2006/extended-properties" xmlns:vt="http://schemas.openxmlformats.org/officeDocument/2006/docPropsVTypes">
  <Template>模板.dotx</Template>
  <Pages>116</Pages>
  <Words>30189</Words>
  <Characters>32593</Characters>
  <Lines>493</Lines>
  <Paragraphs>138</Paragraphs>
  <TotalTime>6</TotalTime>
  <ScaleCrop>false</ScaleCrop>
  <LinksUpToDate>false</LinksUpToDate>
  <CharactersWithSpaces>32764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2023-01-30T09:03:00Z</dcterms:created>
  <dc:creator>admin</dc:creator>
  <cp:lastModifiedBy>肖玲琳</cp:lastModifiedBy>
  <cp:lastPrinted>2022-12-23T10:17:00Z</cp:lastPrinted>
  <dcterms:modified xsi:type="dcterms:W3CDTF">2026-06-08T02:31:35Z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AF4E287E1DF14EF8B901B19B28B8F2AA</vt:lpwstr>
  </property>
  <property fmtid="{D5CDD505-2E9C-101B-9397-08002B2CF9AE}" pid="4" name="KSOTemplateDocerSaveRecord">
    <vt:lpwstr>eyJoZGlkIjoiZDE1ZTc3ZGY4NDdmMzA3NzNiMTQwMTcxZjMwYTFkY2EiLCJ1c2VySWQiOiIxNjg0ODMzMjMzIn0=</vt:lpwstr>
  </property>
</Properties>
</file>