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8200" w:type="dxa"/>
        <w:tblInd w:w="-7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2719"/>
        <w:gridCol w:w="2175"/>
        <w:gridCol w:w="2280"/>
        <w:gridCol w:w="2130"/>
        <w:gridCol w:w="3060"/>
        <w:gridCol w:w="2505"/>
        <w:gridCol w:w="2675"/>
      </w:tblGrid>
      <w:tr w14:paraId="392B7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82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0A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2026年晋安区应急管理局行政处罚决定</w:t>
            </w:r>
          </w:p>
        </w:tc>
      </w:tr>
      <w:tr w14:paraId="38192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75" w:type="dxa"/>
          <w:trHeight w:val="6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81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BF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当事人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61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违法行为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18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处罚依据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6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行政处罚决定书文号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BFA42">
            <w:pPr>
              <w:keepNext w:val="0"/>
              <w:keepLines w:val="0"/>
              <w:widowControl/>
              <w:suppressLineNumbers w:val="0"/>
              <w:ind w:right="1462" w:rightChars="696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行政处罚内容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45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行政处罚决定下达日期</w:t>
            </w:r>
          </w:p>
        </w:tc>
      </w:tr>
      <w:tr w14:paraId="1A451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75" w:type="dxa"/>
          <w:trHeight w:val="6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8B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3F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福州福螺船用螺旋桨制造有限公司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2C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安全生产隐患管理类违法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84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《中华人民共和国安全生产法》第九十九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条第一项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B2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（晋）应急罚当〔2026〕监管1号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0ACC5"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罚款3000元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6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2026.7.13</w:t>
            </w:r>
          </w:p>
        </w:tc>
      </w:tr>
    </w:tbl>
    <w:p w14:paraId="44B6A230"/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A367E"/>
    <w:rsid w:val="04666641"/>
    <w:rsid w:val="392751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139</Characters>
  <Lines>0</Lines>
  <Paragraphs>0</Paragraphs>
  <TotalTime>4</TotalTime>
  <ScaleCrop>false</ScaleCrop>
  <LinksUpToDate>false</LinksUpToDate>
  <CharactersWithSpaces>139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忽悠</cp:lastModifiedBy>
  <dcterms:modified xsi:type="dcterms:W3CDTF">2026-07-16T01:52:33Z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eyJoZGlkIjoiYTQ5YjkzZTg3NzIwYjEyMDA2MGE1NTE0NThlYjAwOTMiLCJ1c2VySWQiOiI3MTMxOTg4MTAifQ==</vt:lpwstr>
  </property>
  <property fmtid="{D5CDD505-2E9C-101B-9397-08002B2CF9AE}" pid="4" name="ICV">
    <vt:lpwstr>F8CF903B73834255ACA075229ED9AC4F_12</vt:lpwstr>
  </property>
</Properties>
</file>