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标题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榕晋民〔202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146</w:t>
      </w:r>
      <w:r>
        <w:rPr>
          <w:rFonts w:hint="eastAsia" w:ascii="仿宋" w:hAnsi="仿宋" w:eastAsia="仿宋"/>
          <w:sz w:val="32"/>
          <w:szCs w:val="32"/>
        </w:rPr>
        <w:t>号</w:t>
      </w:r>
    </w:p>
    <w:bookmarkEnd w:id="0"/>
    <w:tbl>
      <w:tblPr>
        <w:tblStyle w:val="10"/>
        <w:tblpPr w:leftFromText="180" w:rightFromText="180" w:vertAnchor="text" w:horzAnchor="page" w:tblpX="1064" w:tblpY="709"/>
        <w:tblOverlap w:val="never"/>
        <w:tblW w:w="10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7" w:hRule="atLeast"/>
        </w:trPr>
        <w:tc>
          <w:tcPr>
            <w:tcW w:w="100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40" w:hAnsi="40" w:eastAsia="方正小标宋_GBK"/>
                <w:b w:val="0"/>
                <w:snapToGrid/>
                <w:vanish/>
                <w:color w:val="000000"/>
                <w:spacing w:val="0"/>
                <w:w w:val="100"/>
                <w:kern w:val="2"/>
                <w:position w:val="0"/>
                <w:sz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" w:eastAsia="zh-CN"/>
              </w:rPr>
              <w:t>关于印发《福州市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-US" w:eastAsia="zh-CN"/>
              </w:rPr>
              <w:t>晋安区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" w:eastAsia="zh-CN"/>
              </w:rPr>
              <w:t>民政局202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" w:eastAsia="zh-CN"/>
              </w:rPr>
              <w:t>年“双随机、一公开”（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-US" w:eastAsia="zh-CN"/>
              </w:rPr>
              <w:t>社会组织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2"/>
                <w:sz w:val="44"/>
                <w:lang w:val="en" w:eastAsia="zh-CN"/>
              </w:rPr>
              <w:t>）抽查工作计划》的通知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仿宋_GB2312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/>
        <w:jc w:val="left"/>
        <w:textAlignment w:val="baseline"/>
        <w:outlineLvl w:val="9"/>
        <w:rPr>
          <w:rFonts w:hint="eastAsia" w:ascii="仿宋_GB2312" w:hAnsi="仿宋_GB2312" w:eastAsia="仿宋_GB2312"/>
          <w:lang w:eastAsia="zh-CN"/>
        </w:rPr>
      </w:pPr>
      <w:r>
        <w:rPr>
          <w:rFonts w:hint="eastAsia"/>
        </w:rPr>
        <w:t>区级各社会组织：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为全面推行“双随机、一公开”工作，强化事中事后监管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根据国务院《关于在市场监管领域全面推行部门联合“双随机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一公开监管的意见》精神，结合《福州市市场监管局、福州市审改办关于印发福州市全面推行“双随机一公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开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监管机制加强事中事后监管工作方案的通知》（榕市场监管企管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〔2018〕54号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）要求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制定《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晋安区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社会组织“双随机、一公开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”（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社会组织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抽查工作计划》现</w:t>
      </w:r>
      <w:r>
        <w:t>印发给你们，</w:t>
      </w:r>
      <w:r>
        <w:rPr>
          <w:color w:val="000000"/>
        </w:rPr>
        <w:t>请按照要求组织实施。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textAlignment w:val="baseline"/>
        <w:rPr>
          <w:rFonts w:hint="eastAsia" w:hAnsi="仿宋_GB2312" w:cs="仿宋_GB2312"/>
          <w:color w:val="auto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  <w:spacing w:val="-20"/>
          <w:sz w:val="32"/>
          <w:lang w:val="en-US" w:eastAsia="zh-CN"/>
        </w:rPr>
        <w:t>《2023年</w:t>
      </w:r>
      <w:r>
        <w:rPr>
          <w:rFonts w:hint="eastAsia"/>
          <w:lang w:val="en-US" w:eastAsia="zh-CN"/>
        </w:rPr>
        <w:t>晋安区社会组织抽查工作计划</w:t>
      </w:r>
      <w:r>
        <w:rPr>
          <w:rFonts w:hint="eastAsia"/>
          <w:spacing w:val="-20"/>
          <w:sz w:val="32"/>
          <w:lang w:val="en-US" w:eastAsia="zh-CN"/>
        </w:rPr>
        <w:t>》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306" w:firstLineChars="1643"/>
        <w:jc w:val="center"/>
        <w:textAlignment w:val="auto"/>
        <w:rPr>
          <w:rFonts w:hint="eastAsia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eastAsia="zh-CN"/>
        </w:rPr>
        <w:t>福州市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晋安区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民政局</w:t>
      </w:r>
    </w:p>
    <w:p>
      <w:pPr>
        <w:pStyle w:val="6"/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306" w:firstLineChars="1643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2023年6月12日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2023年晋安区社会组织抽查工作计划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仿宋_GBK" w:hAnsi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jc w:val="left"/>
        <w:rPr>
          <w:rFonts w:hint="eastAsia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为全面推行“双随机、一公开”工作，强化事中事后监管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根据国务院《关于在市场监管领域全面推行部门联合“双随机</w:t>
      </w:r>
      <w:r>
        <w:rPr>
          <w:rFonts w:hint="eastAsia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一公开监管的意见》精神，结合《福州市市场监管局、福州市审改办关于印发福州市全面推行“双随机一公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开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监管机制加强事中事后监管工作方案的通知》（榕市场监管企管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〔2018〕54号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）要求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晋安区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年晋安区社会组织抽查工作计划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8" w:line="560" w:lineRule="exact"/>
        <w:ind w:left="740"/>
        <w:rPr>
          <w:rFonts w:hint="eastAsia" w:ascii="黑体" w:hAnsi="黑体" w:eastAsia="黑体" w:cs="黑体"/>
        </w:rPr>
      </w:pPr>
      <w:r>
        <w:rPr>
          <w:rFonts w:hint="eastAsia" w:ascii="黑体" w:eastAsia="黑体"/>
        </w:rPr>
        <w:t>一、</w:t>
      </w:r>
      <w:r>
        <w:rPr>
          <w:rFonts w:hint="eastAsia" w:ascii="黑体" w:hAnsi="黑体" w:eastAsia="黑体" w:cs="黑体"/>
        </w:rPr>
        <w:t>抽查任务及内容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contextualSpacing/>
        <w:jc w:val="both"/>
        <w:rPr>
          <w:rFonts w:hint="eastAsia" w:ascii="仿宋" w:hAnsi="仿宋" w:eastAsia="仿宋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按照《社会组织抽查暂行办法》规定，检查内容主要包括年度报告、信息公开、内部治理、财务状况、业务活动等情况。具体抽查事项如下：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contextualSpacing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1、是否按要求参加年度报告；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2、年度“期末净资产合计”是否不低于注册资金数额；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3、年度财务收支情况是否向理事会报告；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4、办公地址与登记地址是否一致；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5、是否按规定设立监事会或者监事；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6、是否按规定建立党组织；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7、是否依法进行税务登记；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8、是否有专职工作人员；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ascii="仿宋_GB2312" w:hAnsi="仿宋_GB2312"/>
          <w:kern w:val="0"/>
        </w:rPr>
      </w:pPr>
      <w:r>
        <w:rPr>
          <w:rFonts w:hint="eastAsia" w:ascii="仿宋_GB2312" w:hAnsi="仿宋_GB2312"/>
          <w:kern w:val="0"/>
        </w:rPr>
        <w:t>9、年度召开理事会是否至少两次；</w:t>
      </w:r>
    </w:p>
    <w:p>
      <w:pPr>
        <w:keepNext w:val="0"/>
        <w:keepLines w:val="0"/>
        <w:pageBreakBefore w:val="0"/>
        <w:tabs>
          <w:tab w:val="left" w:pos="91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contextualSpacing/>
        <w:rPr>
          <w:rFonts w:hint="eastAsia" w:eastAsia="仿宋_GB2312"/>
          <w:lang w:eastAsia="zh-CN"/>
        </w:rPr>
      </w:pPr>
      <w:r>
        <w:rPr>
          <w:rFonts w:hint="eastAsia" w:ascii="仿宋_GB2312" w:hAnsi="仿宋_GB2312"/>
          <w:kern w:val="0"/>
        </w:rPr>
        <w:t>10、登记证书、印章、财务凭证是否规范齐全。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5" w:line="560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二、抽查对象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0" w:line="560" w:lineRule="exact"/>
        <w:ind w:left="771"/>
      </w:pPr>
      <w:r>
        <w:rPr>
          <w:spacing w:val="-3"/>
          <w:w w:val="99"/>
        </w:rPr>
        <w:t>全年随机抽查对象的总量应不低于对应事项检查对象的</w:t>
      </w:r>
      <w:r>
        <w:rPr>
          <w:spacing w:val="-83"/>
        </w:rPr>
        <w:t xml:space="preserve"> </w:t>
      </w:r>
      <w:r>
        <w:rPr>
          <w:rFonts w:hint="eastAsia"/>
          <w:spacing w:val="2"/>
          <w:w w:val="99"/>
          <w:lang w:val="en-US" w:eastAsia="zh-CN"/>
        </w:rPr>
        <w:t>5%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0" w:line="560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三、抽查频次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5" w:firstLine="633"/>
        <w:jc w:val="both"/>
        <w:rPr>
          <w:rFonts w:hint="eastAsia" w:eastAsia="仿宋_GB2312"/>
          <w:sz w:val="20"/>
          <w:lang w:eastAsia="zh-CN"/>
        </w:rPr>
      </w:pPr>
      <w:r>
        <w:rPr>
          <w:spacing w:val="-10"/>
          <w:w w:val="105"/>
        </w:rPr>
        <w:t>随机抽查原则上每年至少一次，</w:t>
      </w:r>
      <w:r>
        <w:rPr>
          <w:spacing w:val="-6"/>
        </w:rPr>
        <w:t>具体时间由</w:t>
      </w:r>
      <w:r>
        <w:rPr>
          <w:rFonts w:hint="eastAsia" w:ascii="仿宋_GB2312" w:hAnsi="仿宋_GB2312"/>
        </w:rPr>
        <w:t>局分管社会组织工作</w:t>
      </w:r>
      <w:r>
        <w:rPr>
          <w:rFonts w:hint="eastAsia"/>
          <w:lang w:val="en-US" w:eastAsia="zh-CN"/>
        </w:rPr>
        <w:t>人员</w:t>
      </w:r>
      <w:r>
        <w:rPr>
          <w:spacing w:val="-6"/>
        </w:rPr>
        <w:t>根据工作计划确定</w:t>
      </w:r>
      <w:r>
        <w:rPr>
          <w:rFonts w:hint="eastAsia"/>
          <w:spacing w:val="-6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55" w:line="560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四、检查组人员组成</w:t>
      </w:r>
    </w:p>
    <w:p>
      <w:pPr>
        <w:pStyle w:val="5"/>
        <w:keepNext w:val="0"/>
        <w:keepLines w:val="0"/>
        <w:pageBreakBefore w:val="0"/>
        <w:tabs>
          <w:tab w:val="left" w:pos="2907"/>
          <w:tab w:val="left" w:pos="5077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33"/>
        <w:rPr>
          <w:rFonts w:hint="eastAsia" w:eastAsia="仿宋_GB2312"/>
          <w:lang w:eastAsia="zh-CN"/>
        </w:rPr>
      </w:pPr>
      <w:r>
        <w:rPr>
          <w:rFonts w:hint="eastAsia"/>
          <w:spacing w:val="-3"/>
        </w:rPr>
        <w:t>检查工作由局分管社会组织工作的领导负责，</w:t>
      </w:r>
      <w:r>
        <w:rPr>
          <w:spacing w:val="-3"/>
        </w:rPr>
        <w:t>对</w:t>
      </w:r>
      <w:r>
        <w:rPr>
          <w:rFonts w:hint="eastAsia"/>
          <w:spacing w:val="-3"/>
          <w:lang w:val="en-US" w:eastAsia="zh-CN"/>
        </w:rPr>
        <w:t>区级社会组织</w:t>
      </w:r>
      <w:r>
        <w:rPr>
          <w:spacing w:val="-55"/>
        </w:rPr>
        <w:t>的</w:t>
      </w:r>
      <w:r>
        <w:rPr>
          <w:spacing w:val="-3"/>
        </w:rPr>
        <w:t>双随</w:t>
      </w:r>
      <w:r>
        <w:t>机</w:t>
      </w:r>
      <w:r>
        <w:rPr>
          <w:spacing w:val="-3"/>
          <w:w w:val="95"/>
        </w:rPr>
        <w:t>抽查工作</w:t>
      </w:r>
      <w:r>
        <w:rPr>
          <w:w w:val="95"/>
        </w:rPr>
        <w:t>执</w:t>
      </w:r>
      <w:r>
        <w:rPr>
          <w:spacing w:val="-3"/>
          <w:w w:val="95"/>
        </w:rPr>
        <w:t>法检查人员，应从</w:t>
      </w:r>
      <w:r>
        <w:rPr>
          <w:w w:val="95"/>
        </w:rPr>
        <w:t>福</w:t>
      </w:r>
      <w:r>
        <w:rPr>
          <w:spacing w:val="-3"/>
          <w:w w:val="95"/>
        </w:rPr>
        <w:t>州市</w:t>
      </w:r>
      <w:r>
        <w:rPr>
          <w:rFonts w:hint="eastAsia"/>
          <w:spacing w:val="-3"/>
          <w:w w:val="95"/>
          <w:lang w:val="en-US" w:eastAsia="zh-CN"/>
        </w:rPr>
        <w:t>晋安区</w:t>
      </w:r>
      <w:r>
        <w:rPr>
          <w:spacing w:val="-3"/>
          <w:w w:val="95"/>
        </w:rPr>
        <w:t>民政局执法</w:t>
      </w:r>
      <w:r>
        <w:rPr>
          <w:w w:val="95"/>
        </w:rPr>
        <w:t>人</w:t>
      </w:r>
      <w:r>
        <w:rPr>
          <w:spacing w:val="-3"/>
          <w:w w:val="95"/>
        </w:rPr>
        <w:t>员名录库中</w:t>
      </w:r>
      <w:r>
        <w:rPr>
          <w:w w:val="95"/>
        </w:rPr>
        <w:t>随</w:t>
      </w:r>
      <w:r>
        <w:rPr>
          <w:spacing w:val="-3"/>
        </w:rPr>
        <w:t>机抽</w:t>
      </w:r>
      <w:r>
        <w:t>取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textAlignment w:val="baseline"/>
        <w:rPr>
          <w:rFonts w:hint="eastAsia" w:ascii="黑体" w:eastAsia="黑体"/>
        </w:rPr>
      </w:pPr>
      <w:r>
        <w:rPr>
          <w:rFonts w:hint="eastAsia" w:ascii="黑体" w:eastAsia="黑体"/>
        </w:rPr>
        <w:t>五、</w:t>
      </w:r>
      <w:r>
        <w:rPr>
          <w:rFonts w:hint="eastAsia" w:ascii="黑体" w:hAnsi="黑体" w:eastAsia="黑体" w:cs="黑体"/>
          <w:lang w:val="en-US" w:eastAsia="zh-CN"/>
        </w:rPr>
        <w:t>具体</w:t>
      </w:r>
      <w:r>
        <w:rPr>
          <w:rFonts w:hint="eastAsia" w:ascii="黑体" w:hAnsi="黑体" w:eastAsia="黑体" w:cs="黑体"/>
        </w:rPr>
        <w:t>工作要求</w:t>
      </w:r>
    </w:p>
    <w:p>
      <w:pPr>
        <w:pStyle w:val="5"/>
        <w:keepNext w:val="0"/>
        <w:keepLines w:val="0"/>
        <w:pageBreakBefore w:val="0"/>
        <w:tabs>
          <w:tab w:val="left" w:pos="2912"/>
          <w:tab w:val="left" w:pos="5077"/>
          <w:tab w:val="left" w:pos="6131"/>
          <w:tab w:val="left" w:pos="7081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4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1、做好国家随机监督抽查任务与日常监督工作的衔接，将国家随机监督抽查作为日常监督工作量的一部分统筹安排。在执行随机抽查任务过程中，可整合其他日常监督检查事项，联合开展抽查。对同一检查对象，要在兼顾各专业需求的基础上争取一次性完成抽查事项，避免对检查单位造成不必要的干扰。发现违法行为符合立案条件的，要坚决立案查处，维护国家随机监督抽查的严肃性。</w:t>
      </w:r>
    </w:p>
    <w:p>
      <w:pPr>
        <w:pStyle w:val="5"/>
        <w:keepNext w:val="0"/>
        <w:keepLines w:val="0"/>
        <w:pageBreakBefore w:val="0"/>
        <w:tabs>
          <w:tab w:val="left" w:pos="2912"/>
          <w:tab w:val="left" w:pos="5077"/>
          <w:tab w:val="left" w:pos="6131"/>
          <w:tab w:val="left" w:pos="7081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4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2、除完成计划外，要结合工作实际，坚持问题导向，有针对性地开展监督执法工作。监督执法适用随机抽查的，应当采取双随机方式，提高行政执法效率、增强执法公正性。</w:t>
      </w:r>
    </w:p>
    <w:p>
      <w:pPr>
        <w:pStyle w:val="5"/>
        <w:keepNext w:val="0"/>
        <w:keepLines w:val="0"/>
        <w:pageBreakBefore w:val="0"/>
        <w:tabs>
          <w:tab w:val="left" w:pos="2912"/>
          <w:tab w:val="left" w:pos="5077"/>
          <w:tab w:val="left" w:pos="6131"/>
          <w:tab w:val="left" w:pos="7081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4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3、有关社会组织要根据检查内容认真做好准备。</w:t>
      </w:r>
    </w:p>
    <w:p>
      <w:pPr>
        <w:pStyle w:val="5"/>
        <w:keepNext w:val="0"/>
        <w:keepLines w:val="0"/>
        <w:pageBreakBefore w:val="0"/>
        <w:tabs>
          <w:tab w:val="left" w:pos="2912"/>
          <w:tab w:val="left" w:pos="5077"/>
          <w:tab w:val="left" w:pos="6131"/>
          <w:tab w:val="left" w:pos="7081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4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4、检查组要严格遵守中央“八项规定”，认真落实廉洁自律有关规定。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9" w:line="560" w:lineRule="exact"/>
        <w:ind w:left="740"/>
        <w:rPr>
          <w:rFonts w:hint="eastAsia" w:ascii="黑体" w:eastAsia="黑体"/>
        </w:rPr>
      </w:pPr>
      <w:r>
        <w:rPr>
          <w:rFonts w:hint="eastAsia" w:ascii="黑体" w:eastAsia="黑体"/>
        </w:rPr>
        <w:t>六、抽查结果公示</w:t>
      </w:r>
    </w:p>
    <w:p>
      <w:pPr>
        <w:pStyle w:val="5"/>
        <w:keepNext w:val="0"/>
        <w:keepLines w:val="0"/>
        <w:pageBreakBefore w:val="0"/>
        <w:tabs>
          <w:tab w:val="left" w:pos="2326"/>
          <w:tab w:val="left" w:pos="2907"/>
          <w:tab w:val="left" w:pos="5077"/>
          <w:tab w:val="left" w:pos="5972"/>
          <w:tab w:val="left" w:pos="6448"/>
        </w:tabs>
        <w:kinsoku/>
        <w:wordWrap/>
        <w:overflowPunct/>
        <w:topLinePunct w:val="0"/>
        <w:autoSpaceDE/>
        <w:autoSpaceDN/>
        <w:bidi w:val="0"/>
        <w:spacing w:before="190" w:line="560" w:lineRule="exact"/>
        <w:ind w:left="106" w:right="277" w:firstLine="633"/>
        <w:rPr>
          <w:rFonts w:hint="eastAsia"/>
          <w:spacing w:val="-3"/>
          <w:lang w:val="en-US" w:eastAsia="zh-CN"/>
        </w:rPr>
      </w:pPr>
      <w:r>
        <w:rPr>
          <w:spacing w:val="-3"/>
        </w:rPr>
        <w:t>对在抽查任务完成后按照“谁检查、谁录入、谁公开”的原则，将抽查结果信息通过</w:t>
      </w:r>
      <w:r>
        <w:rPr>
          <w:rFonts w:hint="eastAsia"/>
          <w:spacing w:val="-3"/>
        </w:rPr>
        <w:t>福州市晋安区人民政府网站</w:t>
      </w:r>
      <w:r>
        <w:rPr>
          <w:spacing w:val="-3"/>
        </w:rPr>
        <w:t>依法向社会公开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并</w:t>
      </w:r>
      <w:r>
        <w:rPr>
          <w:spacing w:val="-13"/>
        </w:rPr>
        <w:t>将</w:t>
      </w:r>
      <w:r>
        <w:rPr>
          <w:spacing w:val="-3"/>
        </w:rPr>
        <w:t>抽查结果信</w:t>
      </w:r>
      <w:r>
        <w:t>息</w:t>
      </w:r>
      <w:r>
        <w:rPr>
          <w:spacing w:val="-3"/>
        </w:rPr>
        <w:t>录入福建省“互联网</w:t>
      </w:r>
      <w:r>
        <w:rPr>
          <w:rFonts w:hint="eastAsia"/>
          <w:spacing w:val="-3"/>
          <w:lang w:val="en-US" w:eastAsia="zh-CN"/>
        </w:rPr>
        <w:t>+</w:t>
      </w:r>
      <w:r>
        <w:rPr>
          <w:spacing w:val="-3"/>
        </w:rPr>
        <w:t>监</w:t>
      </w:r>
      <w:r>
        <w:t>管</w:t>
      </w:r>
      <w:r>
        <w:rPr>
          <w:rFonts w:hint="eastAsia"/>
          <w:lang w:eastAsia="zh-CN"/>
        </w:rPr>
        <w:t>”</w:t>
      </w:r>
      <w:r>
        <w:rPr>
          <w:spacing w:val="-3"/>
        </w:rPr>
        <w:t>系</w:t>
      </w:r>
      <w:r>
        <w:t>统</w:t>
      </w:r>
      <w:r>
        <w:rPr>
          <w:spacing w:val="-3"/>
        </w:rPr>
        <w:t>。抽查结果信息包括：抽查未发现问题、发现问题已责令改正、行政处罚、无法联系（检查时单位已关闭、行政执法文书送达不到未履行未结案等情形）等4类。</w:t>
      </w:r>
      <w:r>
        <w:rPr>
          <w:rFonts w:hint="eastAsia"/>
          <w:spacing w:val="-3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6" w:firstLineChars="200"/>
        <w:textAlignment w:val="baseline"/>
        <w:rPr>
          <w:rFonts w:hint="default"/>
          <w:spacing w:val="-3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  <w:spacing w:val="-3"/>
          <w:lang w:val="en-US" w:eastAsia="zh-CN"/>
        </w:rPr>
        <w:t>《2023年晋安区民政局随机抽查事项清单》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7" w:right="1417" w:bottom="1134" w:left="1417" w:header="850" w:footer="1134" w:gutter="0"/>
      <w:pgNumType w:fmt="decimal"/>
      <w:cols w:space="0" w:num="1"/>
      <w:rtlGutter w:val="0"/>
      <w:docGrid w:type="linesAndChars" w:linePitch="649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40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color w:val="auto"/>
      </w:rPr>
    </w:pPr>
    <w:r>
      <w:rPr>
        <w:rStyle w:val="15"/>
        <w:rFonts w:hint="eastAsia" w:ascii="楷体_GB2312" w:eastAsia="楷体_GB2312"/>
        <w:color w:val="auto"/>
        <w:sz w:val="28"/>
      </w:rPr>
      <w:t>—</w:t>
    </w:r>
    <w:r>
      <w:rPr>
        <w:rFonts w:hint="eastAsia" w:ascii="宋体" w:hAnsi="宋体" w:eastAsia="宋体"/>
        <w:color w:val="auto"/>
        <w:sz w:val="28"/>
      </w:rPr>
      <w:fldChar w:fldCharType="begin"/>
    </w:r>
    <w:r>
      <w:rPr>
        <w:rStyle w:val="15"/>
        <w:rFonts w:hint="eastAsia" w:ascii="宋体" w:hAnsi="宋体" w:eastAsia="宋体"/>
        <w:color w:val="auto"/>
        <w:sz w:val="28"/>
      </w:rPr>
      <w:instrText xml:space="preserve"> PAGE </w:instrText>
    </w:r>
    <w:r>
      <w:rPr>
        <w:rFonts w:hint="eastAsia" w:ascii="宋体" w:hAnsi="宋体" w:eastAsia="宋体"/>
        <w:color w:val="auto"/>
        <w:sz w:val="28"/>
      </w:rPr>
      <w:fldChar w:fldCharType="separate"/>
    </w:r>
    <w:r>
      <w:rPr>
        <w:rStyle w:val="15"/>
        <w:rFonts w:hint="eastAsia" w:ascii="宋体" w:hAnsi="宋体" w:eastAsia="宋体"/>
        <w:color w:val="auto"/>
        <w:sz w:val="28"/>
      </w:rPr>
      <w:t>1</w:t>
    </w:r>
    <w:r>
      <w:rPr>
        <w:rFonts w:hint="eastAsia" w:ascii="宋体" w:hAnsi="宋体" w:eastAsia="宋体"/>
        <w:color w:val="auto"/>
        <w:sz w:val="28"/>
      </w:rPr>
      <w:fldChar w:fldCharType="end"/>
    </w:r>
    <w:r>
      <w:rPr>
        <w:rStyle w:val="15"/>
        <w:rFonts w:hint="eastAsia" w:ascii="楷体_GB2312" w:eastAsia="楷体_GB2312"/>
        <w:color w:val="auto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Style w:val="1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1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5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5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evenAndOddHeaders w:val="1"/>
  <w:drawingGridHorizontalSpacing w:val="162"/>
  <w:drawingGridVerticalSpacing w:val="32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UxNzRmZjNiNzMyNTA4NTlkM2VjZjlmZjBiYzUifQ=="/>
  </w:docVars>
  <w:rsids>
    <w:rsidRoot w:val="36713FA9"/>
    <w:rsid w:val="01C2427F"/>
    <w:rsid w:val="02A73FBF"/>
    <w:rsid w:val="047D5B14"/>
    <w:rsid w:val="05DD01C5"/>
    <w:rsid w:val="06724C25"/>
    <w:rsid w:val="087702C4"/>
    <w:rsid w:val="09157598"/>
    <w:rsid w:val="096F0DFC"/>
    <w:rsid w:val="09D51D79"/>
    <w:rsid w:val="0A797AB9"/>
    <w:rsid w:val="0B2D5C59"/>
    <w:rsid w:val="0B3F68C0"/>
    <w:rsid w:val="0B592D58"/>
    <w:rsid w:val="0C5C1C1F"/>
    <w:rsid w:val="0C7A4F47"/>
    <w:rsid w:val="0C846993"/>
    <w:rsid w:val="0CE674B9"/>
    <w:rsid w:val="0F8B4044"/>
    <w:rsid w:val="0FF64080"/>
    <w:rsid w:val="108E4AF4"/>
    <w:rsid w:val="10DD6FD9"/>
    <w:rsid w:val="10FD4BD8"/>
    <w:rsid w:val="11BF72AC"/>
    <w:rsid w:val="12E93C08"/>
    <w:rsid w:val="14F37455"/>
    <w:rsid w:val="18236996"/>
    <w:rsid w:val="18300725"/>
    <w:rsid w:val="186B047D"/>
    <w:rsid w:val="1B011990"/>
    <w:rsid w:val="1C257304"/>
    <w:rsid w:val="1CB454E0"/>
    <w:rsid w:val="1CBA107E"/>
    <w:rsid w:val="1DE435F2"/>
    <w:rsid w:val="1E656504"/>
    <w:rsid w:val="1FD57819"/>
    <w:rsid w:val="20636052"/>
    <w:rsid w:val="214212A8"/>
    <w:rsid w:val="22125BA8"/>
    <w:rsid w:val="246038C0"/>
    <w:rsid w:val="24AF721B"/>
    <w:rsid w:val="2691142C"/>
    <w:rsid w:val="26AD01FA"/>
    <w:rsid w:val="26C23EA6"/>
    <w:rsid w:val="288267BB"/>
    <w:rsid w:val="299705E9"/>
    <w:rsid w:val="29BA0EF9"/>
    <w:rsid w:val="29DA3C12"/>
    <w:rsid w:val="2A177014"/>
    <w:rsid w:val="2B29065A"/>
    <w:rsid w:val="2C217E2F"/>
    <w:rsid w:val="2C4B4615"/>
    <w:rsid w:val="2CBA6315"/>
    <w:rsid w:val="2D934591"/>
    <w:rsid w:val="2E061CC7"/>
    <w:rsid w:val="303A2EDE"/>
    <w:rsid w:val="3105427E"/>
    <w:rsid w:val="31371CB1"/>
    <w:rsid w:val="31A70972"/>
    <w:rsid w:val="31E938FC"/>
    <w:rsid w:val="33E36E19"/>
    <w:rsid w:val="35E543A4"/>
    <w:rsid w:val="36145188"/>
    <w:rsid w:val="36713FA9"/>
    <w:rsid w:val="36785BB6"/>
    <w:rsid w:val="36FA13D5"/>
    <w:rsid w:val="37D92220"/>
    <w:rsid w:val="39A574DA"/>
    <w:rsid w:val="3AB53526"/>
    <w:rsid w:val="3B447946"/>
    <w:rsid w:val="3D2E1D69"/>
    <w:rsid w:val="3D6A5681"/>
    <w:rsid w:val="3D8653E1"/>
    <w:rsid w:val="3E4449C8"/>
    <w:rsid w:val="3FC90E7A"/>
    <w:rsid w:val="414D62F5"/>
    <w:rsid w:val="417E258F"/>
    <w:rsid w:val="41E95C25"/>
    <w:rsid w:val="426C3786"/>
    <w:rsid w:val="427A47CC"/>
    <w:rsid w:val="449161FA"/>
    <w:rsid w:val="44FF2928"/>
    <w:rsid w:val="45353BD6"/>
    <w:rsid w:val="45E35785"/>
    <w:rsid w:val="479B15BD"/>
    <w:rsid w:val="4888248B"/>
    <w:rsid w:val="4A692DDD"/>
    <w:rsid w:val="4B6E5E04"/>
    <w:rsid w:val="4D9E67F9"/>
    <w:rsid w:val="4E1D4FC6"/>
    <w:rsid w:val="4F462CFF"/>
    <w:rsid w:val="4F8C55A4"/>
    <w:rsid w:val="4FA15C66"/>
    <w:rsid w:val="4FFF5FA5"/>
    <w:rsid w:val="50CE1515"/>
    <w:rsid w:val="50F13972"/>
    <w:rsid w:val="51E96548"/>
    <w:rsid w:val="51EE3208"/>
    <w:rsid w:val="54814A27"/>
    <w:rsid w:val="56492C37"/>
    <w:rsid w:val="5A33300E"/>
    <w:rsid w:val="5B9A6B79"/>
    <w:rsid w:val="5C4979EE"/>
    <w:rsid w:val="5CB77E25"/>
    <w:rsid w:val="5CC9745B"/>
    <w:rsid w:val="5CE5424F"/>
    <w:rsid w:val="5D2253DA"/>
    <w:rsid w:val="5E362F2E"/>
    <w:rsid w:val="5E7B0894"/>
    <w:rsid w:val="5E946F50"/>
    <w:rsid w:val="5EE9203A"/>
    <w:rsid w:val="5F4C4D5C"/>
    <w:rsid w:val="5F4E5DB2"/>
    <w:rsid w:val="5FCB496E"/>
    <w:rsid w:val="60D508A4"/>
    <w:rsid w:val="61604A8B"/>
    <w:rsid w:val="619D386A"/>
    <w:rsid w:val="61D11840"/>
    <w:rsid w:val="61F64098"/>
    <w:rsid w:val="62544F28"/>
    <w:rsid w:val="647F26EF"/>
    <w:rsid w:val="65B80CEC"/>
    <w:rsid w:val="65FA73DC"/>
    <w:rsid w:val="67234834"/>
    <w:rsid w:val="6753629D"/>
    <w:rsid w:val="675623B5"/>
    <w:rsid w:val="68EB655C"/>
    <w:rsid w:val="69A84177"/>
    <w:rsid w:val="6BB37197"/>
    <w:rsid w:val="6CD91FB3"/>
    <w:rsid w:val="6DBA09EB"/>
    <w:rsid w:val="6EC32285"/>
    <w:rsid w:val="6F237688"/>
    <w:rsid w:val="6F5C5E63"/>
    <w:rsid w:val="6F9F4049"/>
    <w:rsid w:val="6FF7651B"/>
    <w:rsid w:val="70415B50"/>
    <w:rsid w:val="70B968F9"/>
    <w:rsid w:val="71246D57"/>
    <w:rsid w:val="722F6303"/>
    <w:rsid w:val="72EB256C"/>
    <w:rsid w:val="7361553B"/>
    <w:rsid w:val="746D43DA"/>
    <w:rsid w:val="748779D8"/>
    <w:rsid w:val="763C409C"/>
    <w:rsid w:val="76BB583E"/>
    <w:rsid w:val="78A15E13"/>
    <w:rsid w:val="7B205573"/>
    <w:rsid w:val="7C21466E"/>
    <w:rsid w:val="7CAD0E78"/>
    <w:rsid w:val="7D3A2500"/>
    <w:rsid w:val="7D9E1FF4"/>
    <w:rsid w:val="7DAC1396"/>
    <w:rsid w:val="7ED34110"/>
    <w:rsid w:val="7F1E4D18"/>
    <w:rsid w:val="7FE40DAE"/>
    <w:rsid w:val="D7EB3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theme="minorBidi"/>
      <w:spacing w:val="0"/>
      <w:kern w:val="2"/>
      <w:sz w:val="32"/>
      <w:szCs w:val="22"/>
      <w:lang w:val="en-US" w:eastAsia="zh-CN"/>
    </w:rPr>
  </w:style>
  <w:style w:type="paragraph" w:styleId="3">
    <w:name w:val="heading 1"/>
    <w:basedOn w:val="1"/>
    <w:next w:val="1"/>
    <w:qFormat/>
    <w:uiPriority w:val="1"/>
    <w:pPr>
      <w:spacing w:line="532" w:lineRule="exact"/>
      <w:ind w:left="198" w:right="366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5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4"/>
    </w:pPr>
    <w:rPr>
      <w:rFonts w:ascii="宋体" w:hAnsi="宋体"/>
      <w:b/>
      <w:kern w:val="0"/>
      <w:sz w:val="20"/>
    </w:rPr>
  </w:style>
  <w:style w:type="character" w:default="1" w:styleId="12">
    <w:name w:val="Default Paragraph Font"/>
    <w:link w:val="13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 Char Char"/>
    <w:basedOn w:val="1"/>
    <w:link w:val="12"/>
    <w:qFormat/>
    <w:uiPriority w:val="0"/>
    <w:pPr>
      <w:adjustRightInd w:val="0"/>
      <w:spacing w:line="360" w:lineRule="auto"/>
      <w:textAlignment w:val="baseline"/>
    </w:pPr>
  </w:style>
  <w:style w:type="character" w:styleId="14">
    <w:name w:val="Strong"/>
    <w:basedOn w:val="12"/>
    <w:qFormat/>
    <w:uiPriority w:val="0"/>
    <w:rPr>
      <w:b/>
    </w:rPr>
  </w:style>
  <w:style w:type="character" w:styleId="15">
    <w:name w:val="page number"/>
    <w:basedOn w:val="12"/>
    <w:qFormat/>
    <w:uiPriority w:val="0"/>
  </w:style>
  <w:style w:type="character" w:styleId="16">
    <w:name w:val="Hyperlink"/>
    <w:basedOn w:val="12"/>
    <w:qFormat/>
    <w:uiPriority w:val="0"/>
    <w:rPr>
      <w:color w:val="0000FF"/>
      <w:u w:val="none"/>
    </w:rPr>
  </w:style>
  <w:style w:type="character" w:customStyle="1" w:styleId="17">
    <w:name w:val="l-btn-empty"/>
    <w:basedOn w:val="12"/>
    <w:qFormat/>
    <w:uiPriority w:val="0"/>
  </w:style>
  <w:style w:type="character" w:customStyle="1" w:styleId="18">
    <w:name w:val="l-btn-icon-right"/>
    <w:basedOn w:val="12"/>
    <w:qFormat/>
    <w:uiPriority w:val="0"/>
  </w:style>
  <w:style w:type="character" w:customStyle="1" w:styleId="19">
    <w:name w:val="l-btn-text"/>
    <w:basedOn w:val="12"/>
    <w:qFormat/>
    <w:uiPriority w:val="0"/>
    <w:rPr>
      <w:vertAlign w:val="baseline"/>
    </w:rPr>
  </w:style>
  <w:style w:type="character" w:customStyle="1" w:styleId="20">
    <w:name w:val="l-btn-left2"/>
    <w:basedOn w:val="12"/>
    <w:qFormat/>
    <w:uiPriority w:val="0"/>
  </w:style>
  <w:style w:type="character" w:customStyle="1" w:styleId="21">
    <w:name w:val="l-btn-left3"/>
    <w:basedOn w:val="12"/>
    <w:qFormat/>
    <w:uiPriority w:val="0"/>
  </w:style>
  <w:style w:type="character" w:customStyle="1" w:styleId="22">
    <w:name w:val="l-btn-left4"/>
    <w:basedOn w:val="12"/>
    <w:qFormat/>
    <w:uiPriority w:val="0"/>
  </w:style>
  <w:style w:type="character" w:customStyle="1" w:styleId="23">
    <w:name w:val="l-btn-left5"/>
    <w:basedOn w:val="12"/>
    <w:qFormat/>
    <w:uiPriority w:val="0"/>
  </w:style>
  <w:style w:type="character" w:customStyle="1" w:styleId="24">
    <w:name w:val="l-btn-icon-lef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1384</Characters>
  <Lines>0</Lines>
  <Paragraphs>0</Paragraphs>
  <TotalTime>230</TotalTime>
  <ScaleCrop>false</ScaleCrop>
  <LinksUpToDate>false</LinksUpToDate>
  <CharactersWithSpaces>1388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2017-08-13T01:08:00Z</dcterms:created>
  <dc:creator>范晓莉</dc:creator>
  <cp:lastModifiedBy>Administrator</cp:lastModifiedBy>
  <cp:lastPrinted>2023-07-04T01:36:00Z</cp:lastPrinted>
  <dcterms:modified xsi:type="dcterms:W3CDTF">2025-03-12T10:05:37Z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5785F9BF1C974675934B4A3EE1AC1A3B_13</vt:lpwstr>
  </property>
</Properties>
</file>